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37BDF" w14:textId="49BDCE1D" w:rsidR="009105D2" w:rsidRDefault="004858E3" w:rsidP="000223D6">
      <w:pPr>
        <w:spacing w:line="360" w:lineRule="auto"/>
        <w:jc w:val="right"/>
        <w:rPr>
          <w:rFonts w:ascii="Calibri" w:eastAsia="Times New Roman" w:hAnsi="Calibri" w:cs="Calibri"/>
          <w:color w:val="7030A0"/>
          <w:sz w:val="36"/>
          <w:szCs w:val="36"/>
          <w:shd w:val="solid" w:color="FFFFFF" w:fill="auto"/>
          <w:lang w:val="es-MX" w:eastAsia="ru-RU"/>
        </w:rPr>
      </w:pPr>
      <w:r w:rsidRPr="000223D6">
        <w:rPr>
          <w:rFonts w:ascii="Calibri" w:eastAsia="Times New Roman" w:hAnsi="Calibri" w:cs="Calibri"/>
          <w:color w:val="7030A0"/>
          <w:sz w:val="36"/>
          <w:szCs w:val="36"/>
          <w:shd w:val="solid" w:color="FFFFFF" w:fill="auto"/>
          <w:lang w:val="es-MX" w:eastAsia="ru-RU"/>
        </w:rPr>
        <w:t xml:space="preserve">El </w:t>
      </w:r>
      <w:r w:rsidR="00C47033" w:rsidRPr="000223D6">
        <w:rPr>
          <w:rFonts w:ascii="Calibri" w:eastAsia="Times New Roman" w:hAnsi="Calibri" w:cs="Calibri"/>
          <w:color w:val="7030A0"/>
          <w:sz w:val="36"/>
          <w:szCs w:val="36"/>
          <w:shd w:val="solid" w:color="FFFFFF" w:fill="auto"/>
          <w:lang w:val="es-MX" w:eastAsia="ru-RU"/>
        </w:rPr>
        <w:t>n</w:t>
      </w:r>
      <w:r w:rsidRPr="000223D6">
        <w:rPr>
          <w:rFonts w:ascii="Calibri" w:eastAsia="Times New Roman" w:hAnsi="Calibri" w:cs="Calibri"/>
          <w:color w:val="7030A0"/>
          <w:sz w:val="36"/>
          <w:szCs w:val="36"/>
          <w:shd w:val="solid" w:color="FFFFFF" w:fill="auto"/>
          <w:lang w:val="es-MX" w:eastAsia="ru-RU"/>
        </w:rPr>
        <w:t xml:space="preserve">eoliberalismo y las </w:t>
      </w:r>
      <w:r w:rsidR="00C47033" w:rsidRPr="000223D6">
        <w:rPr>
          <w:rFonts w:ascii="Calibri" w:eastAsia="Times New Roman" w:hAnsi="Calibri" w:cs="Calibri"/>
          <w:color w:val="7030A0"/>
          <w:sz w:val="36"/>
          <w:szCs w:val="36"/>
          <w:shd w:val="solid" w:color="FFFFFF" w:fill="auto"/>
          <w:lang w:val="es-MX" w:eastAsia="ru-RU"/>
        </w:rPr>
        <w:t>p</w:t>
      </w:r>
      <w:r w:rsidRPr="000223D6">
        <w:rPr>
          <w:rFonts w:ascii="Calibri" w:eastAsia="Times New Roman" w:hAnsi="Calibri" w:cs="Calibri"/>
          <w:color w:val="7030A0"/>
          <w:sz w:val="36"/>
          <w:szCs w:val="36"/>
          <w:shd w:val="solid" w:color="FFFFFF" w:fill="auto"/>
          <w:lang w:val="es-MX" w:eastAsia="ru-RU"/>
        </w:rPr>
        <w:t xml:space="preserve">olíticas </w:t>
      </w:r>
      <w:r w:rsidR="00C47033" w:rsidRPr="000223D6">
        <w:rPr>
          <w:rFonts w:ascii="Calibri" w:eastAsia="Times New Roman" w:hAnsi="Calibri" w:cs="Calibri"/>
          <w:color w:val="7030A0"/>
          <w:sz w:val="36"/>
          <w:szCs w:val="36"/>
          <w:shd w:val="solid" w:color="FFFFFF" w:fill="auto"/>
          <w:lang w:val="es-MX" w:eastAsia="ru-RU"/>
        </w:rPr>
        <w:t>p</w:t>
      </w:r>
      <w:r w:rsidRPr="000223D6">
        <w:rPr>
          <w:rFonts w:ascii="Calibri" w:eastAsia="Times New Roman" w:hAnsi="Calibri" w:cs="Calibri"/>
          <w:color w:val="7030A0"/>
          <w:sz w:val="36"/>
          <w:szCs w:val="36"/>
          <w:shd w:val="solid" w:color="FFFFFF" w:fill="auto"/>
          <w:lang w:val="es-MX" w:eastAsia="ru-RU"/>
        </w:rPr>
        <w:t xml:space="preserve">úblicas en </w:t>
      </w:r>
      <w:r w:rsidR="00DF3643" w:rsidRPr="000223D6">
        <w:rPr>
          <w:rFonts w:ascii="Calibri" w:eastAsia="Times New Roman" w:hAnsi="Calibri" w:cs="Calibri"/>
          <w:color w:val="7030A0"/>
          <w:sz w:val="36"/>
          <w:szCs w:val="36"/>
          <w:shd w:val="solid" w:color="FFFFFF" w:fill="auto"/>
          <w:lang w:val="es-MX" w:eastAsia="ru-RU"/>
        </w:rPr>
        <w:t>s</w:t>
      </w:r>
      <w:r w:rsidRPr="000223D6">
        <w:rPr>
          <w:rFonts w:ascii="Calibri" w:eastAsia="Times New Roman" w:hAnsi="Calibri" w:cs="Calibri"/>
          <w:color w:val="7030A0"/>
          <w:sz w:val="36"/>
          <w:szCs w:val="36"/>
          <w:shd w:val="solid" w:color="FFFFFF" w:fill="auto"/>
          <w:lang w:val="es-MX" w:eastAsia="ru-RU"/>
        </w:rPr>
        <w:t xml:space="preserve">eguridad </w:t>
      </w:r>
      <w:r w:rsidR="00DF3643" w:rsidRPr="000223D6">
        <w:rPr>
          <w:rFonts w:ascii="Calibri" w:eastAsia="Times New Roman" w:hAnsi="Calibri" w:cs="Calibri"/>
          <w:color w:val="7030A0"/>
          <w:sz w:val="36"/>
          <w:szCs w:val="36"/>
          <w:shd w:val="solid" w:color="FFFFFF" w:fill="auto"/>
          <w:lang w:val="es-MX" w:eastAsia="ru-RU"/>
        </w:rPr>
        <w:t>s</w:t>
      </w:r>
      <w:r w:rsidRPr="000223D6">
        <w:rPr>
          <w:rFonts w:ascii="Calibri" w:eastAsia="Times New Roman" w:hAnsi="Calibri" w:cs="Calibri"/>
          <w:color w:val="7030A0"/>
          <w:sz w:val="36"/>
          <w:szCs w:val="36"/>
          <w:shd w:val="solid" w:color="FFFFFF" w:fill="auto"/>
          <w:lang w:val="es-MX" w:eastAsia="ru-RU"/>
        </w:rPr>
        <w:t>ocial</w:t>
      </w:r>
    </w:p>
    <w:p w14:paraId="504FDF8A" w14:textId="58FC9608" w:rsidR="000223D6" w:rsidRPr="0055190B" w:rsidRDefault="000223D6" w:rsidP="000223D6">
      <w:pPr>
        <w:spacing w:line="360" w:lineRule="auto"/>
        <w:jc w:val="right"/>
        <w:rPr>
          <w:rFonts w:ascii="Calibri" w:eastAsia="Times New Roman" w:hAnsi="Calibri" w:cs="Calibri"/>
          <w:i/>
          <w:color w:val="7030A0"/>
          <w:sz w:val="28"/>
          <w:szCs w:val="36"/>
          <w:shd w:val="solid" w:color="FFFFFF" w:fill="auto"/>
          <w:lang w:val="en-US" w:eastAsia="ru-RU"/>
        </w:rPr>
      </w:pPr>
      <w:r w:rsidRPr="0055190B">
        <w:rPr>
          <w:rFonts w:ascii="Calibri" w:eastAsia="Times New Roman" w:hAnsi="Calibri" w:cs="Calibri"/>
          <w:i/>
          <w:color w:val="7030A0"/>
          <w:sz w:val="28"/>
          <w:szCs w:val="36"/>
          <w:shd w:val="solid" w:color="FFFFFF" w:fill="auto"/>
          <w:lang w:val="en-US" w:eastAsia="ru-RU"/>
        </w:rPr>
        <w:t>Neoliberalism and public policies on social security</w:t>
      </w:r>
    </w:p>
    <w:p w14:paraId="62AE89F4" w14:textId="77777777" w:rsidR="00005B17" w:rsidRPr="0055190B" w:rsidRDefault="00005B17" w:rsidP="00005B17">
      <w:pPr>
        <w:jc w:val="center"/>
        <w:rPr>
          <w:rFonts w:ascii="Times New Roman" w:hAnsi="Times New Roman" w:cs="Times New Roman"/>
          <w:lang w:val="en-US"/>
        </w:rPr>
      </w:pPr>
    </w:p>
    <w:p w14:paraId="001B756D" w14:textId="77777777" w:rsidR="009105D2" w:rsidRPr="0055190B" w:rsidRDefault="009105D2" w:rsidP="00005B17">
      <w:pPr>
        <w:jc w:val="center"/>
        <w:rPr>
          <w:rFonts w:ascii="Times New Roman" w:hAnsi="Times New Roman" w:cs="Times New Roman"/>
          <w:lang w:val="en-US"/>
        </w:rPr>
      </w:pPr>
    </w:p>
    <w:p w14:paraId="65B60966" w14:textId="2B09D633" w:rsidR="00005B17" w:rsidRPr="00C47033" w:rsidRDefault="00F176AA" w:rsidP="00F176AA">
      <w:pPr>
        <w:jc w:val="right"/>
        <w:rPr>
          <w:rFonts w:ascii="Times New Roman" w:hAnsi="Times New Roman" w:cs="Times New Roman"/>
        </w:rPr>
      </w:pPr>
      <w:r w:rsidRPr="000223D6">
        <w:rPr>
          <w:rFonts w:ascii="Calibri" w:eastAsia="Calibri" w:hAnsi="Calibri" w:cs="Calibri"/>
          <w:b/>
          <w:lang w:val="es-ES" w:eastAsia="en-US"/>
        </w:rPr>
        <w:t>Eduardo Colmenares Cantú</w:t>
      </w:r>
    </w:p>
    <w:p w14:paraId="0CB00E58" w14:textId="2761A5D5" w:rsidR="00F176AA" w:rsidRPr="000223D6" w:rsidRDefault="00F176AA" w:rsidP="00F176AA">
      <w:pPr>
        <w:jc w:val="right"/>
        <w:rPr>
          <w:rFonts w:ascii="Calibri" w:eastAsia="Calibri" w:hAnsi="Calibri" w:cs="Calibri"/>
          <w:lang w:val="es-ES" w:eastAsia="en-US"/>
        </w:rPr>
      </w:pPr>
      <w:r w:rsidRPr="000223D6">
        <w:rPr>
          <w:rFonts w:ascii="Calibri" w:eastAsia="Calibri" w:hAnsi="Calibri" w:cs="Calibri"/>
          <w:lang w:val="es-ES" w:eastAsia="en-US"/>
        </w:rPr>
        <w:t>Universidad Autónoma de Nuevo León</w:t>
      </w:r>
      <w:r w:rsidR="0055190B">
        <w:rPr>
          <w:rFonts w:ascii="Calibri" w:eastAsia="Calibri" w:hAnsi="Calibri" w:cs="Calibri"/>
          <w:lang w:val="es-ES" w:eastAsia="en-US"/>
        </w:rPr>
        <w:t>,</w:t>
      </w:r>
      <w:r w:rsidR="00E77E09">
        <w:rPr>
          <w:rFonts w:ascii="Calibri" w:eastAsia="Calibri" w:hAnsi="Calibri" w:cs="Calibri"/>
          <w:lang w:val="es-ES" w:eastAsia="en-US"/>
        </w:rPr>
        <w:t xml:space="preserve"> </w:t>
      </w:r>
      <w:bookmarkStart w:id="0" w:name="_GoBack"/>
      <w:bookmarkEnd w:id="0"/>
      <w:r w:rsidR="0055190B">
        <w:rPr>
          <w:rFonts w:ascii="Calibri" w:eastAsia="Calibri" w:hAnsi="Calibri" w:cs="Calibri"/>
          <w:lang w:val="es-ES" w:eastAsia="en-US"/>
        </w:rPr>
        <w:t>México</w:t>
      </w:r>
    </w:p>
    <w:p w14:paraId="7DAC50A6" w14:textId="2F0B18FA" w:rsidR="00F176AA" w:rsidRPr="000223D6" w:rsidRDefault="00E93919" w:rsidP="00F176AA">
      <w:pPr>
        <w:jc w:val="right"/>
        <w:rPr>
          <w:rFonts w:ascii="Calibri" w:eastAsia="Calibri" w:hAnsi="Calibri" w:cs="Calibri"/>
          <w:color w:val="FF0000"/>
          <w:lang w:val="es-ES" w:eastAsia="en-US"/>
        </w:rPr>
      </w:pPr>
      <w:hyperlink r:id="rId9" w:history="1">
        <w:r w:rsidR="00F176AA" w:rsidRPr="000223D6">
          <w:rPr>
            <w:rFonts w:ascii="Calibri" w:eastAsia="Calibri" w:hAnsi="Calibri" w:cs="Calibri"/>
            <w:color w:val="FF0000"/>
            <w:lang w:val="es-ES" w:eastAsia="en-US"/>
          </w:rPr>
          <w:t>ecolmenares@hotmail.com</w:t>
        </w:r>
      </w:hyperlink>
    </w:p>
    <w:p w14:paraId="46AAB448" w14:textId="77777777" w:rsidR="00F176AA" w:rsidRPr="00F176AA" w:rsidRDefault="00F176AA" w:rsidP="00F176AA">
      <w:pPr>
        <w:jc w:val="right"/>
        <w:rPr>
          <w:rFonts w:ascii="Times New Roman" w:hAnsi="Times New Roman" w:cs="Times New Roman"/>
          <w:i/>
        </w:rPr>
      </w:pPr>
    </w:p>
    <w:p w14:paraId="7EEBC75F" w14:textId="77777777" w:rsidR="00D00B84" w:rsidRDefault="00D00B84" w:rsidP="00247874">
      <w:pPr>
        <w:tabs>
          <w:tab w:val="left" w:pos="213"/>
        </w:tabs>
        <w:rPr>
          <w:rFonts w:ascii="Times New Roman" w:hAnsi="Times New Roman" w:cs="Times New Roman"/>
          <w:b/>
        </w:rPr>
      </w:pPr>
    </w:p>
    <w:p w14:paraId="364C8ADD" w14:textId="77777777" w:rsidR="00D00B84" w:rsidRDefault="00D00B84" w:rsidP="00247874">
      <w:pPr>
        <w:tabs>
          <w:tab w:val="left" w:pos="213"/>
        </w:tabs>
        <w:rPr>
          <w:rFonts w:ascii="Times New Roman" w:hAnsi="Times New Roman" w:cs="Times New Roman"/>
          <w:b/>
        </w:rPr>
      </w:pPr>
    </w:p>
    <w:p w14:paraId="02371DDB" w14:textId="77777777" w:rsidR="000223D6" w:rsidRDefault="000223D6" w:rsidP="00247874">
      <w:pPr>
        <w:tabs>
          <w:tab w:val="left" w:pos="213"/>
        </w:tabs>
        <w:rPr>
          <w:rFonts w:ascii="Times New Roman" w:hAnsi="Times New Roman" w:cs="Times New Roman"/>
          <w:b/>
        </w:rPr>
      </w:pPr>
    </w:p>
    <w:p w14:paraId="68628A1B" w14:textId="682A7BFF" w:rsidR="00247874" w:rsidRPr="000223D6" w:rsidRDefault="00247874" w:rsidP="00247874">
      <w:pPr>
        <w:tabs>
          <w:tab w:val="left" w:pos="213"/>
        </w:tabs>
        <w:rPr>
          <w:rFonts w:ascii="Calibri" w:eastAsia="Times New Roman" w:hAnsi="Calibri" w:cs="Calibri"/>
          <w:color w:val="7030A0"/>
          <w:sz w:val="28"/>
          <w:szCs w:val="28"/>
          <w:lang w:val="es-ES"/>
        </w:rPr>
      </w:pPr>
      <w:r w:rsidRPr="000223D6">
        <w:rPr>
          <w:rFonts w:ascii="Calibri" w:eastAsia="Times New Roman" w:hAnsi="Calibri" w:cs="Calibri"/>
          <w:color w:val="7030A0"/>
          <w:sz w:val="28"/>
          <w:szCs w:val="28"/>
          <w:lang w:val="es-ES"/>
        </w:rPr>
        <w:t>Resumen</w:t>
      </w:r>
    </w:p>
    <w:p w14:paraId="27591151" w14:textId="77777777" w:rsidR="00247874" w:rsidRPr="00005B17" w:rsidRDefault="00247874" w:rsidP="00005B17">
      <w:pPr>
        <w:jc w:val="center"/>
        <w:rPr>
          <w:rFonts w:ascii="Times New Roman" w:hAnsi="Times New Roman" w:cs="Times New Roman"/>
        </w:rPr>
      </w:pPr>
    </w:p>
    <w:p w14:paraId="01B7A725" w14:textId="59101C96" w:rsidR="00005B17" w:rsidRPr="00005B17" w:rsidRDefault="00005B17" w:rsidP="00005B17">
      <w:pPr>
        <w:spacing w:line="360" w:lineRule="auto"/>
        <w:jc w:val="both"/>
        <w:rPr>
          <w:rFonts w:ascii="Times New Roman" w:hAnsi="Times New Roman" w:cs="Times New Roman"/>
        </w:rPr>
      </w:pPr>
      <w:r w:rsidRPr="00005B17">
        <w:rPr>
          <w:rFonts w:ascii="Times New Roman" w:hAnsi="Times New Roman" w:cs="Times New Roman"/>
        </w:rPr>
        <w:t xml:space="preserve">La </w:t>
      </w:r>
      <w:r w:rsidR="00DF3643">
        <w:rPr>
          <w:rFonts w:ascii="Times New Roman" w:hAnsi="Times New Roman" w:cs="Times New Roman"/>
        </w:rPr>
        <w:t>s</w:t>
      </w:r>
      <w:r w:rsidRPr="00005B17">
        <w:rPr>
          <w:rFonts w:ascii="Times New Roman" w:hAnsi="Times New Roman" w:cs="Times New Roman"/>
        </w:rPr>
        <w:t xml:space="preserve">eguridad </w:t>
      </w:r>
      <w:r w:rsidR="00DF3643">
        <w:rPr>
          <w:rFonts w:ascii="Times New Roman" w:hAnsi="Times New Roman" w:cs="Times New Roman"/>
        </w:rPr>
        <w:t>s</w:t>
      </w:r>
      <w:r w:rsidRPr="00005B17">
        <w:rPr>
          <w:rFonts w:ascii="Times New Roman" w:hAnsi="Times New Roman" w:cs="Times New Roman"/>
        </w:rPr>
        <w:t xml:space="preserve">ocial </w:t>
      </w:r>
      <w:r w:rsidR="001867C4">
        <w:rPr>
          <w:rFonts w:ascii="Times New Roman" w:hAnsi="Times New Roman" w:cs="Times New Roman"/>
        </w:rPr>
        <w:t>dentro</w:t>
      </w:r>
      <w:r w:rsidRPr="00005B17">
        <w:rPr>
          <w:rFonts w:ascii="Times New Roman" w:hAnsi="Times New Roman" w:cs="Times New Roman"/>
        </w:rPr>
        <w:t xml:space="preserve"> del sistema de pensiones en México es un tema de análisis que merece </w:t>
      </w:r>
      <w:r w:rsidR="001867C4" w:rsidRPr="001867C4">
        <w:rPr>
          <w:rFonts w:ascii="Times New Roman" w:hAnsi="Times New Roman" w:cs="Times New Roman"/>
        </w:rPr>
        <w:t>consideración</w:t>
      </w:r>
      <w:r w:rsidR="001867C4">
        <w:rPr>
          <w:rFonts w:ascii="Times New Roman" w:hAnsi="Times New Roman" w:cs="Times New Roman"/>
        </w:rPr>
        <w:t>,</w:t>
      </w:r>
      <w:r w:rsidRPr="00005B17">
        <w:rPr>
          <w:rFonts w:ascii="Times New Roman" w:hAnsi="Times New Roman" w:cs="Times New Roman"/>
        </w:rPr>
        <w:t xml:space="preserve"> debido a que se han aprobado reformas</w:t>
      </w:r>
      <w:r w:rsidR="00F65D9F">
        <w:rPr>
          <w:rFonts w:ascii="Times New Roman" w:hAnsi="Times New Roman" w:cs="Times New Roman"/>
        </w:rPr>
        <w:t xml:space="preserve"> </w:t>
      </w:r>
      <w:r w:rsidR="001867C4">
        <w:rPr>
          <w:rFonts w:ascii="Times New Roman" w:hAnsi="Times New Roman" w:cs="Times New Roman"/>
        </w:rPr>
        <w:t xml:space="preserve">en los sistemas pensionarios en América Latina y </w:t>
      </w:r>
      <w:r w:rsidR="00F65D9F">
        <w:rPr>
          <w:rFonts w:ascii="Times New Roman" w:hAnsi="Times New Roman" w:cs="Times New Roman"/>
        </w:rPr>
        <w:t>a nivel mundial</w:t>
      </w:r>
      <w:r w:rsidRPr="00005B17">
        <w:rPr>
          <w:rFonts w:ascii="Times New Roman" w:hAnsi="Times New Roman" w:cs="Times New Roman"/>
        </w:rPr>
        <w:t xml:space="preserve"> </w:t>
      </w:r>
      <w:r w:rsidR="001867C4">
        <w:rPr>
          <w:rFonts w:ascii="Times New Roman" w:hAnsi="Times New Roman" w:cs="Times New Roman"/>
        </w:rPr>
        <w:t>con</w:t>
      </w:r>
      <w:r w:rsidR="00F65D9F">
        <w:rPr>
          <w:rFonts w:ascii="Times New Roman" w:hAnsi="Times New Roman" w:cs="Times New Roman"/>
        </w:rPr>
        <w:t xml:space="preserve"> la implementación de</w:t>
      </w:r>
      <w:r w:rsidRPr="00005B17">
        <w:rPr>
          <w:rFonts w:ascii="Times New Roman" w:hAnsi="Times New Roman" w:cs="Times New Roman"/>
        </w:rPr>
        <w:t xml:space="preserve"> sistema</w:t>
      </w:r>
      <w:r w:rsidR="001867C4">
        <w:rPr>
          <w:rFonts w:ascii="Times New Roman" w:hAnsi="Times New Roman" w:cs="Times New Roman"/>
        </w:rPr>
        <w:t>s privados</w:t>
      </w:r>
      <w:r w:rsidRPr="00005B17">
        <w:rPr>
          <w:rFonts w:ascii="Times New Roman" w:hAnsi="Times New Roman" w:cs="Times New Roman"/>
        </w:rPr>
        <w:t xml:space="preserve"> de capitalización individual, con el supuesto de que las personas de la tercera edad </w:t>
      </w:r>
      <w:r w:rsidR="001867C4">
        <w:rPr>
          <w:rFonts w:ascii="Times New Roman" w:hAnsi="Times New Roman" w:cs="Times New Roman"/>
        </w:rPr>
        <w:t>logren obtener</w:t>
      </w:r>
      <w:r w:rsidRPr="00005B17">
        <w:rPr>
          <w:rFonts w:ascii="Times New Roman" w:hAnsi="Times New Roman" w:cs="Times New Roman"/>
        </w:rPr>
        <w:t xml:space="preserve"> los recursos suficientes para su  jubilación; además, el </w:t>
      </w:r>
      <w:r w:rsidR="00F65D9F">
        <w:rPr>
          <w:rFonts w:ascii="Times New Roman" w:hAnsi="Times New Roman" w:cs="Times New Roman"/>
        </w:rPr>
        <w:t>papel y funciones sociales del E</w:t>
      </w:r>
      <w:r w:rsidRPr="00005B17">
        <w:rPr>
          <w:rFonts w:ascii="Times New Roman" w:hAnsi="Times New Roman" w:cs="Times New Roman"/>
        </w:rPr>
        <w:t>stado como prestador de servicios públicos se ha visto reducido,</w:t>
      </w:r>
      <w:r w:rsidR="00247874">
        <w:rPr>
          <w:rFonts w:ascii="Times New Roman" w:hAnsi="Times New Roman" w:cs="Times New Roman"/>
        </w:rPr>
        <w:t xml:space="preserve"> gracias a la aplicación de lineamientos de política económica y social obligados por parte de organismos como el Fondo Monetario Internacional y el Banco Mundial;</w:t>
      </w:r>
      <w:r w:rsidRPr="00005B17">
        <w:rPr>
          <w:rFonts w:ascii="Times New Roman" w:hAnsi="Times New Roman" w:cs="Times New Roman"/>
        </w:rPr>
        <w:t xml:space="preserve"> por lo que la seguridad social</w:t>
      </w:r>
      <w:r w:rsidR="00F65D9F">
        <w:rPr>
          <w:rFonts w:ascii="Times New Roman" w:hAnsi="Times New Roman" w:cs="Times New Roman"/>
        </w:rPr>
        <w:t xml:space="preserve"> </w:t>
      </w:r>
      <w:r w:rsidRPr="00005B17">
        <w:rPr>
          <w:rFonts w:ascii="Times New Roman" w:hAnsi="Times New Roman" w:cs="Times New Roman"/>
        </w:rPr>
        <w:t xml:space="preserve"> </w:t>
      </w:r>
      <w:r w:rsidR="00F65D9F">
        <w:rPr>
          <w:rFonts w:ascii="Times New Roman" w:hAnsi="Times New Roman" w:cs="Times New Roman"/>
        </w:rPr>
        <w:t>deja de ser</w:t>
      </w:r>
      <w:r w:rsidR="00247874">
        <w:rPr>
          <w:rFonts w:ascii="Times New Roman" w:hAnsi="Times New Roman" w:cs="Times New Roman"/>
        </w:rPr>
        <w:t xml:space="preserve"> un derecho social, para convertirse en un sistema de seguridad privado. </w:t>
      </w:r>
    </w:p>
    <w:p w14:paraId="7D93F78D" w14:textId="5F427FFC" w:rsidR="00005B17" w:rsidRPr="005E03FB" w:rsidRDefault="005D02C6" w:rsidP="00005B17">
      <w:pPr>
        <w:spacing w:line="360" w:lineRule="auto"/>
        <w:jc w:val="both"/>
        <w:rPr>
          <w:rFonts w:ascii="Times New Roman" w:hAnsi="Times New Roman" w:cs="Times New Roman"/>
          <w:color w:val="000000" w:themeColor="text1"/>
        </w:rPr>
      </w:pPr>
      <w:r w:rsidRPr="005E03FB">
        <w:rPr>
          <w:rFonts w:ascii="Times New Roman" w:hAnsi="Times New Roman" w:cs="Times New Roman"/>
          <w:color w:val="000000" w:themeColor="text1"/>
        </w:rPr>
        <w:t xml:space="preserve">El neoliberalismo se caracteriza por la apertura comercial y financiera de los países con el objetivo de lograr mayor competitividad de las empresas privadas, donde las ganancias se invierten en el sistema financiero obteniendo acumulación de capital volátil. </w:t>
      </w:r>
    </w:p>
    <w:p w14:paraId="7EBB39E1" w14:textId="77777777" w:rsidR="005D02C6" w:rsidRPr="00005B17" w:rsidRDefault="005D02C6" w:rsidP="00005B17">
      <w:pPr>
        <w:spacing w:line="360" w:lineRule="auto"/>
        <w:jc w:val="both"/>
        <w:rPr>
          <w:rFonts w:ascii="Times New Roman" w:hAnsi="Times New Roman" w:cs="Times New Roman"/>
        </w:rPr>
      </w:pPr>
    </w:p>
    <w:p w14:paraId="6A78759D" w14:textId="2C41CA91" w:rsidR="00005B17" w:rsidRDefault="00005B17" w:rsidP="00005B17">
      <w:pPr>
        <w:spacing w:line="360" w:lineRule="auto"/>
        <w:jc w:val="both"/>
        <w:rPr>
          <w:rFonts w:ascii="Times New Roman" w:hAnsi="Times New Roman" w:cs="Times New Roman"/>
        </w:rPr>
      </w:pPr>
      <w:r w:rsidRPr="000223D6">
        <w:rPr>
          <w:rFonts w:ascii="Calibri" w:eastAsia="Times New Roman" w:hAnsi="Calibri" w:cs="Calibri"/>
          <w:color w:val="7030A0"/>
          <w:sz w:val="28"/>
          <w:szCs w:val="28"/>
          <w:lang w:val="es-ES"/>
        </w:rPr>
        <w:t xml:space="preserve">Palabras </w:t>
      </w:r>
      <w:r w:rsidR="00D47537" w:rsidRPr="000223D6">
        <w:rPr>
          <w:rFonts w:ascii="Calibri" w:eastAsia="Times New Roman" w:hAnsi="Calibri" w:cs="Calibri"/>
          <w:color w:val="7030A0"/>
          <w:sz w:val="28"/>
          <w:szCs w:val="28"/>
          <w:lang w:val="es-ES"/>
        </w:rPr>
        <w:t>c</w:t>
      </w:r>
      <w:r w:rsidRPr="000223D6">
        <w:rPr>
          <w:rFonts w:ascii="Calibri" w:eastAsia="Times New Roman" w:hAnsi="Calibri" w:cs="Calibri"/>
          <w:color w:val="7030A0"/>
          <w:sz w:val="28"/>
          <w:szCs w:val="28"/>
          <w:lang w:val="es-ES"/>
        </w:rPr>
        <w:t>lave:</w:t>
      </w:r>
      <w:r w:rsidRPr="00005B17">
        <w:rPr>
          <w:rFonts w:ascii="Times New Roman" w:hAnsi="Times New Roman" w:cs="Times New Roman"/>
        </w:rPr>
        <w:t xml:space="preserve"> </w:t>
      </w:r>
      <w:r w:rsidR="00D47537">
        <w:rPr>
          <w:rFonts w:ascii="Times New Roman" w:hAnsi="Times New Roman" w:cs="Times New Roman"/>
        </w:rPr>
        <w:t>s</w:t>
      </w:r>
      <w:r w:rsidRPr="00005B17">
        <w:rPr>
          <w:rFonts w:ascii="Times New Roman" w:hAnsi="Times New Roman" w:cs="Times New Roman"/>
        </w:rPr>
        <w:t>eguridad social</w:t>
      </w:r>
      <w:r w:rsidR="00D47537">
        <w:rPr>
          <w:rFonts w:ascii="Times New Roman" w:hAnsi="Times New Roman" w:cs="Times New Roman"/>
        </w:rPr>
        <w:t>,</w:t>
      </w:r>
      <w:r w:rsidRPr="00005B17">
        <w:rPr>
          <w:rFonts w:ascii="Times New Roman" w:hAnsi="Times New Roman" w:cs="Times New Roman"/>
        </w:rPr>
        <w:t xml:space="preserve"> </w:t>
      </w:r>
      <w:r w:rsidR="00D47537">
        <w:rPr>
          <w:rFonts w:ascii="Times New Roman" w:hAnsi="Times New Roman" w:cs="Times New Roman"/>
        </w:rPr>
        <w:t>p</w:t>
      </w:r>
      <w:r w:rsidRPr="00005B17">
        <w:rPr>
          <w:rFonts w:ascii="Times New Roman" w:hAnsi="Times New Roman" w:cs="Times New Roman"/>
        </w:rPr>
        <w:t>ensiones</w:t>
      </w:r>
      <w:r w:rsidR="00D47537">
        <w:rPr>
          <w:rFonts w:ascii="Times New Roman" w:hAnsi="Times New Roman" w:cs="Times New Roman"/>
        </w:rPr>
        <w:t>,</w:t>
      </w:r>
      <w:r w:rsidRPr="00005B17">
        <w:rPr>
          <w:rFonts w:ascii="Times New Roman" w:hAnsi="Times New Roman" w:cs="Times New Roman"/>
        </w:rPr>
        <w:t xml:space="preserve"> </w:t>
      </w:r>
      <w:r w:rsidR="00D47537">
        <w:rPr>
          <w:rFonts w:ascii="Times New Roman" w:hAnsi="Times New Roman" w:cs="Times New Roman"/>
        </w:rPr>
        <w:t>i</w:t>
      </w:r>
      <w:r w:rsidRPr="00005B17">
        <w:rPr>
          <w:rFonts w:ascii="Times New Roman" w:hAnsi="Times New Roman" w:cs="Times New Roman"/>
        </w:rPr>
        <w:t>nformación</w:t>
      </w:r>
      <w:r w:rsidR="00D47537">
        <w:rPr>
          <w:rFonts w:ascii="Times New Roman" w:hAnsi="Times New Roman" w:cs="Times New Roman"/>
        </w:rPr>
        <w:t>,</w:t>
      </w:r>
      <w:r w:rsidRPr="00005B17">
        <w:rPr>
          <w:rFonts w:ascii="Times New Roman" w:hAnsi="Times New Roman" w:cs="Times New Roman"/>
        </w:rPr>
        <w:t xml:space="preserve"> </w:t>
      </w:r>
      <w:r w:rsidR="005C2E5A">
        <w:rPr>
          <w:rFonts w:ascii="Times New Roman" w:hAnsi="Times New Roman" w:cs="Times New Roman"/>
        </w:rPr>
        <w:t>estado de bienestar</w:t>
      </w:r>
      <w:r w:rsidR="00D47537">
        <w:rPr>
          <w:rFonts w:ascii="Times New Roman" w:hAnsi="Times New Roman" w:cs="Times New Roman"/>
        </w:rPr>
        <w:t>.</w:t>
      </w:r>
    </w:p>
    <w:p w14:paraId="4FE9ECAB" w14:textId="77777777" w:rsidR="00B65181" w:rsidRDefault="00B65181" w:rsidP="00005B17">
      <w:pPr>
        <w:spacing w:line="360" w:lineRule="auto"/>
        <w:jc w:val="both"/>
        <w:rPr>
          <w:rFonts w:ascii="Times New Roman" w:hAnsi="Times New Roman" w:cs="Times New Roman"/>
        </w:rPr>
      </w:pPr>
    </w:p>
    <w:p w14:paraId="0EFC13BD" w14:textId="6571E383" w:rsidR="00C971A4" w:rsidRPr="0055190B" w:rsidRDefault="00247874" w:rsidP="00005B17">
      <w:pPr>
        <w:spacing w:line="360" w:lineRule="auto"/>
        <w:jc w:val="both"/>
        <w:rPr>
          <w:rFonts w:ascii="Calibri" w:eastAsia="Times New Roman" w:hAnsi="Calibri" w:cs="Calibri"/>
          <w:color w:val="7030A0"/>
          <w:sz w:val="28"/>
          <w:szCs w:val="28"/>
          <w:lang w:val="en-US"/>
        </w:rPr>
      </w:pPr>
      <w:r w:rsidRPr="0055190B">
        <w:rPr>
          <w:rFonts w:ascii="Calibri" w:eastAsia="Times New Roman" w:hAnsi="Calibri" w:cs="Calibri"/>
          <w:color w:val="7030A0"/>
          <w:sz w:val="28"/>
          <w:szCs w:val="28"/>
          <w:lang w:val="en-US"/>
        </w:rPr>
        <w:t>Abstrac</w:t>
      </w:r>
      <w:r w:rsidR="00D47537" w:rsidRPr="0055190B">
        <w:rPr>
          <w:rFonts w:ascii="Calibri" w:eastAsia="Times New Roman" w:hAnsi="Calibri" w:cs="Calibri"/>
          <w:color w:val="7030A0"/>
          <w:sz w:val="28"/>
          <w:szCs w:val="28"/>
          <w:lang w:val="en-US"/>
        </w:rPr>
        <w:t>t</w:t>
      </w:r>
    </w:p>
    <w:p w14:paraId="3AB5E197" w14:textId="1729A775" w:rsidR="00CA32F0" w:rsidRPr="0055190B" w:rsidRDefault="00705FA8" w:rsidP="00CA32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US"/>
        </w:rPr>
      </w:pPr>
      <w:r w:rsidRPr="0055190B">
        <w:rPr>
          <w:rFonts w:ascii="Times New Roman" w:hAnsi="Times New Roman" w:cs="Times New Roman"/>
          <w:lang w:val="en-US"/>
        </w:rPr>
        <w:t>The</w:t>
      </w:r>
      <w:r w:rsidR="00CA32F0" w:rsidRPr="0055190B">
        <w:rPr>
          <w:rFonts w:ascii="Times New Roman" w:hAnsi="Times New Roman" w:cs="Times New Roman"/>
          <w:lang w:val="en-US"/>
        </w:rPr>
        <w:t xml:space="preserve"> Social Security in the pension system in Mexico is a subject of analysis that deserves consideration, because they have approved reforms in pension systems in Latin America and worldwide with the implementation of private funded systems, with the assumption that older people manage to get sufficient resources for their retirement</w:t>
      </w:r>
      <w:r w:rsidRPr="0055190B">
        <w:rPr>
          <w:rFonts w:ascii="Times New Roman" w:hAnsi="Times New Roman" w:cs="Times New Roman"/>
          <w:lang w:val="en-US"/>
        </w:rPr>
        <w:t>. F</w:t>
      </w:r>
      <w:r w:rsidR="00CA32F0" w:rsidRPr="0055190B">
        <w:rPr>
          <w:rFonts w:ascii="Times New Roman" w:hAnsi="Times New Roman" w:cs="Times New Roman"/>
          <w:lang w:val="en-US"/>
        </w:rPr>
        <w:t xml:space="preserve">urthermore, the role and social functions of the state as a provider of public services has been reduced, thanks to the implementation of guidelines for economic and social policy required by organizations like the International Monetary </w:t>
      </w:r>
      <w:r w:rsidR="00CA32F0" w:rsidRPr="0055190B">
        <w:rPr>
          <w:rFonts w:ascii="Times New Roman" w:hAnsi="Times New Roman" w:cs="Times New Roman"/>
          <w:lang w:val="en-US"/>
        </w:rPr>
        <w:lastRenderedPageBreak/>
        <w:t>Fund and the World Bank; so the social security ceases to be a social right to become a private security system.</w:t>
      </w:r>
    </w:p>
    <w:p w14:paraId="76A4C0C7" w14:textId="77777777" w:rsidR="00CA32F0" w:rsidRPr="0055190B" w:rsidRDefault="00CA32F0" w:rsidP="00CA32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US"/>
        </w:rPr>
      </w:pPr>
    </w:p>
    <w:p w14:paraId="7C878D8B" w14:textId="74DDE231" w:rsidR="00CA32F0" w:rsidRPr="0055190B" w:rsidRDefault="00CA32F0" w:rsidP="00CA32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US"/>
        </w:rPr>
      </w:pPr>
      <w:r w:rsidRPr="0055190B">
        <w:rPr>
          <w:rFonts w:ascii="Calibri" w:eastAsia="Times New Roman" w:hAnsi="Calibri" w:cs="Calibri"/>
          <w:color w:val="7030A0"/>
          <w:sz w:val="28"/>
          <w:szCs w:val="28"/>
          <w:lang w:val="en-US"/>
        </w:rPr>
        <w:t>Key</w:t>
      </w:r>
      <w:r w:rsidR="002E5E14" w:rsidRPr="0055190B">
        <w:rPr>
          <w:rFonts w:ascii="Calibri" w:eastAsia="Times New Roman" w:hAnsi="Calibri" w:cs="Calibri"/>
          <w:color w:val="7030A0"/>
          <w:sz w:val="28"/>
          <w:szCs w:val="28"/>
          <w:lang w:val="en-US"/>
        </w:rPr>
        <w:t xml:space="preserve"> </w:t>
      </w:r>
      <w:r w:rsidRPr="0055190B">
        <w:rPr>
          <w:rFonts w:ascii="Calibri" w:eastAsia="Times New Roman" w:hAnsi="Calibri" w:cs="Calibri"/>
          <w:color w:val="7030A0"/>
          <w:sz w:val="28"/>
          <w:szCs w:val="28"/>
          <w:lang w:val="en-US"/>
        </w:rPr>
        <w:t>words:</w:t>
      </w:r>
      <w:r w:rsidRPr="0055190B">
        <w:rPr>
          <w:rFonts w:ascii="Times New Roman" w:hAnsi="Times New Roman" w:cs="Times New Roman"/>
          <w:lang w:val="en-US"/>
        </w:rPr>
        <w:t xml:space="preserve"> </w:t>
      </w:r>
      <w:r w:rsidR="002E5E14" w:rsidRPr="0055190B">
        <w:rPr>
          <w:rFonts w:ascii="Times New Roman" w:hAnsi="Times New Roman" w:cs="Times New Roman"/>
          <w:lang w:val="en-US"/>
        </w:rPr>
        <w:t>s</w:t>
      </w:r>
      <w:r w:rsidRPr="0055190B">
        <w:rPr>
          <w:rFonts w:ascii="Times New Roman" w:hAnsi="Times New Roman" w:cs="Times New Roman"/>
          <w:lang w:val="en-US"/>
        </w:rPr>
        <w:t xml:space="preserve">ocial </w:t>
      </w:r>
      <w:r w:rsidR="002E5E14" w:rsidRPr="0055190B">
        <w:rPr>
          <w:rFonts w:ascii="Times New Roman" w:hAnsi="Times New Roman" w:cs="Times New Roman"/>
          <w:lang w:val="en-US"/>
        </w:rPr>
        <w:t>s</w:t>
      </w:r>
      <w:r w:rsidRPr="0055190B">
        <w:rPr>
          <w:rFonts w:ascii="Times New Roman" w:hAnsi="Times New Roman" w:cs="Times New Roman"/>
          <w:lang w:val="en-US"/>
        </w:rPr>
        <w:t>ecurity</w:t>
      </w:r>
      <w:r w:rsidR="002E5E14" w:rsidRPr="0055190B">
        <w:rPr>
          <w:rFonts w:ascii="Times New Roman" w:hAnsi="Times New Roman" w:cs="Times New Roman"/>
          <w:lang w:val="en-US"/>
        </w:rPr>
        <w:t>,</w:t>
      </w:r>
      <w:r w:rsidRPr="0055190B">
        <w:rPr>
          <w:rFonts w:ascii="Times New Roman" w:hAnsi="Times New Roman" w:cs="Times New Roman"/>
          <w:lang w:val="en-US"/>
        </w:rPr>
        <w:t xml:space="preserve"> pensions</w:t>
      </w:r>
      <w:r w:rsidR="002E5E14" w:rsidRPr="0055190B">
        <w:rPr>
          <w:rFonts w:ascii="Times New Roman" w:hAnsi="Times New Roman" w:cs="Times New Roman"/>
          <w:lang w:val="en-US"/>
        </w:rPr>
        <w:t>,</w:t>
      </w:r>
      <w:r w:rsidRPr="0055190B">
        <w:rPr>
          <w:rFonts w:ascii="Times New Roman" w:hAnsi="Times New Roman" w:cs="Times New Roman"/>
          <w:lang w:val="en-US"/>
        </w:rPr>
        <w:t xml:space="preserve"> </w:t>
      </w:r>
      <w:r w:rsidR="002E5E14" w:rsidRPr="0055190B">
        <w:rPr>
          <w:rFonts w:ascii="Times New Roman" w:hAnsi="Times New Roman" w:cs="Times New Roman"/>
          <w:lang w:val="en-US"/>
        </w:rPr>
        <w:t>i</w:t>
      </w:r>
      <w:r w:rsidRPr="0055190B">
        <w:rPr>
          <w:rFonts w:ascii="Times New Roman" w:hAnsi="Times New Roman" w:cs="Times New Roman"/>
          <w:lang w:val="en-US"/>
        </w:rPr>
        <w:t>nformation</w:t>
      </w:r>
      <w:r w:rsidR="002E5E14" w:rsidRPr="0055190B">
        <w:rPr>
          <w:rFonts w:ascii="Times New Roman" w:hAnsi="Times New Roman" w:cs="Times New Roman"/>
          <w:lang w:val="en-US"/>
        </w:rPr>
        <w:t>,</w:t>
      </w:r>
      <w:r w:rsidRPr="0055190B">
        <w:rPr>
          <w:rFonts w:ascii="Times New Roman" w:hAnsi="Times New Roman" w:cs="Times New Roman"/>
          <w:lang w:val="en-US"/>
        </w:rPr>
        <w:t xml:space="preserve"> </w:t>
      </w:r>
      <w:r w:rsidR="002E5E14" w:rsidRPr="0055190B">
        <w:rPr>
          <w:rFonts w:ascii="Times New Roman" w:hAnsi="Times New Roman" w:cs="Times New Roman"/>
          <w:lang w:val="en-US"/>
        </w:rPr>
        <w:t>w</w:t>
      </w:r>
      <w:r w:rsidRPr="0055190B">
        <w:rPr>
          <w:rFonts w:ascii="Times New Roman" w:hAnsi="Times New Roman" w:cs="Times New Roman"/>
          <w:lang w:val="en-US"/>
        </w:rPr>
        <w:t>elfare state</w:t>
      </w:r>
      <w:r w:rsidR="002E5E14" w:rsidRPr="0055190B">
        <w:rPr>
          <w:rFonts w:ascii="Times New Roman" w:hAnsi="Times New Roman" w:cs="Times New Roman"/>
          <w:lang w:val="en-US"/>
        </w:rPr>
        <w:t>.</w:t>
      </w:r>
    </w:p>
    <w:p w14:paraId="638EA3D9" w14:textId="150687CB" w:rsidR="000223D6" w:rsidRDefault="000223D6" w:rsidP="000223D6">
      <w:pPr>
        <w:spacing w:line="360" w:lineRule="auto"/>
        <w:jc w:val="both"/>
        <w:rPr>
          <w:rFonts w:cs="Calibri"/>
        </w:rPr>
      </w:pPr>
      <w:r w:rsidRPr="000223D6">
        <w:rPr>
          <w:rFonts w:ascii="Times New Roman" w:hAnsi="Times New Roman" w:cs="Times New Roman"/>
          <w:b/>
          <w:color w:val="000000"/>
        </w:rPr>
        <w:t>Fecha Recepción:</w:t>
      </w:r>
      <w:r w:rsidRPr="000223D6">
        <w:rPr>
          <w:rFonts w:ascii="Times New Roman" w:hAnsi="Times New Roman" w:cs="Times New Roman"/>
          <w:color w:val="000000"/>
        </w:rPr>
        <w:t xml:space="preserve">     </w:t>
      </w:r>
      <w:r w:rsidR="000C5576">
        <w:rPr>
          <w:rFonts w:ascii="Times New Roman" w:hAnsi="Times New Roman" w:cs="Times New Roman"/>
          <w:color w:val="000000"/>
        </w:rPr>
        <w:t>Junio</w:t>
      </w:r>
      <w:r w:rsidR="00D67180">
        <w:rPr>
          <w:rFonts w:ascii="Times New Roman" w:hAnsi="Times New Roman" w:cs="Times New Roman"/>
          <w:color w:val="000000"/>
        </w:rPr>
        <w:t xml:space="preserve"> 2015</w:t>
      </w:r>
      <w:r w:rsidRPr="000223D6">
        <w:rPr>
          <w:rFonts w:ascii="Times New Roman" w:hAnsi="Times New Roman" w:cs="Times New Roman"/>
          <w:color w:val="000000"/>
        </w:rPr>
        <w:t xml:space="preserve">     </w:t>
      </w:r>
      <w:r w:rsidRPr="000223D6">
        <w:rPr>
          <w:rFonts w:ascii="Times New Roman" w:hAnsi="Times New Roman" w:cs="Times New Roman"/>
          <w:b/>
          <w:color w:val="000000"/>
        </w:rPr>
        <w:t>Fecha Aceptación:</w:t>
      </w:r>
      <w:r w:rsidRPr="000223D6">
        <w:rPr>
          <w:rFonts w:ascii="Times New Roman" w:hAnsi="Times New Roman" w:cs="Times New Roman"/>
          <w:color w:val="000000"/>
        </w:rPr>
        <w:t xml:space="preserve"> </w:t>
      </w:r>
      <w:r w:rsidR="000C5576">
        <w:rPr>
          <w:rFonts w:ascii="Times New Roman" w:hAnsi="Times New Roman" w:cs="Times New Roman"/>
          <w:color w:val="000000"/>
        </w:rPr>
        <w:t>Diciembre</w:t>
      </w:r>
      <w:r w:rsidR="00D67180">
        <w:rPr>
          <w:rFonts w:ascii="Times New Roman" w:hAnsi="Times New Roman" w:cs="Times New Roman"/>
          <w:color w:val="000000"/>
        </w:rPr>
        <w:t xml:space="preserve"> 2015</w:t>
      </w:r>
      <w:r w:rsidRPr="00BF1827">
        <w:rPr>
          <w:color w:val="000000"/>
        </w:rPr>
        <w:br/>
      </w:r>
      <w:r w:rsidR="00E93919">
        <w:rPr>
          <w:rFonts w:cs="Calibri"/>
        </w:rPr>
        <w:pict w14:anchorId="3A1F7314">
          <v:rect id="_x0000_i1025" style="width:0;height:1.5pt" o:hralign="center" o:hrstd="t" o:hr="t" fillcolor="#a0a0a0" stroked="f"/>
        </w:pict>
      </w:r>
    </w:p>
    <w:p w14:paraId="680828E8" w14:textId="77777777" w:rsidR="0068109A" w:rsidRDefault="0068109A" w:rsidP="00CA32F0">
      <w:pPr>
        <w:spacing w:line="360" w:lineRule="auto"/>
        <w:jc w:val="both"/>
        <w:rPr>
          <w:rFonts w:ascii="Times New Roman" w:hAnsi="Times New Roman" w:cs="Times New Roman"/>
        </w:rPr>
      </w:pPr>
    </w:p>
    <w:p w14:paraId="7899C297" w14:textId="77777777" w:rsidR="00247874" w:rsidRDefault="00247874" w:rsidP="00CA32F0">
      <w:pPr>
        <w:spacing w:line="360" w:lineRule="auto"/>
        <w:jc w:val="both"/>
        <w:rPr>
          <w:rFonts w:ascii="Times New Roman" w:hAnsi="Times New Roman" w:cs="Times New Roman"/>
        </w:rPr>
      </w:pPr>
    </w:p>
    <w:p w14:paraId="5C293D01" w14:textId="4E24C593" w:rsidR="00B65181" w:rsidRPr="000223D6" w:rsidRDefault="00B65181" w:rsidP="00CA32F0">
      <w:pPr>
        <w:spacing w:line="360" w:lineRule="auto"/>
        <w:jc w:val="both"/>
        <w:rPr>
          <w:rFonts w:ascii="Calibri" w:eastAsia="Times New Roman" w:hAnsi="Calibri" w:cs="Calibri"/>
          <w:color w:val="7030A0"/>
          <w:sz w:val="28"/>
          <w:szCs w:val="28"/>
          <w:lang w:val="es-ES"/>
        </w:rPr>
      </w:pPr>
      <w:r w:rsidRPr="000223D6">
        <w:rPr>
          <w:rFonts w:ascii="Calibri" w:eastAsia="Times New Roman" w:hAnsi="Calibri" w:cs="Calibri"/>
          <w:color w:val="7030A0"/>
          <w:sz w:val="28"/>
          <w:szCs w:val="28"/>
          <w:lang w:val="es-ES"/>
        </w:rPr>
        <w:t>Introducción</w:t>
      </w:r>
    </w:p>
    <w:p w14:paraId="351623E2" w14:textId="77777777" w:rsidR="00B65181" w:rsidRDefault="00B65181" w:rsidP="00005B17">
      <w:pPr>
        <w:spacing w:line="360" w:lineRule="auto"/>
        <w:jc w:val="both"/>
        <w:rPr>
          <w:rFonts w:ascii="Times New Roman" w:hAnsi="Times New Roman" w:cs="Times New Roman"/>
        </w:rPr>
      </w:pPr>
    </w:p>
    <w:p w14:paraId="0C735303" w14:textId="58971C02" w:rsidR="00C971A4" w:rsidRDefault="00C971A4" w:rsidP="00C971A4">
      <w:pPr>
        <w:spacing w:line="360" w:lineRule="auto"/>
        <w:jc w:val="both"/>
        <w:rPr>
          <w:rFonts w:ascii="Times New Roman" w:hAnsi="Times New Roman" w:cs="Times New Roman"/>
        </w:rPr>
      </w:pPr>
      <w:r>
        <w:rPr>
          <w:rFonts w:ascii="Times New Roman" w:hAnsi="Times New Roman" w:cs="Times New Roman"/>
        </w:rPr>
        <w:t>Actualmente el sistema económico que impera en la mayoría de los países de América Latina es liberal, es decir,</w:t>
      </w:r>
      <w:r w:rsidRPr="00C971A4">
        <w:rPr>
          <w:rFonts w:ascii="Times New Roman" w:hAnsi="Times New Roman" w:cs="Times New Roman"/>
        </w:rPr>
        <w:t xml:space="preserve"> se caracteriza principalmente por </w:t>
      </w:r>
      <w:r w:rsidR="001867C4">
        <w:rPr>
          <w:rFonts w:ascii="Times New Roman" w:hAnsi="Times New Roman" w:cs="Times New Roman"/>
        </w:rPr>
        <w:t xml:space="preserve">buscar </w:t>
      </w:r>
      <w:r w:rsidRPr="00C971A4">
        <w:rPr>
          <w:rFonts w:ascii="Times New Roman" w:hAnsi="Times New Roman" w:cs="Times New Roman"/>
        </w:rPr>
        <w:t>la sep</w:t>
      </w:r>
      <w:r w:rsidR="00470272">
        <w:rPr>
          <w:rFonts w:ascii="Times New Roman" w:hAnsi="Times New Roman" w:cs="Times New Roman"/>
        </w:rPr>
        <w:t xml:space="preserve">aración entre </w:t>
      </w:r>
      <w:r w:rsidR="001867C4">
        <w:rPr>
          <w:rFonts w:ascii="Times New Roman" w:hAnsi="Times New Roman" w:cs="Times New Roman"/>
        </w:rPr>
        <w:t xml:space="preserve">el </w:t>
      </w:r>
      <w:r w:rsidR="00470272">
        <w:rPr>
          <w:rFonts w:ascii="Times New Roman" w:hAnsi="Times New Roman" w:cs="Times New Roman"/>
        </w:rPr>
        <w:t xml:space="preserve">Estado y </w:t>
      </w:r>
      <w:r w:rsidR="00EE42CE">
        <w:rPr>
          <w:rFonts w:ascii="Times New Roman" w:hAnsi="Times New Roman" w:cs="Times New Roman"/>
        </w:rPr>
        <w:t xml:space="preserve">la </w:t>
      </w:r>
      <w:r w:rsidR="00470272">
        <w:rPr>
          <w:rFonts w:ascii="Times New Roman" w:hAnsi="Times New Roman" w:cs="Times New Roman"/>
        </w:rPr>
        <w:t>economía</w:t>
      </w:r>
      <w:r w:rsidR="00EE42CE">
        <w:rPr>
          <w:rFonts w:ascii="Times New Roman" w:hAnsi="Times New Roman" w:cs="Times New Roman"/>
        </w:rPr>
        <w:t>,</w:t>
      </w:r>
      <w:r w:rsidR="00470272">
        <w:rPr>
          <w:rFonts w:ascii="Times New Roman" w:hAnsi="Times New Roman" w:cs="Times New Roman"/>
        </w:rPr>
        <w:t xml:space="preserve"> por lo que l</w:t>
      </w:r>
      <w:r>
        <w:rPr>
          <w:rFonts w:ascii="Times New Roman" w:hAnsi="Times New Roman" w:cs="Times New Roman"/>
        </w:rPr>
        <w:t xml:space="preserve">as propuestas neoliberales tienen como elección </w:t>
      </w:r>
      <w:r w:rsidRPr="00C971A4">
        <w:rPr>
          <w:rFonts w:ascii="Times New Roman" w:hAnsi="Times New Roman" w:cs="Times New Roman"/>
        </w:rPr>
        <w:t xml:space="preserve">ampliar el papel del sector privado, a modo de compensar las fallas </w:t>
      </w:r>
      <w:r>
        <w:rPr>
          <w:rFonts w:ascii="Times New Roman" w:hAnsi="Times New Roman" w:cs="Times New Roman"/>
        </w:rPr>
        <w:t xml:space="preserve">del Estado </w:t>
      </w:r>
      <w:r w:rsidR="001867C4">
        <w:rPr>
          <w:rFonts w:ascii="Times New Roman" w:hAnsi="Times New Roman" w:cs="Times New Roman"/>
        </w:rPr>
        <w:t xml:space="preserve">por su intervención </w:t>
      </w:r>
      <w:r>
        <w:rPr>
          <w:rFonts w:ascii="Times New Roman" w:hAnsi="Times New Roman" w:cs="Times New Roman"/>
        </w:rPr>
        <w:t>en el mercado.</w:t>
      </w:r>
    </w:p>
    <w:p w14:paraId="6097F903" w14:textId="77777777" w:rsidR="00DB11F0" w:rsidRDefault="00DB11F0" w:rsidP="00C971A4">
      <w:pPr>
        <w:spacing w:line="360" w:lineRule="auto"/>
        <w:jc w:val="both"/>
        <w:rPr>
          <w:rFonts w:ascii="Times New Roman" w:hAnsi="Times New Roman" w:cs="Times New Roman"/>
        </w:rPr>
      </w:pPr>
    </w:p>
    <w:p w14:paraId="4DF171F6" w14:textId="0724EE69" w:rsidR="001E1D65" w:rsidRDefault="00DB11F0" w:rsidP="00C971A4">
      <w:pPr>
        <w:spacing w:line="360" w:lineRule="auto"/>
        <w:jc w:val="both"/>
        <w:rPr>
          <w:rFonts w:ascii="Times New Roman" w:hAnsi="Times New Roman" w:cs="Times New Roman"/>
        </w:rPr>
      </w:pPr>
      <w:r>
        <w:rPr>
          <w:rFonts w:ascii="Times New Roman" w:hAnsi="Times New Roman" w:cs="Times New Roman"/>
        </w:rPr>
        <w:t xml:space="preserve">Cabe preguntar desde cuándo deja de existir el </w:t>
      </w:r>
      <w:r w:rsidR="0084107D">
        <w:rPr>
          <w:rFonts w:ascii="Times New Roman" w:hAnsi="Times New Roman" w:cs="Times New Roman"/>
        </w:rPr>
        <w:t>e</w:t>
      </w:r>
      <w:r w:rsidR="005C2E5A">
        <w:rPr>
          <w:rFonts w:ascii="Times New Roman" w:hAnsi="Times New Roman" w:cs="Times New Roman"/>
        </w:rPr>
        <w:t>stado de bienestar</w:t>
      </w:r>
      <w:r>
        <w:rPr>
          <w:rFonts w:ascii="Times New Roman" w:hAnsi="Times New Roman" w:cs="Times New Roman"/>
        </w:rPr>
        <w:t xml:space="preserve">, y si actualmente empieza a </w:t>
      </w:r>
      <w:r w:rsidR="00A14587">
        <w:rPr>
          <w:rFonts w:ascii="Times New Roman" w:hAnsi="Times New Roman" w:cs="Times New Roman"/>
        </w:rPr>
        <w:t>debilitarse</w:t>
      </w:r>
      <w:r>
        <w:rPr>
          <w:rFonts w:ascii="Times New Roman" w:hAnsi="Times New Roman" w:cs="Times New Roman"/>
        </w:rPr>
        <w:t xml:space="preserve"> la seguridad social dentro del sistema pensionario</w:t>
      </w:r>
      <w:r w:rsidR="00EE42CE">
        <w:rPr>
          <w:rFonts w:ascii="Times New Roman" w:hAnsi="Times New Roman" w:cs="Times New Roman"/>
        </w:rPr>
        <w:t>.</w:t>
      </w:r>
      <w:r w:rsidR="001867C4">
        <w:rPr>
          <w:rFonts w:ascii="Times New Roman" w:hAnsi="Times New Roman" w:cs="Times New Roman"/>
        </w:rPr>
        <w:t xml:space="preserve"> Este estudio investiga si el Estado </w:t>
      </w:r>
      <w:r w:rsidR="001E1D65">
        <w:rPr>
          <w:rFonts w:ascii="Times New Roman" w:hAnsi="Times New Roman" w:cs="Times New Roman"/>
        </w:rPr>
        <w:t xml:space="preserve">se ha despreocupado </w:t>
      </w:r>
      <w:r w:rsidR="00EE42CE">
        <w:rPr>
          <w:rFonts w:ascii="Times New Roman" w:hAnsi="Times New Roman" w:cs="Times New Roman"/>
        </w:rPr>
        <w:t>de</w:t>
      </w:r>
      <w:r w:rsidR="001E1D65">
        <w:rPr>
          <w:rFonts w:ascii="Times New Roman" w:hAnsi="Times New Roman" w:cs="Times New Roman"/>
        </w:rPr>
        <w:t xml:space="preserve"> l</w:t>
      </w:r>
      <w:r w:rsidR="00EE42CE">
        <w:rPr>
          <w:rFonts w:ascii="Times New Roman" w:hAnsi="Times New Roman" w:cs="Times New Roman"/>
        </w:rPr>
        <w:t>o</w:t>
      </w:r>
      <w:r w:rsidR="001E1D65">
        <w:rPr>
          <w:rFonts w:ascii="Times New Roman" w:hAnsi="Times New Roman" w:cs="Times New Roman"/>
        </w:rPr>
        <w:t xml:space="preserve">s </w:t>
      </w:r>
      <w:r w:rsidR="001E1D65" w:rsidRPr="001E1D65">
        <w:rPr>
          <w:rFonts w:ascii="Times New Roman" w:hAnsi="Times New Roman" w:cs="Times New Roman"/>
        </w:rPr>
        <w:t>riesgos</w:t>
      </w:r>
      <w:r w:rsidR="001E1D65">
        <w:rPr>
          <w:rFonts w:ascii="Times New Roman" w:hAnsi="Times New Roman" w:cs="Times New Roman"/>
        </w:rPr>
        <w:t xml:space="preserve"> que puede provocar </w:t>
      </w:r>
      <w:r w:rsidR="00411557">
        <w:rPr>
          <w:rFonts w:ascii="Times New Roman" w:hAnsi="Times New Roman" w:cs="Times New Roman"/>
        </w:rPr>
        <w:t xml:space="preserve">el </w:t>
      </w:r>
      <w:r w:rsidR="001E1D65">
        <w:rPr>
          <w:rFonts w:ascii="Times New Roman" w:hAnsi="Times New Roman" w:cs="Times New Roman"/>
        </w:rPr>
        <w:t>desa</w:t>
      </w:r>
      <w:r w:rsidR="001E1D65" w:rsidRPr="00A14587">
        <w:rPr>
          <w:rFonts w:ascii="Times New Roman" w:hAnsi="Times New Roman" w:cs="Times New Roman"/>
        </w:rPr>
        <w:t xml:space="preserve">tender las </w:t>
      </w:r>
      <w:r w:rsidR="00411557" w:rsidRPr="00A14587">
        <w:rPr>
          <w:rFonts w:ascii="Times New Roman" w:hAnsi="Times New Roman" w:cs="Times New Roman"/>
        </w:rPr>
        <w:t>contingencias sociales</w:t>
      </w:r>
      <w:r w:rsidR="00BB52E2">
        <w:rPr>
          <w:rFonts w:ascii="Times New Roman" w:hAnsi="Times New Roman" w:cs="Times New Roman"/>
        </w:rPr>
        <w:t>, tales como las enferm</w:t>
      </w:r>
      <w:r w:rsidR="008F6C24">
        <w:rPr>
          <w:rFonts w:ascii="Times New Roman" w:hAnsi="Times New Roman" w:cs="Times New Roman"/>
        </w:rPr>
        <w:t>edades y el sistema pensionario, y dejarl</w:t>
      </w:r>
      <w:r w:rsidR="00EE42CE">
        <w:rPr>
          <w:rFonts w:ascii="Times New Roman" w:hAnsi="Times New Roman" w:cs="Times New Roman"/>
        </w:rPr>
        <w:t>as</w:t>
      </w:r>
      <w:r w:rsidR="008F6C24">
        <w:rPr>
          <w:rFonts w:ascii="Times New Roman" w:hAnsi="Times New Roman" w:cs="Times New Roman"/>
        </w:rPr>
        <w:t xml:space="preserve"> en manos de instituciones privadas.</w:t>
      </w:r>
    </w:p>
    <w:p w14:paraId="6CB2CC01" w14:textId="77777777" w:rsidR="00411557" w:rsidRDefault="00411557" w:rsidP="00C971A4">
      <w:pPr>
        <w:spacing w:line="360" w:lineRule="auto"/>
        <w:jc w:val="both"/>
        <w:rPr>
          <w:rFonts w:ascii="Times New Roman" w:hAnsi="Times New Roman" w:cs="Times New Roman"/>
        </w:rPr>
      </w:pPr>
    </w:p>
    <w:p w14:paraId="1CAE000A" w14:textId="4E5F6AAC" w:rsidR="00542778" w:rsidRDefault="00DB11F0" w:rsidP="00542778">
      <w:pPr>
        <w:spacing w:line="360" w:lineRule="auto"/>
        <w:jc w:val="both"/>
        <w:rPr>
          <w:rFonts w:ascii="Times New Roman" w:hAnsi="Times New Roman" w:cs="Times New Roman"/>
        </w:rPr>
      </w:pPr>
      <w:r w:rsidRPr="00C971A4">
        <w:rPr>
          <w:rFonts w:ascii="Times New Roman" w:hAnsi="Times New Roman" w:cs="Times New Roman"/>
        </w:rPr>
        <w:t xml:space="preserve">En América Latina, </w:t>
      </w:r>
      <w:r w:rsidR="00542778">
        <w:rPr>
          <w:rFonts w:ascii="Times New Roman" w:hAnsi="Times New Roman" w:cs="Times New Roman"/>
        </w:rPr>
        <w:t>el adoptar</w:t>
      </w:r>
      <w:r w:rsidRPr="00C971A4">
        <w:rPr>
          <w:rFonts w:ascii="Times New Roman" w:hAnsi="Times New Roman" w:cs="Times New Roman"/>
        </w:rPr>
        <w:t xml:space="preserve"> recomendaciones </w:t>
      </w:r>
      <w:r w:rsidR="00542778">
        <w:rPr>
          <w:rFonts w:ascii="Times New Roman" w:hAnsi="Times New Roman" w:cs="Times New Roman"/>
        </w:rPr>
        <w:t>realizadas</w:t>
      </w:r>
      <w:r w:rsidR="001E1D65">
        <w:rPr>
          <w:rFonts w:ascii="Times New Roman" w:hAnsi="Times New Roman" w:cs="Times New Roman"/>
        </w:rPr>
        <w:t xml:space="preserve"> por el</w:t>
      </w:r>
      <w:r w:rsidRPr="00C971A4">
        <w:rPr>
          <w:rFonts w:ascii="Times New Roman" w:hAnsi="Times New Roman" w:cs="Times New Roman"/>
        </w:rPr>
        <w:t xml:space="preserve"> Fondo Monetario Internacional (FMI) y del Banco Mundial </w:t>
      </w:r>
      <w:r w:rsidR="001E1D65">
        <w:rPr>
          <w:rFonts w:ascii="Times New Roman" w:hAnsi="Times New Roman" w:cs="Times New Roman"/>
        </w:rPr>
        <w:t>sobre</w:t>
      </w:r>
      <w:r w:rsidRPr="00C971A4">
        <w:rPr>
          <w:rFonts w:ascii="Times New Roman" w:hAnsi="Times New Roman" w:cs="Times New Roman"/>
        </w:rPr>
        <w:t xml:space="preserve"> la </w:t>
      </w:r>
      <w:r w:rsidR="00BB52E2">
        <w:rPr>
          <w:rFonts w:ascii="Times New Roman" w:hAnsi="Times New Roman" w:cs="Times New Roman"/>
        </w:rPr>
        <w:t>desregulación</w:t>
      </w:r>
      <w:r>
        <w:rPr>
          <w:rFonts w:ascii="Times New Roman" w:hAnsi="Times New Roman" w:cs="Times New Roman"/>
        </w:rPr>
        <w:t xml:space="preserve"> del mercado</w:t>
      </w:r>
      <w:r w:rsidR="00542778">
        <w:rPr>
          <w:rFonts w:ascii="Times New Roman" w:hAnsi="Times New Roman" w:cs="Times New Roman"/>
        </w:rPr>
        <w:t>,</w:t>
      </w:r>
      <w:r w:rsidR="001E1D65">
        <w:rPr>
          <w:rFonts w:ascii="Times New Roman" w:hAnsi="Times New Roman" w:cs="Times New Roman"/>
        </w:rPr>
        <w:t xml:space="preserve"> </w:t>
      </w:r>
      <w:r w:rsidR="00CB748A">
        <w:rPr>
          <w:rFonts w:ascii="Times New Roman" w:hAnsi="Times New Roman" w:cs="Times New Roman"/>
        </w:rPr>
        <w:t>a fin de crear m</w:t>
      </w:r>
      <w:r w:rsidR="001A70A9">
        <w:rPr>
          <w:rFonts w:ascii="Times New Roman" w:hAnsi="Times New Roman" w:cs="Times New Roman"/>
        </w:rPr>
        <w:t>á</w:t>
      </w:r>
      <w:r w:rsidR="00CB748A">
        <w:rPr>
          <w:rFonts w:ascii="Times New Roman" w:hAnsi="Times New Roman" w:cs="Times New Roman"/>
        </w:rPr>
        <w:t>s</w:t>
      </w:r>
      <w:r w:rsidR="001E1D65">
        <w:rPr>
          <w:rFonts w:ascii="Times New Roman" w:hAnsi="Times New Roman" w:cs="Times New Roman"/>
        </w:rPr>
        <w:t xml:space="preserve"> empleos,</w:t>
      </w:r>
      <w:r>
        <w:rPr>
          <w:rFonts w:ascii="Times New Roman" w:hAnsi="Times New Roman" w:cs="Times New Roman"/>
        </w:rPr>
        <w:t xml:space="preserve"> </w:t>
      </w:r>
      <w:r w:rsidR="00542778">
        <w:rPr>
          <w:rFonts w:ascii="Times New Roman" w:hAnsi="Times New Roman" w:cs="Times New Roman"/>
        </w:rPr>
        <w:t>no corresponde</w:t>
      </w:r>
      <w:r w:rsidR="00542778" w:rsidRPr="00C971A4">
        <w:rPr>
          <w:rFonts w:ascii="Times New Roman" w:hAnsi="Times New Roman" w:cs="Times New Roman"/>
        </w:rPr>
        <w:t xml:space="preserve"> s</w:t>
      </w:r>
      <w:r w:rsidR="001A70A9">
        <w:rPr>
          <w:rFonts w:ascii="Times New Roman" w:hAnsi="Times New Roman" w:cs="Times New Roman"/>
        </w:rPr>
        <w:t>o</w:t>
      </w:r>
      <w:r w:rsidR="00542778" w:rsidRPr="00C971A4">
        <w:rPr>
          <w:rFonts w:ascii="Times New Roman" w:hAnsi="Times New Roman" w:cs="Times New Roman"/>
        </w:rPr>
        <w:t xml:space="preserve">lo a medidas de saneamiento fiscal coyuntural; por el contrario, obedecen a un proyecto que modifica el concepto y la relación Estado-economía </w:t>
      </w:r>
      <w:r w:rsidR="00542778">
        <w:rPr>
          <w:rFonts w:ascii="Times New Roman" w:hAnsi="Times New Roman" w:cs="Times New Roman"/>
        </w:rPr>
        <w:t>así como la</w:t>
      </w:r>
      <w:r w:rsidR="00542778" w:rsidRPr="00C971A4">
        <w:rPr>
          <w:rFonts w:ascii="Times New Roman" w:hAnsi="Times New Roman" w:cs="Times New Roman"/>
        </w:rPr>
        <w:t xml:space="preserve"> relación Estado-ciud</w:t>
      </w:r>
      <w:r w:rsidR="00542778">
        <w:rPr>
          <w:rFonts w:ascii="Times New Roman" w:hAnsi="Times New Roman" w:cs="Times New Roman"/>
        </w:rPr>
        <w:t xml:space="preserve">adano de manera estructural y con un único objetivo, </w:t>
      </w:r>
      <w:r w:rsidR="00542778" w:rsidRPr="00C971A4">
        <w:rPr>
          <w:rFonts w:ascii="Times New Roman" w:hAnsi="Times New Roman" w:cs="Times New Roman"/>
        </w:rPr>
        <w:t>restaurar los equilibrios macroeconómico</w:t>
      </w:r>
      <w:r w:rsidR="00542778">
        <w:rPr>
          <w:rFonts w:ascii="Times New Roman" w:hAnsi="Times New Roman" w:cs="Times New Roman"/>
        </w:rPr>
        <w:t>s</w:t>
      </w:r>
      <w:r w:rsidR="00542778" w:rsidRPr="00C971A4">
        <w:rPr>
          <w:rFonts w:ascii="Times New Roman" w:hAnsi="Times New Roman" w:cs="Times New Roman"/>
        </w:rPr>
        <w:t>.</w:t>
      </w:r>
    </w:p>
    <w:p w14:paraId="69E76F9F" w14:textId="77777777" w:rsidR="00542778" w:rsidRDefault="00542778" w:rsidP="00C971A4">
      <w:pPr>
        <w:spacing w:line="360" w:lineRule="auto"/>
        <w:jc w:val="both"/>
        <w:rPr>
          <w:rFonts w:ascii="Times New Roman" w:hAnsi="Times New Roman" w:cs="Times New Roman"/>
        </w:rPr>
      </w:pPr>
    </w:p>
    <w:p w14:paraId="06CDF46A" w14:textId="52C263F5" w:rsidR="00C971A4" w:rsidRPr="00C971A4" w:rsidRDefault="00C971A4" w:rsidP="00C971A4">
      <w:pPr>
        <w:spacing w:line="360" w:lineRule="auto"/>
        <w:jc w:val="both"/>
        <w:rPr>
          <w:rFonts w:ascii="Times New Roman" w:hAnsi="Times New Roman" w:cs="Times New Roman"/>
        </w:rPr>
      </w:pPr>
      <w:r>
        <w:rPr>
          <w:rFonts w:ascii="Times New Roman" w:hAnsi="Times New Roman" w:cs="Times New Roman"/>
        </w:rPr>
        <w:t xml:space="preserve">Ahora bien, este </w:t>
      </w:r>
      <w:r w:rsidRPr="00C971A4">
        <w:rPr>
          <w:rFonts w:ascii="Times New Roman" w:hAnsi="Times New Roman" w:cs="Times New Roman"/>
        </w:rPr>
        <w:t xml:space="preserve">paquete de </w:t>
      </w:r>
      <w:r w:rsidR="00542778">
        <w:rPr>
          <w:rFonts w:ascii="Times New Roman" w:hAnsi="Times New Roman" w:cs="Times New Roman"/>
        </w:rPr>
        <w:t>recomendaciones</w:t>
      </w:r>
      <w:r w:rsidRPr="00C971A4">
        <w:rPr>
          <w:rFonts w:ascii="Times New Roman" w:hAnsi="Times New Roman" w:cs="Times New Roman"/>
        </w:rPr>
        <w:t xml:space="preserve"> no partió de una libre elección, sino que fue impuesta e</w:t>
      </w:r>
      <w:r>
        <w:rPr>
          <w:rFonts w:ascii="Times New Roman" w:hAnsi="Times New Roman" w:cs="Times New Roman"/>
        </w:rPr>
        <w:t>n la década de los años ochenta,</w:t>
      </w:r>
      <w:r w:rsidR="00CB748A">
        <w:rPr>
          <w:rFonts w:ascii="Times New Roman" w:hAnsi="Times New Roman" w:cs="Times New Roman"/>
        </w:rPr>
        <w:t xml:space="preserve"> debido</w:t>
      </w:r>
      <w:r w:rsidRPr="00C971A4">
        <w:rPr>
          <w:rFonts w:ascii="Times New Roman" w:hAnsi="Times New Roman" w:cs="Times New Roman"/>
        </w:rPr>
        <w:t xml:space="preserve"> </w:t>
      </w:r>
      <w:r w:rsidR="00BD6F39">
        <w:rPr>
          <w:rFonts w:ascii="Times New Roman" w:hAnsi="Times New Roman" w:cs="Times New Roman"/>
        </w:rPr>
        <w:t xml:space="preserve">a </w:t>
      </w:r>
      <w:r w:rsidRPr="00C971A4">
        <w:rPr>
          <w:rFonts w:ascii="Times New Roman" w:hAnsi="Times New Roman" w:cs="Times New Roman"/>
        </w:rPr>
        <w:t>problema</w:t>
      </w:r>
      <w:r w:rsidR="00BD6F39">
        <w:rPr>
          <w:rFonts w:ascii="Times New Roman" w:hAnsi="Times New Roman" w:cs="Times New Roman"/>
        </w:rPr>
        <w:t>s</w:t>
      </w:r>
      <w:r w:rsidRPr="00C971A4">
        <w:rPr>
          <w:rFonts w:ascii="Times New Roman" w:hAnsi="Times New Roman" w:cs="Times New Roman"/>
        </w:rPr>
        <w:t xml:space="preserve"> de deuda externa</w:t>
      </w:r>
      <w:r w:rsidR="00542778">
        <w:rPr>
          <w:rFonts w:ascii="Times New Roman" w:hAnsi="Times New Roman" w:cs="Times New Roman"/>
        </w:rPr>
        <w:t xml:space="preserve"> en la mayoría de los países de América Latina</w:t>
      </w:r>
      <w:r w:rsidRPr="00C971A4">
        <w:rPr>
          <w:rFonts w:ascii="Times New Roman" w:hAnsi="Times New Roman" w:cs="Times New Roman"/>
        </w:rPr>
        <w:t>. Lo que no excluye</w:t>
      </w:r>
      <w:r w:rsidR="00673333">
        <w:rPr>
          <w:rFonts w:ascii="Times New Roman" w:hAnsi="Times New Roman" w:cs="Times New Roman"/>
        </w:rPr>
        <w:t xml:space="preserve"> es</w:t>
      </w:r>
      <w:r w:rsidRPr="00C971A4">
        <w:rPr>
          <w:rFonts w:ascii="Times New Roman" w:hAnsi="Times New Roman" w:cs="Times New Roman"/>
        </w:rPr>
        <w:t xml:space="preserve"> puntualizar la responsabilidad de los gobiernos en la aceptación ciega y sin </w:t>
      </w:r>
      <w:r w:rsidR="00673333" w:rsidRPr="00C971A4">
        <w:rPr>
          <w:rFonts w:ascii="Times New Roman" w:hAnsi="Times New Roman" w:cs="Times New Roman"/>
        </w:rPr>
        <w:t>interrogantes</w:t>
      </w:r>
      <w:r w:rsidRPr="00C971A4">
        <w:rPr>
          <w:rFonts w:ascii="Times New Roman" w:hAnsi="Times New Roman" w:cs="Times New Roman"/>
        </w:rPr>
        <w:t xml:space="preserve"> de las </w:t>
      </w:r>
      <w:r w:rsidR="00673333" w:rsidRPr="00C971A4">
        <w:rPr>
          <w:rFonts w:ascii="Times New Roman" w:hAnsi="Times New Roman" w:cs="Times New Roman"/>
        </w:rPr>
        <w:t>fórmulas</w:t>
      </w:r>
      <w:r w:rsidRPr="00C971A4">
        <w:rPr>
          <w:rFonts w:ascii="Times New Roman" w:hAnsi="Times New Roman" w:cs="Times New Roman"/>
        </w:rPr>
        <w:t xml:space="preserve"> del </w:t>
      </w:r>
      <w:r w:rsidR="007E4E3A">
        <w:rPr>
          <w:rFonts w:ascii="Times New Roman" w:hAnsi="Times New Roman" w:cs="Times New Roman"/>
        </w:rPr>
        <w:t>FMI</w:t>
      </w:r>
      <w:r w:rsidR="00542778">
        <w:rPr>
          <w:rFonts w:ascii="Times New Roman" w:hAnsi="Times New Roman" w:cs="Times New Roman"/>
        </w:rPr>
        <w:t>,</w:t>
      </w:r>
      <w:r w:rsidR="00CB748A">
        <w:rPr>
          <w:rFonts w:ascii="Times New Roman" w:hAnsi="Times New Roman" w:cs="Times New Roman"/>
        </w:rPr>
        <w:t xml:space="preserve"> sin </w:t>
      </w:r>
      <w:r w:rsidR="00542778">
        <w:rPr>
          <w:rFonts w:ascii="Times New Roman" w:hAnsi="Times New Roman" w:cs="Times New Roman"/>
        </w:rPr>
        <w:t>hacer un análisis de manera actuarial sobre</w:t>
      </w:r>
      <w:r w:rsidR="00CB748A">
        <w:rPr>
          <w:rFonts w:ascii="Times New Roman" w:hAnsi="Times New Roman" w:cs="Times New Roman"/>
        </w:rPr>
        <w:t xml:space="preserve"> las posibles consecuencias en la seguridad social.</w:t>
      </w:r>
      <w:r w:rsidR="00673333">
        <w:rPr>
          <w:rFonts w:ascii="Times New Roman" w:hAnsi="Times New Roman" w:cs="Times New Roman"/>
        </w:rPr>
        <w:t xml:space="preserve"> </w:t>
      </w:r>
      <w:r w:rsidRPr="00C971A4">
        <w:rPr>
          <w:rFonts w:ascii="Times New Roman" w:hAnsi="Times New Roman" w:cs="Times New Roman"/>
        </w:rPr>
        <w:t>Con esta situación queda en evidencia no s</w:t>
      </w:r>
      <w:r w:rsidR="001A70A9">
        <w:rPr>
          <w:rFonts w:ascii="Times New Roman" w:hAnsi="Times New Roman" w:cs="Times New Roman"/>
        </w:rPr>
        <w:t>o</w:t>
      </w:r>
      <w:r w:rsidRPr="00C971A4">
        <w:rPr>
          <w:rFonts w:ascii="Times New Roman" w:hAnsi="Times New Roman" w:cs="Times New Roman"/>
        </w:rPr>
        <w:t xml:space="preserve">lo la falta de autonomía de los Estados latinoamericanos, sino también </w:t>
      </w:r>
      <w:r w:rsidR="00A6287A">
        <w:rPr>
          <w:rFonts w:ascii="Times New Roman" w:hAnsi="Times New Roman" w:cs="Times New Roman"/>
        </w:rPr>
        <w:t>una</w:t>
      </w:r>
      <w:r w:rsidRPr="00C971A4">
        <w:rPr>
          <w:rFonts w:ascii="Times New Roman" w:hAnsi="Times New Roman" w:cs="Times New Roman"/>
        </w:rPr>
        <w:t xml:space="preserve"> </w:t>
      </w:r>
      <w:r w:rsidRPr="00C971A4">
        <w:rPr>
          <w:rFonts w:ascii="Times New Roman" w:hAnsi="Times New Roman" w:cs="Times New Roman"/>
        </w:rPr>
        <w:lastRenderedPageBreak/>
        <w:t>dependencia estructural</w:t>
      </w:r>
      <w:r w:rsidR="00673333">
        <w:rPr>
          <w:rFonts w:ascii="Times New Roman" w:hAnsi="Times New Roman" w:cs="Times New Roman"/>
        </w:rPr>
        <w:t xml:space="preserve"> </w:t>
      </w:r>
      <w:r w:rsidR="00A6287A" w:rsidRPr="00A6287A">
        <w:rPr>
          <w:rFonts w:ascii="Times New Roman" w:hAnsi="Times New Roman" w:cs="Times New Roman"/>
        </w:rPr>
        <w:t>arreglada</w:t>
      </w:r>
      <w:r w:rsidRPr="00C971A4">
        <w:rPr>
          <w:rFonts w:ascii="Times New Roman" w:hAnsi="Times New Roman" w:cs="Times New Roman"/>
        </w:rPr>
        <w:t xml:space="preserve"> a optar por alternativas que están muy lejos de constituir una respuesta a las necesidades propias de ajuste, modernización y bienestar social.</w:t>
      </w:r>
    </w:p>
    <w:p w14:paraId="778DEE68" w14:textId="66179D64" w:rsidR="00C971A4" w:rsidRDefault="00C971A4" w:rsidP="00005B17">
      <w:pPr>
        <w:spacing w:line="360" w:lineRule="auto"/>
        <w:jc w:val="both"/>
        <w:rPr>
          <w:rFonts w:ascii="Times New Roman" w:hAnsi="Times New Roman" w:cs="Times New Roman"/>
        </w:rPr>
      </w:pPr>
    </w:p>
    <w:p w14:paraId="74E9909E" w14:textId="1FF26790" w:rsidR="00B65181" w:rsidRDefault="00BD6F39" w:rsidP="00005B17">
      <w:pPr>
        <w:spacing w:line="360" w:lineRule="auto"/>
        <w:jc w:val="both"/>
        <w:rPr>
          <w:rFonts w:ascii="Times New Roman" w:hAnsi="Times New Roman" w:cs="Times New Roman"/>
        </w:rPr>
      </w:pPr>
      <w:r w:rsidRPr="00BD6F39">
        <w:rPr>
          <w:rFonts w:ascii="Times New Roman" w:hAnsi="Times New Roman" w:cs="Times New Roman"/>
        </w:rPr>
        <w:t xml:space="preserve">Ruiz (2008), señala que la seguridad social es un problema mundial </w:t>
      </w:r>
      <w:r w:rsidR="007E4E3A">
        <w:rPr>
          <w:rFonts w:ascii="Times New Roman" w:hAnsi="Times New Roman" w:cs="Times New Roman"/>
        </w:rPr>
        <w:t xml:space="preserve">en el que no se han encontrado las fórmulas para lograr el buen funcionamiento, </w:t>
      </w:r>
      <w:r w:rsidRPr="00BD6F39">
        <w:rPr>
          <w:rFonts w:ascii="Times New Roman" w:hAnsi="Times New Roman" w:cs="Times New Roman"/>
        </w:rPr>
        <w:t>y con mayor gravedad en lo referente a la salud institucional, las pensiones y l</w:t>
      </w:r>
      <w:r w:rsidR="00CB748A">
        <w:rPr>
          <w:rFonts w:ascii="Times New Roman" w:hAnsi="Times New Roman" w:cs="Times New Roman"/>
        </w:rPr>
        <w:t>as prestaciones sociales</w:t>
      </w:r>
      <w:r w:rsidR="007E4E3A">
        <w:rPr>
          <w:rFonts w:ascii="Times New Roman" w:hAnsi="Times New Roman" w:cs="Times New Roman"/>
        </w:rPr>
        <w:t>,</w:t>
      </w:r>
      <w:r w:rsidRPr="00BD6F39">
        <w:rPr>
          <w:rFonts w:ascii="Times New Roman" w:hAnsi="Times New Roman" w:cs="Times New Roman"/>
        </w:rPr>
        <w:t xml:space="preserve"> por </w:t>
      </w:r>
      <w:r w:rsidR="00CB748A">
        <w:rPr>
          <w:rFonts w:ascii="Times New Roman" w:hAnsi="Times New Roman" w:cs="Times New Roman"/>
        </w:rPr>
        <w:t>lo que los</w:t>
      </w:r>
      <w:r w:rsidRPr="00BD6F39">
        <w:rPr>
          <w:rFonts w:ascii="Times New Roman" w:hAnsi="Times New Roman" w:cs="Times New Roman"/>
        </w:rPr>
        <w:t xml:space="preserve"> programas pensionarios en </w:t>
      </w:r>
      <w:r w:rsidR="00A6287A">
        <w:rPr>
          <w:rFonts w:ascii="Times New Roman" w:hAnsi="Times New Roman" w:cs="Times New Roman"/>
        </w:rPr>
        <w:t>todos los países del mundo han quebrado</w:t>
      </w:r>
      <w:r w:rsidRPr="00BD6F39">
        <w:rPr>
          <w:rFonts w:ascii="Times New Roman" w:hAnsi="Times New Roman" w:cs="Times New Roman"/>
        </w:rPr>
        <w:t xml:space="preserve"> en mayor o menor medida</w:t>
      </w:r>
      <w:r w:rsidR="00A6287A">
        <w:rPr>
          <w:rFonts w:ascii="Times New Roman" w:hAnsi="Times New Roman" w:cs="Times New Roman"/>
        </w:rPr>
        <w:t>,</w:t>
      </w:r>
      <w:r w:rsidRPr="00BD6F39">
        <w:rPr>
          <w:rFonts w:ascii="Times New Roman" w:hAnsi="Times New Roman" w:cs="Times New Roman"/>
        </w:rPr>
        <w:t xml:space="preserve"> debido a la apatía de los políticos y funcionarios enc</w:t>
      </w:r>
      <w:r w:rsidR="00542778">
        <w:rPr>
          <w:rFonts w:ascii="Times New Roman" w:hAnsi="Times New Roman" w:cs="Times New Roman"/>
        </w:rPr>
        <w:t xml:space="preserve">argados de la seguridad social; </w:t>
      </w:r>
      <w:r w:rsidRPr="00BD6F39">
        <w:rPr>
          <w:rFonts w:ascii="Times New Roman" w:hAnsi="Times New Roman" w:cs="Times New Roman"/>
        </w:rPr>
        <w:t>además de darle preferencia a otras partidas del gasto público. La creciente tendencia hacia la liberalización económica, la mayor disciplina macroeconómica y fisca</w:t>
      </w:r>
      <w:r w:rsidR="00A6287A">
        <w:rPr>
          <w:rFonts w:ascii="Times New Roman" w:hAnsi="Times New Roman" w:cs="Times New Roman"/>
        </w:rPr>
        <w:t xml:space="preserve">l, </w:t>
      </w:r>
      <w:r w:rsidR="007E4E3A">
        <w:rPr>
          <w:rFonts w:ascii="Times New Roman" w:hAnsi="Times New Roman" w:cs="Times New Roman"/>
        </w:rPr>
        <w:t>así como</w:t>
      </w:r>
      <w:r w:rsidR="00A6287A">
        <w:rPr>
          <w:rFonts w:ascii="Times New Roman" w:hAnsi="Times New Roman" w:cs="Times New Roman"/>
        </w:rPr>
        <w:t xml:space="preserve"> la menor intervención del E</w:t>
      </w:r>
      <w:r w:rsidRPr="00BD6F39">
        <w:rPr>
          <w:rFonts w:ascii="Times New Roman" w:hAnsi="Times New Roman" w:cs="Times New Roman"/>
        </w:rPr>
        <w:t xml:space="preserve">stado, cuestionan tanto las </w:t>
      </w:r>
      <w:r w:rsidR="00A6287A">
        <w:rPr>
          <w:rFonts w:ascii="Times New Roman" w:hAnsi="Times New Roman" w:cs="Times New Roman"/>
        </w:rPr>
        <w:t xml:space="preserve">bondades y la deseabilidad del </w:t>
      </w:r>
      <w:r w:rsidR="0084107D">
        <w:rPr>
          <w:rFonts w:ascii="Times New Roman" w:hAnsi="Times New Roman" w:cs="Times New Roman"/>
        </w:rPr>
        <w:t>e</w:t>
      </w:r>
      <w:r w:rsidR="005C2E5A">
        <w:rPr>
          <w:rFonts w:ascii="Times New Roman" w:hAnsi="Times New Roman" w:cs="Times New Roman"/>
        </w:rPr>
        <w:t>stado de bienestar</w:t>
      </w:r>
      <w:r w:rsidRPr="00BD6F39">
        <w:rPr>
          <w:rFonts w:ascii="Times New Roman" w:hAnsi="Times New Roman" w:cs="Times New Roman"/>
        </w:rPr>
        <w:t>, como el alcance y amplitud de los sistemas de seguridad social.</w:t>
      </w:r>
    </w:p>
    <w:p w14:paraId="1078757E" w14:textId="77777777" w:rsidR="00B65181" w:rsidRPr="00005B17" w:rsidRDefault="00B65181" w:rsidP="00005B17">
      <w:pPr>
        <w:spacing w:line="360" w:lineRule="auto"/>
        <w:jc w:val="both"/>
        <w:rPr>
          <w:rFonts w:ascii="Times New Roman" w:hAnsi="Times New Roman" w:cs="Times New Roman"/>
        </w:rPr>
      </w:pPr>
    </w:p>
    <w:p w14:paraId="1729AFA7" w14:textId="752CF705" w:rsidR="00B65181" w:rsidRPr="009A1403" w:rsidRDefault="00B65181" w:rsidP="00B65181">
      <w:pPr>
        <w:spacing w:line="360" w:lineRule="auto"/>
        <w:jc w:val="both"/>
        <w:rPr>
          <w:rFonts w:ascii="Times New Roman" w:hAnsi="Times New Roman" w:cs="Times New Roman"/>
          <w:b/>
        </w:rPr>
      </w:pPr>
      <w:r w:rsidRPr="009A1403">
        <w:rPr>
          <w:rFonts w:ascii="Times New Roman" w:hAnsi="Times New Roman" w:cs="Times New Roman"/>
          <w:b/>
        </w:rPr>
        <w:t xml:space="preserve">La  </w:t>
      </w:r>
      <w:r w:rsidR="001A70A9">
        <w:rPr>
          <w:rFonts w:ascii="Times New Roman" w:hAnsi="Times New Roman" w:cs="Times New Roman"/>
          <w:b/>
        </w:rPr>
        <w:t>s</w:t>
      </w:r>
      <w:r w:rsidRPr="009A1403">
        <w:rPr>
          <w:rFonts w:ascii="Times New Roman" w:hAnsi="Times New Roman" w:cs="Times New Roman"/>
          <w:b/>
        </w:rPr>
        <w:t xml:space="preserve">eguridad </w:t>
      </w:r>
      <w:r w:rsidR="001A70A9">
        <w:rPr>
          <w:rFonts w:ascii="Times New Roman" w:hAnsi="Times New Roman" w:cs="Times New Roman"/>
          <w:b/>
        </w:rPr>
        <w:t>s</w:t>
      </w:r>
      <w:r w:rsidRPr="009A1403">
        <w:rPr>
          <w:rFonts w:ascii="Times New Roman" w:hAnsi="Times New Roman" w:cs="Times New Roman"/>
          <w:b/>
        </w:rPr>
        <w:t xml:space="preserve">ocial, el </w:t>
      </w:r>
      <w:r w:rsidR="0084107D">
        <w:rPr>
          <w:rFonts w:ascii="Times New Roman" w:hAnsi="Times New Roman" w:cs="Times New Roman"/>
          <w:b/>
        </w:rPr>
        <w:t>e</w:t>
      </w:r>
      <w:r w:rsidR="005C2E5A">
        <w:rPr>
          <w:rFonts w:ascii="Times New Roman" w:hAnsi="Times New Roman" w:cs="Times New Roman"/>
          <w:b/>
        </w:rPr>
        <w:t>stado de bienestar</w:t>
      </w:r>
      <w:r w:rsidRPr="009A1403">
        <w:rPr>
          <w:rFonts w:ascii="Times New Roman" w:hAnsi="Times New Roman" w:cs="Times New Roman"/>
          <w:b/>
        </w:rPr>
        <w:t xml:space="preserve"> y</w:t>
      </w:r>
      <w:r w:rsidR="00914177" w:rsidRPr="009A1403">
        <w:rPr>
          <w:rFonts w:ascii="Times New Roman" w:hAnsi="Times New Roman" w:cs="Times New Roman"/>
          <w:b/>
        </w:rPr>
        <w:t xml:space="preserve"> l</w:t>
      </w:r>
      <w:r w:rsidRPr="009A1403">
        <w:rPr>
          <w:rFonts w:ascii="Times New Roman" w:hAnsi="Times New Roman" w:cs="Times New Roman"/>
          <w:b/>
        </w:rPr>
        <w:t xml:space="preserve">as </w:t>
      </w:r>
      <w:r w:rsidR="001A70A9">
        <w:rPr>
          <w:rFonts w:ascii="Times New Roman" w:hAnsi="Times New Roman" w:cs="Times New Roman"/>
          <w:b/>
        </w:rPr>
        <w:t>p</w:t>
      </w:r>
      <w:r w:rsidRPr="009A1403">
        <w:rPr>
          <w:rFonts w:ascii="Times New Roman" w:hAnsi="Times New Roman" w:cs="Times New Roman"/>
          <w:b/>
        </w:rPr>
        <w:t>ensiones</w:t>
      </w:r>
    </w:p>
    <w:p w14:paraId="368A3E4D" w14:textId="77777777" w:rsidR="00540B5B" w:rsidRDefault="00540B5B" w:rsidP="00B65181">
      <w:pPr>
        <w:spacing w:line="360" w:lineRule="auto"/>
        <w:jc w:val="both"/>
        <w:rPr>
          <w:rFonts w:ascii="Times New Roman" w:hAnsi="Times New Roman" w:cs="Times New Roman"/>
        </w:rPr>
      </w:pPr>
    </w:p>
    <w:p w14:paraId="32DA46F7" w14:textId="3D3FA8C4" w:rsidR="00540B5B" w:rsidRDefault="00B07EB5" w:rsidP="00540B5B">
      <w:pPr>
        <w:spacing w:line="360" w:lineRule="auto"/>
        <w:jc w:val="both"/>
        <w:rPr>
          <w:rFonts w:ascii="Times New Roman" w:hAnsi="Times New Roman" w:cs="Times New Roman"/>
        </w:rPr>
      </w:pPr>
      <w:r>
        <w:rPr>
          <w:rFonts w:ascii="Times New Roman" w:hAnsi="Times New Roman" w:cs="Times New Roman"/>
        </w:rPr>
        <w:t>L</w:t>
      </w:r>
      <w:r w:rsidR="00540B5B" w:rsidRPr="00B65181">
        <w:rPr>
          <w:rFonts w:ascii="Times New Roman" w:hAnsi="Times New Roman" w:cs="Times New Roman"/>
        </w:rPr>
        <w:t xml:space="preserve">a seguridad social </w:t>
      </w:r>
      <w:r w:rsidR="00540B5B">
        <w:rPr>
          <w:rFonts w:ascii="Times New Roman" w:hAnsi="Times New Roman" w:cs="Times New Roman"/>
        </w:rPr>
        <w:t>hace referencia a la</w:t>
      </w:r>
      <w:r w:rsidR="00540B5B" w:rsidRPr="00B65181">
        <w:rPr>
          <w:rFonts w:ascii="Times New Roman" w:hAnsi="Times New Roman" w:cs="Times New Roman"/>
        </w:rPr>
        <w:t xml:space="preserve"> protección para el trabajador por los riesgos a los que se halla expuesto y tiene la finalidad de garantizar el derecho a la salud, la asistencia médica, la protección de los medios de subsistencia y los servicios necesarios para el bienestar individual y colectivo, así como el derecho </w:t>
      </w:r>
      <w:r w:rsidR="0085263A">
        <w:rPr>
          <w:rFonts w:ascii="Times New Roman" w:hAnsi="Times New Roman" w:cs="Times New Roman"/>
        </w:rPr>
        <w:t>a recibir</w:t>
      </w:r>
      <w:r w:rsidR="00540B5B" w:rsidRPr="00B65181">
        <w:rPr>
          <w:rFonts w:ascii="Times New Roman" w:hAnsi="Times New Roman" w:cs="Times New Roman"/>
        </w:rPr>
        <w:t xml:space="preserve"> una pensión (Ruiz, 2004).</w:t>
      </w:r>
    </w:p>
    <w:p w14:paraId="7AE13862" w14:textId="77777777" w:rsidR="00540B5B" w:rsidRDefault="00540B5B" w:rsidP="00540B5B">
      <w:pPr>
        <w:spacing w:line="360" w:lineRule="auto"/>
        <w:jc w:val="both"/>
        <w:rPr>
          <w:rFonts w:ascii="Times New Roman" w:hAnsi="Times New Roman" w:cs="Times New Roman"/>
        </w:rPr>
      </w:pPr>
    </w:p>
    <w:p w14:paraId="2D3D12D2" w14:textId="403E1948" w:rsidR="00540B5B" w:rsidRDefault="00540B5B" w:rsidP="00540B5B">
      <w:pPr>
        <w:spacing w:line="360" w:lineRule="auto"/>
        <w:jc w:val="both"/>
        <w:rPr>
          <w:rFonts w:ascii="Times New Roman" w:hAnsi="Times New Roman" w:cs="Times New Roman"/>
        </w:rPr>
      </w:pPr>
      <w:r>
        <w:rPr>
          <w:rFonts w:ascii="Times New Roman" w:hAnsi="Times New Roman" w:cs="Times New Roman"/>
        </w:rPr>
        <w:t xml:space="preserve">Para la Organización Internacional del Trabajo, la seguridad social es vista como una </w:t>
      </w:r>
      <w:r w:rsidRPr="00B65181">
        <w:rPr>
          <w:rFonts w:ascii="Times New Roman" w:hAnsi="Times New Roman" w:cs="Times New Roman"/>
        </w:rPr>
        <w:t>protección contra las privaciones económicas y sociales mediante la aplicación de políticas públicas; de no ser así</w:t>
      </w:r>
      <w:r w:rsidR="0085263A">
        <w:rPr>
          <w:rFonts w:ascii="Times New Roman" w:hAnsi="Times New Roman" w:cs="Times New Roman"/>
        </w:rPr>
        <w:t>,</w:t>
      </w:r>
      <w:r w:rsidRPr="00B65181">
        <w:rPr>
          <w:rFonts w:ascii="Times New Roman" w:hAnsi="Times New Roman" w:cs="Times New Roman"/>
        </w:rPr>
        <w:t xml:space="preserve"> ocasionarían una fuerte reducción de los ingresos por causa de enfermedad, maternidad, accidente de trabajo, o enfermedad laboral, desempleo, invalidez, vejez y muerte</w:t>
      </w:r>
      <w:r w:rsidR="0085263A">
        <w:rPr>
          <w:rFonts w:ascii="Times New Roman" w:hAnsi="Times New Roman" w:cs="Times New Roman"/>
        </w:rPr>
        <w:t>,</w:t>
      </w:r>
      <w:r w:rsidRPr="00B65181">
        <w:rPr>
          <w:rFonts w:ascii="Times New Roman" w:hAnsi="Times New Roman" w:cs="Times New Roman"/>
        </w:rPr>
        <w:t xml:space="preserve"> </w:t>
      </w:r>
      <w:r w:rsidR="0085263A">
        <w:rPr>
          <w:rFonts w:ascii="Times New Roman" w:hAnsi="Times New Roman" w:cs="Times New Roman"/>
        </w:rPr>
        <w:t>así como</w:t>
      </w:r>
      <w:r w:rsidRPr="00B65181">
        <w:rPr>
          <w:rFonts w:ascii="Times New Roman" w:hAnsi="Times New Roman" w:cs="Times New Roman"/>
        </w:rPr>
        <w:t xml:space="preserve"> también la protección en forma de asistencia médica y de ayuda a las familias con hijos (OIT, 2009)</w:t>
      </w:r>
      <w:r w:rsidR="0085263A">
        <w:rPr>
          <w:rFonts w:ascii="Times New Roman" w:hAnsi="Times New Roman" w:cs="Times New Roman"/>
        </w:rPr>
        <w:t>.</w:t>
      </w:r>
    </w:p>
    <w:p w14:paraId="1B07C8A6" w14:textId="77777777" w:rsidR="00540B5B" w:rsidRDefault="00540B5B" w:rsidP="00540B5B">
      <w:pPr>
        <w:spacing w:line="360" w:lineRule="auto"/>
        <w:jc w:val="both"/>
        <w:rPr>
          <w:rFonts w:ascii="Times New Roman" w:hAnsi="Times New Roman" w:cs="Times New Roman"/>
        </w:rPr>
      </w:pPr>
    </w:p>
    <w:p w14:paraId="5A842F4F" w14:textId="75A55B71" w:rsidR="00540B5B" w:rsidRDefault="00540B5B" w:rsidP="00540B5B">
      <w:pPr>
        <w:spacing w:line="360" w:lineRule="auto"/>
        <w:jc w:val="both"/>
        <w:rPr>
          <w:rFonts w:ascii="Times New Roman" w:hAnsi="Times New Roman" w:cs="Times New Roman"/>
        </w:rPr>
      </w:pPr>
      <w:r w:rsidRPr="00B65181">
        <w:rPr>
          <w:rFonts w:ascii="Times New Roman" w:hAnsi="Times New Roman" w:cs="Times New Roman"/>
        </w:rPr>
        <w:t>La seguridad social es una de las políticas más importantes de un país, ya que refleja la cantidad de recursos que los gobiernos destinan a ella. El significado de las pensiones se relaciona con el ideal iguali</w:t>
      </w:r>
      <w:r w:rsidR="00405FC0">
        <w:rPr>
          <w:rFonts w:ascii="Times New Roman" w:hAnsi="Times New Roman" w:cs="Times New Roman"/>
        </w:rPr>
        <w:t xml:space="preserve">tario y tiene como respaldo el </w:t>
      </w:r>
      <w:r w:rsidR="0084107D">
        <w:rPr>
          <w:rFonts w:ascii="Times New Roman" w:hAnsi="Times New Roman" w:cs="Times New Roman"/>
        </w:rPr>
        <w:t>e</w:t>
      </w:r>
      <w:r w:rsidR="005C2E5A">
        <w:rPr>
          <w:rFonts w:ascii="Times New Roman" w:hAnsi="Times New Roman" w:cs="Times New Roman"/>
        </w:rPr>
        <w:t>stado de bienestar</w:t>
      </w:r>
      <w:r w:rsidR="00691AD8">
        <w:rPr>
          <w:rFonts w:ascii="Times New Roman" w:hAnsi="Times New Roman" w:cs="Times New Roman"/>
        </w:rPr>
        <w:t xml:space="preserve"> y las políticas sociales</w:t>
      </w:r>
      <w:r w:rsidRPr="00B65181">
        <w:rPr>
          <w:rFonts w:ascii="Times New Roman" w:hAnsi="Times New Roman" w:cs="Times New Roman"/>
        </w:rPr>
        <w:t xml:space="preserve"> (Morales, 2005).</w:t>
      </w:r>
    </w:p>
    <w:p w14:paraId="04F895ED" w14:textId="77777777" w:rsidR="00691AD8" w:rsidRDefault="00691AD8" w:rsidP="00540B5B">
      <w:pPr>
        <w:spacing w:line="360" w:lineRule="auto"/>
        <w:jc w:val="both"/>
        <w:rPr>
          <w:rFonts w:ascii="Times New Roman" w:hAnsi="Times New Roman" w:cs="Times New Roman"/>
        </w:rPr>
      </w:pPr>
    </w:p>
    <w:p w14:paraId="1C17CB1C" w14:textId="505231C2" w:rsidR="00540B5B" w:rsidRPr="00005B17" w:rsidRDefault="00691AD8" w:rsidP="00540B5B">
      <w:pPr>
        <w:spacing w:line="360" w:lineRule="auto"/>
        <w:jc w:val="both"/>
        <w:rPr>
          <w:rFonts w:ascii="Times New Roman" w:hAnsi="Times New Roman" w:cs="Times New Roman"/>
        </w:rPr>
      </w:pPr>
      <w:r>
        <w:rPr>
          <w:rFonts w:ascii="Times New Roman" w:hAnsi="Times New Roman" w:cs="Times New Roman"/>
        </w:rPr>
        <w:t xml:space="preserve">Como lo </w:t>
      </w:r>
      <w:r w:rsidR="007E35B5">
        <w:rPr>
          <w:rFonts w:ascii="Times New Roman" w:hAnsi="Times New Roman" w:cs="Times New Roman"/>
        </w:rPr>
        <w:t xml:space="preserve">señala David Hume en su libro </w:t>
      </w:r>
      <w:r w:rsidRPr="0085263A">
        <w:rPr>
          <w:rFonts w:ascii="Times New Roman" w:hAnsi="Times New Roman" w:cs="Times New Roman"/>
          <w:i/>
        </w:rPr>
        <w:t xml:space="preserve">Tratado de la </w:t>
      </w:r>
      <w:r w:rsidR="0085263A">
        <w:rPr>
          <w:rFonts w:ascii="Times New Roman" w:hAnsi="Times New Roman" w:cs="Times New Roman"/>
          <w:i/>
        </w:rPr>
        <w:t>n</w:t>
      </w:r>
      <w:r w:rsidRPr="0085263A">
        <w:rPr>
          <w:rFonts w:ascii="Times New Roman" w:hAnsi="Times New Roman" w:cs="Times New Roman"/>
          <w:i/>
        </w:rPr>
        <w:t xml:space="preserve">aturaleza </w:t>
      </w:r>
      <w:r w:rsidR="0085263A">
        <w:rPr>
          <w:rFonts w:ascii="Times New Roman" w:hAnsi="Times New Roman" w:cs="Times New Roman"/>
          <w:i/>
        </w:rPr>
        <w:t>h</w:t>
      </w:r>
      <w:r w:rsidRPr="0085263A">
        <w:rPr>
          <w:rFonts w:ascii="Times New Roman" w:hAnsi="Times New Roman" w:cs="Times New Roman"/>
          <w:i/>
        </w:rPr>
        <w:t>umana</w:t>
      </w:r>
      <w:r>
        <w:rPr>
          <w:rFonts w:ascii="Times New Roman" w:hAnsi="Times New Roman" w:cs="Times New Roman"/>
        </w:rPr>
        <w:t>:</w:t>
      </w:r>
      <w:r w:rsidR="0085263A">
        <w:rPr>
          <w:rFonts w:ascii="Times New Roman" w:hAnsi="Times New Roman" w:cs="Times New Roman"/>
        </w:rPr>
        <w:t xml:space="preserve"> “</w:t>
      </w:r>
      <w:r w:rsidR="00540B5B" w:rsidRPr="00005B17">
        <w:rPr>
          <w:rFonts w:ascii="Times New Roman" w:hAnsi="Times New Roman" w:cs="Times New Roman"/>
        </w:rPr>
        <w:t>Por la unión de las fuerzas, nuestro poder se aumenta; por la división del trabajo, nuestra habilidad crece, y por el auxilio mutuo, nos hallamos menos expuestos a la fortuna y a los accidentes. Por la fuerza, habilidad y seguridad adicionales llega a ser la sociedad ventajosa” (Hume, 2005, p. 409).</w:t>
      </w:r>
    </w:p>
    <w:p w14:paraId="57D7A9BE" w14:textId="77777777" w:rsidR="00540B5B" w:rsidRPr="00005B17" w:rsidRDefault="00540B5B" w:rsidP="00540B5B">
      <w:pPr>
        <w:spacing w:line="360" w:lineRule="auto"/>
        <w:jc w:val="both"/>
        <w:rPr>
          <w:rFonts w:ascii="Times New Roman" w:hAnsi="Times New Roman" w:cs="Times New Roman"/>
        </w:rPr>
      </w:pPr>
    </w:p>
    <w:p w14:paraId="0797BD30" w14:textId="77777777" w:rsidR="00540B5B" w:rsidRPr="00005B17" w:rsidRDefault="00540B5B" w:rsidP="00540B5B">
      <w:pPr>
        <w:spacing w:line="360" w:lineRule="auto"/>
        <w:jc w:val="both"/>
        <w:rPr>
          <w:rFonts w:ascii="Times New Roman" w:hAnsi="Times New Roman" w:cs="Times New Roman"/>
        </w:rPr>
      </w:pPr>
      <w:r w:rsidRPr="00005B17">
        <w:rPr>
          <w:rFonts w:ascii="Times New Roman" w:hAnsi="Times New Roman" w:cs="Times New Roman"/>
        </w:rPr>
        <w:t>Rawls (2006), señala que los individuos tienen la libertad de conocer cuál es el concepto del buen vivir y poder juzgar los principios de justicia, de acuerdo a los cuales debe gobernar la estructura básica de la sociedad.</w:t>
      </w:r>
    </w:p>
    <w:p w14:paraId="369FD88C" w14:textId="77777777" w:rsidR="00A14587" w:rsidRPr="00A14587" w:rsidRDefault="00A14587" w:rsidP="00A14587">
      <w:pPr>
        <w:spacing w:line="360" w:lineRule="auto"/>
        <w:jc w:val="both"/>
        <w:rPr>
          <w:rFonts w:ascii="Times New Roman" w:hAnsi="Times New Roman" w:cs="Times New Roman"/>
        </w:rPr>
      </w:pPr>
    </w:p>
    <w:p w14:paraId="71D783B4" w14:textId="134066C1" w:rsidR="00A14587" w:rsidRDefault="007E35B5" w:rsidP="00A14587">
      <w:pPr>
        <w:spacing w:line="360" w:lineRule="auto"/>
        <w:jc w:val="both"/>
        <w:rPr>
          <w:rFonts w:ascii="Times New Roman" w:hAnsi="Times New Roman" w:cs="Times New Roman"/>
        </w:rPr>
      </w:pPr>
      <w:r>
        <w:rPr>
          <w:rFonts w:ascii="Times New Roman" w:hAnsi="Times New Roman" w:cs="Times New Roman"/>
        </w:rPr>
        <w:t xml:space="preserve">Ruiz (2009), menciona </w:t>
      </w:r>
      <w:r w:rsidR="00A14587" w:rsidRPr="00A14587">
        <w:rPr>
          <w:rFonts w:ascii="Times New Roman" w:hAnsi="Times New Roman" w:cs="Times New Roman"/>
        </w:rPr>
        <w:t xml:space="preserve">que la seguridad social </w:t>
      </w:r>
      <w:r w:rsidR="00C224F7">
        <w:rPr>
          <w:rFonts w:ascii="Times New Roman" w:hAnsi="Times New Roman" w:cs="Times New Roman"/>
        </w:rPr>
        <w:t xml:space="preserve">es </w:t>
      </w:r>
      <w:r w:rsidR="00A14587" w:rsidRPr="00A14587">
        <w:rPr>
          <w:rFonts w:ascii="Times New Roman" w:hAnsi="Times New Roman" w:cs="Times New Roman"/>
        </w:rPr>
        <w:t>un derecho esencial e inalienable de los seres humanos que buscan la justicia social.  Es cubrir contingencias sociales como las enfermedades y el hambre, de ahí que nacen los Seguros Sociales para atender estas eventualidades, las cuales se desarrollan en cualquier país.</w:t>
      </w:r>
    </w:p>
    <w:p w14:paraId="57EA2FC6" w14:textId="77777777" w:rsidR="00DD666E" w:rsidRPr="00A14587" w:rsidRDefault="00DD666E" w:rsidP="00A14587">
      <w:pPr>
        <w:spacing w:line="360" w:lineRule="auto"/>
        <w:jc w:val="both"/>
        <w:rPr>
          <w:rFonts w:ascii="Times New Roman" w:hAnsi="Times New Roman" w:cs="Times New Roman"/>
        </w:rPr>
      </w:pPr>
    </w:p>
    <w:p w14:paraId="73E477F0" w14:textId="1301BB2A" w:rsidR="00A14587" w:rsidRPr="00A14587" w:rsidRDefault="00362000" w:rsidP="00A14587">
      <w:pPr>
        <w:spacing w:line="360" w:lineRule="auto"/>
        <w:jc w:val="both"/>
        <w:rPr>
          <w:rFonts w:ascii="Times New Roman" w:hAnsi="Times New Roman" w:cs="Times New Roman"/>
        </w:rPr>
      </w:pPr>
      <w:r>
        <w:rPr>
          <w:rFonts w:ascii="Times New Roman" w:hAnsi="Times New Roman" w:cs="Times New Roman"/>
        </w:rPr>
        <w:t xml:space="preserve">Por otra parte, </w:t>
      </w:r>
      <w:r w:rsidR="00A14587" w:rsidRPr="00A14587">
        <w:rPr>
          <w:rFonts w:ascii="Times New Roman" w:hAnsi="Times New Roman" w:cs="Times New Roman"/>
        </w:rPr>
        <w:t xml:space="preserve">Mesa-Lago (2007), </w:t>
      </w:r>
      <w:r>
        <w:rPr>
          <w:rFonts w:ascii="Times New Roman" w:hAnsi="Times New Roman" w:cs="Times New Roman"/>
        </w:rPr>
        <w:t xml:space="preserve">sostiene que </w:t>
      </w:r>
      <w:r w:rsidR="00A14587" w:rsidRPr="00A14587">
        <w:rPr>
          <w:rFonts w:ascii="Times New Roman" w:hAnsi="Times New Roman" w:cs="Times New Roman"/>
        </w:rPr>
        <w:t xml:space="preserve">un grupo de países </w:t>
      </w:r>
      <w:r>
        <w:rPr>
          <w:rFonts w:ascii="Times New Roman" w:hAnsi="Times New Roman" w:cs="Times New Roman"/>
        </w:rPr>
        <w:t xml:space="preserve">fueron los </w:t>
      </w:r>
      <w:r w:rsidR="000F2CB4" w:rsidRPr="00A14587">
        <w:rPr>
          <w:rFonts w:ascii="Times New Roman" w:hAnsi="Times New Roman" w:cs="Times New Roman"/>
        </w:rPr>
        <w:t>precursores</w:t>
      </w:r>
      <w:r w:rsidR="00A14587" w:rsidRPr="00A14587">
        <w:rPr>
          <w:rFonts w:ascii="Times New Roman" w:hAnsi="Times New Roman" w:cs="Times New Roman"/>
        </w:rPr>
        <w:t xml:space="preserve"> en </w:t>
      </w:r>
      <w:r w:rsidR="000F2CB4" w:rsidRPr="00A14587">
        <w:rPr>
          <w:rFonts w:ascii="Times New Roman" w:hAnsi="Times New Roman" w:cs="Times New Roman"/>
        </w:rPr>
        <w:t>afiliar</w:t>
      </w:r>
      <w:r w:rsidR="000F2CB4">
        <w:rPr>
          <w:rFonts w:ascii="Times New Roman" w:hAnsi="Times New Roman" w:cs="Times New Roman"/>
        </w:rPr>
        <w:t>se a un sistema</w:t>
      </w:r>
      <w:r w:rsidR="00A14587" w:rsidRPr="00A14587">
        <w:rPr>
          <w:rFonts w:ascii="Times New Roman" w:hAnsi="Times New Roman" w:cs="Times New Roman"/>
        </w:rPr>
        <w:t xml:space="preserve"> social en </w:t>
      </w:r>
      <w:r w:rsidR="00C224F7">
        <w:rPr>
          <w:rFonts w:ascii="Times New Roman" w:hAnsi="Times New Roman" w:cs="Times New Roman"/>
        </w:rPr>
        <w:t>América Latina a partir de 1980</w:t>
      </w:r>
      <w:r>
        <w:rPr>
          <w:rFonts w:ascii="Times New Roman" w:hAnsi="Times New Roman" w:cs="Times New Roman"/>
        </w:rPr>
        <w:t>,</w:t>
      </w:r>
      <w:r w:rsidR="00A14587" w:rsidRPr="00A14587">
        <w:rPr>
          <w:rFonts w:ascii="Times New Roman" w:hAnsi="Times New Roman" w:cs="Times New Roman"/>
        </w:rPr>
        <w:t xml:space="preserve"> </w:t>
      </w:r>
      <w:r>
        <w:rPr>
          <w:rFonts w:ascii="Times New Roman" w:hAnsi="Times New Roman" w:cs="Times New Roman"/>
        </w:rPr>
        <w:t>con el objetivo de lograr</w:t>
      </w:r>
      <w:r w:rsidR="000F2CB4">
        <w:rPr>
          <w:rFonts w:ascii="Times New Roman" w:hAnsi="Times New Roman" w:cs="Times New Roman"/>
        </w:rPr>
        <w:t xml:space="preserve"> </w:t>
      </w:r>
      <w:r w:rsidR="00EE2425">
        <w:rPr>
          <w:rFonts w:ascii="Times New Roman" w:hAnsi="Times New Roman" w:cs="Times New Roman"/>
        </w:rPr>
        <w:t xml:space="preserve">mejores </w:t>
      </w:r>
      <w:r w:rsidR="00A14587" w:rsidRPr="00A14587">
        <w:rPr>
          <w:rFonts w:ascii="Times New Roman" w:hAnsi="Times New Roman" w:cs="Times New Roman"/>
        </w:rPr>
        <w:t xml:space="preserve">niveles </w:t>
      </w:r>
      <w:r w:rsidR="00EE2425">
        <w:rPr>
          <w:rFonts w:ascii="Times New Roman" w:hAnsi="Times New Roman" w:cs="Times New Roman"/>
        </w:rPr>
        <w:t xml:space="preserve">de </w:t>
      </w:r>
      <w:r w:rsidR="00A14587" w:rsidRPr="00A14587">
        <w:rPr>
          <w:rFonts w:ascii="Times New Roman" w:hAnsi="Times New Roman" w:cs="Times New Roman"/>
        </w:rPr>
        <w:t>cobertura</w:t>
      </w:r>
      <w:r>
        <w:rPr>
          <w:rFonts w:ascii="Times New Roman" w:hAnsi="Times New Roman" w:cs="Times New Roman"/>
        </w:rPr>
        <w:t>,</w:t>
      </w:r>
      <w:r w:rsidR="00EE2425">
        <w:rPr>
          <w:rFonts w:ascii="Times New Roman" w:hAnsi="Times New Roman" w:cs="Times New Roman"/>
        </w:rPr>
        <w:t xml:space="preserve"> </w:t>
      </w:r>
      <w:r w:rsidR="000F2CB4">
        <w:rPr>
          <w:rFonts w:ascii="Times New Roman" w:hAnsi="Times New Roman" w:cs="Times New Roman"/>
        </w:rPr>
        <w:t>dentro de</w:t>
      </w:r>
      <w:r w:rsidR="00A14587" w:rsidRPr="00A14587">
        <w:rPr>
          <w:rFonts w:ascii="Times New Roman" w:hAnsi="Times New Roman" w:cs="Times New Roman"/>
        </w:rPr>
        <w:t xml:space="preserve"> un marco de población envejecida </w:t>
      </w:r>
      <w:r w:rsidR="000F2CB4">
        <w:rPr>
          <w:rFonts w:ascii="Times New Roman" w:hAnsi="Times New Roman" w:cs="Times New Roman"/>
        </w:rPr>
        <w:t xml:space="preserve">y </w:t>
      </w:r>
      <w:r w:rsidR="00A14587" w:rsidRPr="00A14587">
        <w:rPr>
          <w:rFonts w:ascii="Times New Roman" w:hAnsi="Times New Roman" w:cs="Times New Roman"/>
        </w:rPr>
        <w:t xml:space="preserve">con alta esperanza de vida </w:t>
      </w:r>
      <w:r w:rsidR="00927147">
        <w:rPr>
          <w:rFonts w:ascii="Times New Roman" w:hAnsi="Times New Roman" w:cs="Times New Roman"/>
        </w:rPr>
        <w:t xml:space="preserve">pero con costos altos </w:t>
      </w:r>
      <w:r w:rsidR="00A14587" w:rsidRPr="00A14587">
        <w:rPr>
          <w:rFonts w:ascii="Times New Roman" w:hAnsi="Times New Roman" w:cs="Times New Roman"/>
        </w:rPr>
        <w:t xml:space="preserve">y desequilibrio financiero. </w:t>
      </w:r>
    </w:p>
    <w:p w14:paraId="1EDA3397" w14:textId="77777777" w:rsidR="00A14587" w:rsidRPr="00A14587" w:rsidRDefault="00A14587" w:rsidP="00A14587">
      <w:pPr>
        <w:spacing w:line="360" w:lineRule="auto"/>
        <w:jc w:val="both"/>
        <w:rPr>
          <w:rFonts w:ascii="Times New Roman" w:hAnsi="Times New Roman" w:cs="Times New Roman"/>
        </w:rPr>
      </w:pPr>
    </w:p>
    <w:p w14:paraId="6972C865" w14:textId="7AA949C8" w:rsidR="00EE2425" w:rsidRDefault="00927147" w:rsidP="00A14587">
      <w:pPr>
        <w:spacing w:line="360" w:lineRule="auto"/>
        <w:jc w:val="both"/>
        <w:rPr>
          <w:rFonts w:ascii="Times New Roman" w:hAnsi="Times New Roman" w:cs="Times New Roman"/>
        </w:rPr>
      </w:pPr>
      <w:r>
        <w:rPr>
          <w:rFonts w:ascii="Times New Roman" w:hAnsi="Times New Roman" w:cs="Times New Roman"/>
        </w:rPr>
        <w:t>El primer grupo estuvo</w:t>
      </w:r>
      <w:r w:rsidR="00A14587" w:rsidRPr="00A14587">
        <w:rPr>
          <w:rFonts w:ascii="Times New Roman" w:hAnsi="Times New Roman" w:cs="Times New Roman"/>
        </w:rPr>
        <w:t xml:space="preserve"> conformado por Uruguay, Argentina, C</w:t>
      </w:r>
      <w:r>
        <w:rPr>
          <w:rFonts w:ascii="Times New Roman" w:hAnsi="Times New Roman" w:cs="Times New Roman"/>
        </w:rPr>
        <w:t>hile, Cuba, Brasil y Costa Rica; p</w:t>
      </w:r>
      <w:r w:rsidR="00A14587" w:rsidRPr="00A14587">
        <w:rPr>
          <w:rFonts w:ascii="Times New Roman" w:hAnsi="Times New Roman" w:cs="Times New Roman"/>
        </w:rPr>
        <w:t xml:space="preserve">osteriormente </w:t>
      </w:r>
      <w:r>
        <w:rPr>
          <w:rFonts w:ascii="Times New Roman" w:hAnsi="Times New Roman" w:cs="Times New Roman"/>
        </w:rPr>
        <w:t xml:space="preserve">se crea </w:t>
      </w:r>
      <w:r w:rsidR="00A14587" w:rsidRPr="00A14587">
        <w:rPr>
          <w:rFonts w:ascii="Times New Roman" w:hAnsi="Times New Roman" w:cs="Times New Roman"/>
        </w:rPr>
        <w:t xml:space="preserve">un grupo intermedio, Panamá, México, Perú, Colombia, Ecuador, Bolivia y Venezuela, como los que implantaron sus programas hacia los años cuarenta y cincuenta, influenciados por las convenciones de la Organización Internacional del Trabajo (OIT). El tercer grupo es el de los recién llegados, integrado por Paraguay, República Dominicana, Guatemala, El Salvador, Nicaragua, Honduras y Haití, últimos en implementar sus programas en las décadas de los sesenta y setenta. </w:t>
      </w:r>
    </w:p>
    <w:p w14:paraId="23926BB1" w14:textId="77777777" w:rsidR="00B57A0A" w:rsidRDefault="00B57A0A" w:rsidP="00A14587">
      <w:pPr>
        <w:spacing w:line="360" w:lineRule="auto"/>
        <w:jc w:val="both"/>
        <w:rPr>
          <w:rFonts w:ascii="Times New Roman" w:hAnsi="Times New Roman" w:cs="Times New Roman"/>
        </w:rPr>
      </w:pPr>
    </w:p>
    <w:p w14:paraId="433A2D4F" w14:textId="06A44DBA" w:rsidR="00B57A0A" w:rsidRDefault="00B57A0A" w:rsidP="00A14587">
      <w:pPr>
        <w:spacing w:line="360" w:lineRule="auto"/>
        <w:jc w:val="both"/>
        <w:rPr>
          <w:rFonts w:ascii="Times New Roman" w:hAnsi="Times New Roman" w:cs="Times New Roman"/>
        </w:rPr>
      </w:pPr>
      <w:r>
        <w:rPr>
          <w:rFonts w:ascii="Times New Roman" w:hAnsi="Times New Roman" w:cs="Times New Roman"/>
        </w:rPr>
        <w:t>La implementación de la seguridad social en estos países de América Lati</w:t>
      </w:r>
      <w:r w:rsidR="004845AE">
        <w:rPr>
          <w:rFonts w:ascii="Times New Roman" w:hAnsi="Times New Roman" w:cs="Times New Roman"/>
        </w:rPr>
        <w:t>na tuvo un principio muy frágil</w:t>
      </w:r>
      <w:r>
        <w:rPr>
          <w:rFonts w:ascii="Times New Roman" w:hAnsi="Times New Roman" w:cs="Times New Roman"/>
        </w:rPr>
        <w:t xml:space="preserve"> debido </w:t>
      </w:r>
      <w:r w:rsidR="00C224F7">
        <w:rPr>
          <w:rFonts w:ascii="Times New Roman" w:hAnsi="Times New Roman" w:cs="Times New Roman"/>
        </w:rPr>
        <w:t>al</w:t>
      </w:r>
      <w:r w:rsidRPr="00B57A0A">
        <w:rPr>
          <w:rFonts w:ascii="Times New Roman" w:hAnsi="Times New Roman" w:cs="Times New Roman"/>
        </w:rPr>
        <w:t xml:space="preserve"> alto empleo informal y </w:t>
      </w:r>
      <w:r w:rsidR="004845AE">
        <w:rPr>
          <w:rFonts w:ascii="Times New Roman" w:hAnsi="Times New Roman" w:cs="Times New Roman"/>
        </w:rPr>
        <w:t xml:space="preserve">a </w:t>
      </w:r>
      <w:r w:rsidRPr="00B57A0A">
        <w:rPr>
          <w:rFonts w:ascii="Times New Roman" w:hAnsi="Times New Roman" w:cs="Times New Roman"/>
        </w:rPr>
        <w:t>una gran desproporción en la distribución del ingreso, así como a la falta de un sistema impositivo y financiero eficaz. Au</w:t>
      </w:r>
      <w:r w:rsidR="00C224F7">
        <w:rPr>
          <w:rFonts w:ascii="Times New Roman" w:hAnsi="Times New Roman" w:cs="Times New Roman"/>
        </w:rPr>
        <w:t>n así, América Latina se destacó</w:t>
      </w:r>
      <w:r w:rsidRPr="00B57A0A">
        <w:rPr>
          <w:rFonts w:ascii="Times New Roman" w:hAnsi="Times New Roman" w:cs="Times New Roman"/>
        </w:rPr>
        <w:t xml:space="preserve"> </w:t>
      </w:r>
      <w:r w:rsidR="00C224F7">
        <w:rPr>
          <w:rFonts w:ascii="Times New Roman" w:hAnsi="Times New Roman" w:cs="Times New Roman"/>
        </w:rPr>
        <w:t xml:space="preserve">en materia de seguridad social </w:t>
      </w:r>
      <w:r w:rsidRPr="00B57A0A">
        <w:rPr>
          <w:rFonts w:ascii="Times New Roman" w:hAnsi="Times New Roman" w:cs="Times New Roman"/>
        </w:rPr>
        <w:t>y es considerada pionera respecto a Estados Unidos y Japón. (Rodríguez, 2002).</w:t>
      </w:r>
    </w:p>
    <w:p w14:paraId="2388A7C5" w14:textId="77777777" w:rsidR="00BE17A6" w:rsidRDefault="00BE17A6" w:rsidP="00BE17A6">
      <w:pPr>
        <w:spacing w:line="360" w:lineRule="auto"/>
        <w:jc w:val="both"/>
        <w:rPr>
          <w:rFonts w:ascii="Times New Roman" w:hAnsi="Times New Roman" w:cs="Times New Roman"/>
        </w:rPr>
      </w:pPr>
    </w:p>
    <w:p w14:paraId="315A34A4" w14:textId="70535B80" w:rsidR="00BE17A6" w:rsidRDefault="00BE17A6" w:rsidP="00BE17A6">
      <w:pPr>
        <w:spacing w:line="360" w:lineRule="auto"/>
        <w:jc w:val="both"/>
        <w:rPr>
          <w:rFonts w:ascii="Times New Roman" w:hAnsi="Times New Roman" w:cs="Times New Roman"/>
        </w:rPr>
      </w:pPr>
      <w:r>
        <w:rPr>
          <w:rFonts w:ascii="Times New Roman" w:hAnsi="Times New Roman" w:cs="Times New Roman"/>
        </w:rPr>
        <w:t xml:space="preserve">Esto trajo consigo </w:t>
      </w:r>
      <w:r w:rsidR="00C224F7">
        <w:rPr>
          <w:rFonts w:ascii="Times New Roman" w:hAnsi="Times New Roman" w:cs="Times New Roman"/>
        </w:rPr>
        <w:t>la desmonopolización</w:t>
      </w:r>
      <w:r w:rsidR="00C224F7" w:rsidRPr="00B57A0A">
        <w:rPr>
          <w:rFonts w:ascii="Times New Roman" w:hAnsi="Times New Roman" w:cs="Times New Roman"/>
        </w:rPr>
        <w:t xml:space="preserve"> </w:t>
      </w:r>
      <w:r w:rsidR="00C224F7">
        <w:rPr>
          <w:rFonts w:ascii="Times New Roman" w:hAnsi="Times New Roman" w:cs="Times New Roman"/>
        </w:rPr>
        <w:t>d</w:t>
      </w:r>
      <w:r w:rsidR="00C224F7" w:rsidRPr="00B57A0A">
        <w:rPr>
          <w:rFonts w:ascii="Times New Roman" w:hAnsi="Times New Roman" w:cs="Times New Roman"/>
        </w:rPr>
        <w:t>el seguro social, pasando al sec</w:t>
      </w:r>
      <w:r w:rsidR="006B5F59">
        <w:rPr>
          <w:rFonts w:ascii="Times New Roman" w:hAnsi="Times New Roman" w:cs="Times New Roman"/>
        </w:rPr>
        <w:t xml:space="preserve">tor privado en lo referente a </w:t>
      </w:r>
      <w:r w:rsidR="00C224F7" w:rsidRPr="00B57A0A">
        <w:rPr>
          <w:rFonts w:ascii="Times New Roman" w:hAnsi="Times New Roman" w:cs="Times New Roman"/>
        </w:rPr>
        <w:t>financiamiento, pero con l</w:t>
      </w:r>
      <w:r w:rsidR="00C224F7">
        <w:rPr>
          <w:rFonts w:ascii="Times New Roman" w:hAnsi="Times New Roman" w:cs="Times New Roman"/>
        </w:rPr>
        <w:t>a regulación y supervisión del E</w:t>
      </w:r>
      <w:r w:rsidR="006C11FE">
        <w:rPr>
          <w:rFonts w:ascii="Times New Roman" w:hAnsi="Times New Roman" w:cs="Times New Roman"/>
        </w:rPr>
        <w:t>stado.</w:t>
      </w:r>
      <w:r w:rsidR="006B5F59">
        <w:rPr>
          <w:rFonts w:ascii="Times New Roman" w:hAnsi="Times New Roman" w:cs="Times New Roman"/>
        </w:rPr>
        <w:t xml:space="preserve"> </w:t>
      </w:r>
      <w:r>
        <w:rPr>
          <w:rFonts w:ascii="Times New Roman" w:hAnsi="Times New Roman" w:cs="Times New Roman"/>
        </w:rPr>
        <w:t>La frágil instrumentación de políticas públicas sociales y financieras</w:t>
      </w:r>
      <w:r w:rsidR="006C11FE">
        <w:rPr>
          <w:rFonts w:ascii="Times New Roman" w:hAnsi="Times New Roman" w:cs="Times New Roman"/>
        </w:rPr>
        <w:t xml:space="preserve"> en los años ochenta, trajo como consecuencia</w:t>
      </w:r>
      <w:r>
        <w:rPr>
          <w:rFonts w:ascii="Times New Roman" w:hAnsi="Times New Roman" w:cs="Times New Roman"/>
        </w:rPr>
        <w:t xml:space="preserve"> </w:t>
      </w:r>
      <w:r w:rsidR="006B5F59">
        <w:rPr>
          <w:rFonts w:ascii="Times New Roman" w:hAnsi="Times New Roman" w:cs="Times New Roman"/>
        </w:rPr>
        <w:t>una reducción de</w:t>
      </w:r>
      <w:r w:rsidRPr="00B57A0A">
        <w:rPr>
          <w:rFonts w:ascii="Times New Roman" w:hAnsi="Times New Roman" w:cs="Times New Roman"/>
        </w:rPr>
        <w:t xml:space="preserve"> la cobertura previsional</w:t>
      </w:r>
      <w:r>
        <w:rPr>
          <w:rFonts w:ascii="Times New Roman" w:hAnsi="Times New Roman" w:cs="Times New Roman"/>
        </w:rPr>
        <w:t xml:space="preserve"> en la seguridad social</w:t>
      </w:r>
      <w:r w:rsidRPr="00B57A0A">
        <w:rPr>
          <w:rFonts w:ascii="Times New Roman" w:hAnsi="Times New Roman" w:cs="Times New Roman"/>
        </w:rPr>
        <w:t xml:space="preserve"> y </w:t>
      </w:r>
      <w:r>
        <w:rPr>
          <w:rFonts w:ascii="Times New Roman" w:hAnsi="Times New Roman" w:cs="Times New Roman"/>
        </w:rPr>
        <w:t xml:space="preserve">en </w:t>
      </w:r>
      <w:r w:rsidRPr="00B57A0A">
        <w:rPr>
          <w:rFonts w:ascii="Times New Roman" w:hAnsi="Times New Roman" w:cs="Times New Roman"/>
        </w:rPr>
        <w:t>los salarios reales, a la vez que aumentó el empleo informal y el desempleo, por lo que</w:t>
      </w:r>
      <w:r w:rsidR="006C11FE">
        <w:rPr>
          <w:rFonts w:ascii="Times New Roman" w:hAnsi="Times New Roman" w:cs="Times New Roman"/>
        </w:rPr>
        <w:t xml:space="preserve"> </w:t>
      </w:r>
      <w:r w:rsidRPr="00B57A0A">
        <w:rPr>
          <w:rFonts w:ascii="Times New Roman" w:hAnsi="Times New Roman" w:cs="Times New Roman"/>
        </w:rPr>
        <w:t xml:space="preserve">solo </w:t>
      </w:r>
      <w:r w:rsidR="006C11FE">
        <w:rPr>
          <w:rFonts w:ascii="Times New Roman" w:hAnsi="Times New Roman" w:cs="Times New Roman"/>
        </w:rPr>
        <w:t xml:space="preserve">fue </w:t>
      </w:r>
      <w:r w:rsidRPr="00B57A0A">
        <w:rPr>
          <w:rFonts w:ascii="Times New Roman" w:hAnsi="Times New Roman" w:cs="Times New Roman"/>
        </w:rPr>
        <w:t xml:space="preserve">cuestión de tiempo </w:t>
      </w:r>
      <w:r w:rsidR="006C11FE">
        <w:rPr>
          <w:rFonts w:ascii="Times New Roman" w:hAnsi="Times New Roman" w:cs="Times New Roman"/>
        </w:rPr>
        <w:t>para</w:t>
      </w:r>
      <w:r w:rsidR="006B5F59">
        <w:rPr>
          <w:rFonts w:ascii="Times New Roman" w:hAnsi="Times New Roman" w:cs="Times New Roman"/>
        </w:rPr>
        <w:t xml:space="preserve"> que se privatizara el sistema de pensiones.</w:t>
      </w:r>
    </w:p>
    <w:p w14:paraId="163D0540" w14:textId="77777777" w:rsidR="00BE17A6" w:rsidRDefault="00BE17A6" w:rsidP="00A14587">
      <w:pPr>
        <w:spacing w:line="360" w:lineRule="auto"/>
        <w:jc w:val="both"/>
        <w:rPr>
          <w:rFonts w:ascii="Times New Roman" w:hAnsi="Times New Roman" w:cs="Times New Roman"/>
        </w:rPr>
      </w:pPr>
    </w:p>
    <w:p w14:paraId="3A700D6D" w14:textId="574A4FB2" w:rsidR="000D750C" w:rsidRDefault="000D750C" w:rsidP="000D750C">
      <w:pPr>
        <w:spacing w:line="360" w:lineRule="auto"/>
        <w:jc w:val="both"/>
        <w:rPr>
          <w:rFonts w:ascii="Times New Roman" w:hAnsi="Times New Roman" w:cs="Times New Roman"/>
        </w:rPr>
      </w:pPr>
      <w:r w:rsidRPr="00B57A0A">
        <w:rPr>
          <w:rFonts w:ascii="Times New Roman" w:hAnsi="Times New Roman" w:cs="Times New Roman"/>
        </w:rPr>
        <w:t>Uthoff (1991</w:t>
      </w:r>
      <w:r w:rsidR="006B5F59">
        <w:rPr>
          <w:rFonts w:ascii="Times New Roman" w:hAnsi="Times New Roman" w:cs="Times New Roman"/>
        </w:rPr>
        <w:t xml:space="preserve">), señala </w:t>
      </w:r>
      <w:r w:rsidR="0001341D">
        <w:rPr>
          <w:rFonts w:ascii="Times New Roman" w:hAnsi="Times New Roman" w:cs="Times New Roman"/>
        </w:rPr>
        <w:t>el</w:t>
      </w:r>
      <w:r w:rsidRPr="00B57A0A">
        <w:rPr>
          <w:rFonts w:ascii="Times New Roman" w:hAnsi="Times New Roman" w:cs="Times New Roman"/>
        </w:rPr>
        <w:t xml:space="preserve"> creciente endeudamiento externo</w:t>
      </w:r>
      <w:r w:rsidR="006B5F59">
        <w:rPr>
          <w:rFonts w:ascii="Times New Roman" w:hAnsi="Times New Roman" w:cs="Times New Roman"/>
        </w:rPr>
        <w:t xml:space="preserve"> de la mayoría de los países de América Latina,</w:t>
      </w:r>
      <w:r w:rsidRPr="00B57A0A">
        <w:rPr>
          <w:rFonts w:ascii="Times New Roman" w:hAnsi="Times New Roman" w:cs="Times New Roman"/>
        </w:rPr>
        <w:t xml:space="preserve"> obligó a </w:t>
      </w:r>
      <w:r w:rsidR="006B5F59">
        <w:rPr>
          <w:rFonts w:ascii="Times New Roman" w:hAnsi="Times New Roman" w:cs="Times New Roman"/>
        </w:rPr>
        <w:t xml:space="preserve">que </w:t>
      </w:r>
      <w:r w:rsidR="0001341D">
        <w:rPr>
          <w:rFonts w:ascii="Times New Roman" w:hAnsi="Times New Roman" w:cs="Times New Roman"/>
        </w:rPr>
        <w:t>e</w:t>
      </w:r>
      <w:r w:rsidR="006B5F59">
        <w:rPr>
          <w:rFonts w:ascii="Times New Roman" w:hAnsi="Times New Roman" w:cs="Times New Roman"/>
        </w:rPr>
        <w:t xml:space="preserve">stos </w:t>
      </w:r>
      <w:r w:rsidRPr="00B57A0A">
        <w:rPr>
          <w:rFonts w:ascii="Times New Roman" w:hAnsi="Times New Roman" w:cs="Times New Roman"/>
        </w:rPr>
        <w:t>destinar</w:t>
      </w:r>
      <w:r w:rsidR="006B5F59">
        <w:rPr>
          <w:rFonts w:ascii="Times New Roman" w:hAnsi="Times New Roman" w:cs="Times New Roman"/>
        </w:rPr>
        <w:t>an</w:t>
      </w:r>
      <w:r w:rsidRPr="00B57A0A">
        <w:rPr>
          <w:rFonts w:ascii="Times New Roman" w:hAnsi="Times New Roman" w:cs="Times New Roman"/>
        </w:rPr>
        <w:t xml:space="preserve"> grandes recursos al pago de la deuda, eliminando recursos a l</w:t>
      </w:r>
      <w:r w:rsidR="006B5F59">
        <w:rPr>
          <w:rFonts w:ascii="Times New Roman" w:hAnsi="Times New Roman" w:cs="Times New Roman"/>
        </w:rPr>
        <w:t xml:space="preserve">a seguridad social, por lo que </w:t>
      </w:r>
      <w:r w:rsidRPr="00B57A0A">
        <w:rPr>
          <w:rFonts w:ascii="Times New Roman" w:hAnsi="Times New Roman" w:cs="Times New Roman"/>
        </w:rPr>
        <w:t>estos sistemas</w:t>
      </w:r>
      <w:r w:rsidR="006B5F59">
        <w:rPr>
          <w:rFonts w:ascii="Times New Roman" w:hAnsi="Times New Roman" w:cs="Times New Roman"/>
        </w:rPr>
        <w:t xml:space="preserve"> de pensión</w:t>
      </w:r>
      <w:r w:rsidRPr="00B57A0A">
        <w:rPr>
          <w:rFonts w:ascii="Times New Roman" w:hAnsi="Times New Roman" w:cs="Times New Roman"/>
        </w:rPr>
        <w:t xml:space="preserve"> no podían sostenerse ni a mediano ni a largo plazo.</w:t>
      </w:r>
    </w:p>
    <w:p w14:paraId="582A1255" w14:textId="77777777" w:rsidR="00656C88" w:rsidRDefault="00656C88" w:rsidP="00656C88">
      <w:pPr>
        <w:spacing w:line="360" w:lineRule="auto"/>
        <w:jc w:val="both"/>
        <w:rPr>
          <w:rFonts w:ascii="Times New Roman" w:hAnsi="Times New Roman" w:cs="Times New Roman"/>
        </w:rPr>
      </w:pPr>
    </w:p>
    <w:p w14:paraId="67A9BC5F" w14:textId="3D4BC29B" w:rsidR="00656C88" w:rsidRDefault="00BE17A6" w:rsidP="00656C88">
      <w:pPr>
        <w:spacing w:line="360" w:lineRule="auto"/>
        <w:jc w:val="both"/>
        <w:rPr>
          <w:rFonts w:ascii="Times New Roman" w:hAnsi="Times New Roman" w:cs="Times New Roman"/>
        </w:rPr>
      </w:pPr>
      <w:r>
        <w:rPr>
          <w:rFonts w:ascii="Times New Roman" w:hAnsi="Times New Roman" w:cs="Times New Roman"/>
        </w:rPr>
        <w:t>En conclusión, l</w:t>
      </w:r>
      <w:r w:rsidR="00656C88" w:rsidRPr="00031F82">
        <w:rPr>
          <w:rFonts w:ascii="Times New Roman" w:hAnsi="Times New Roman" w:cs="Times New Roman"/>
        </w:rPr>
        <w:t xml:space="preserve">as políticas económicas neoliberales no han logrado sostener el crecimiento económico en México ni en América Latina </w:t>
      </w:r>
      <w:r w:rsidR="00BB50FE">
        <w:rPr>
          <w:rFonts w:ascii="Times New Roman" w:hAnsi="Times New Roman" w:cs="Times New Roman"/>
        </w:rPr>
        <w:t xml:space="preserve">y solo se redujo el tamaño del </w:t>
      </w:r>
      <w:r w:rsidR="0084107D">
        <w:rPr>
          <w:rFonts w:ascii="Times New Roman" w:hAnsi="Times New Roman" w:cs="Times New Roman"/>
        </w:rPr>
        <w:t>e</w:t>
      </w:r>
      <w:r w:rsidR="005C2E5A">
        <w:rPr>
          <w:rFonts w:ascii="Times New Roman" w:hAnsi="Times New Roman" w:cs="Times New Roman"/>
        </w:rPr>
        <w:t>stado de bienestar</w:t>
      </w:r>
      <w:r w:rsidR="00656C88" w:rsidRPr="00031F82">
        <w:rPr>
          <w:rFonts w:ascii="Times New Roman" w:hAnsi="Times New Roman" w:cs="Times New Roman"/>
        </w:rPr>
        <w:t>, debido a la mayor prioridad hacia las políticas e</w:t>
      </w:r>
      <w:r w:rsidR="007E35B5">
        <w:rPr>
          <w:rFonts w:ascii="Times New Roman" w:hAnsi="Times New Roman" w:cs="Times New Roman"/>
        </w:rPr>
        <w:t xml:space="preserve">conómicas como </w:t>
      </w:r>
      <w:r w:rsidR="00656C88" w:rsidRPr="00031F82">
        <w:rPr>
          <w:rFonts w:ascii="Times New Roman" w:hAnsi="Times New Roman" w:cs="Times New Roman"/>
        </w:rPr>
        <w:t>la libre oferta y demanda del mercado y el alto costo en los sistemas contributivos, los cuales no son paralelos a los cambios demográficos</w:t>
      </w:r>
      <w:r w:rsidR="0001341D">
        <w:rPr>
          <w:rFonts w:ascii="Times New Roman" w:hAnsi="Times New Roman" w:cs="Times New Roman"/>
        </w:rPr>
        <w:t>,</w:t>
      </w:r>
      <w:r w:rsidR="00656C88" w:rsidRPr="00031F82">
        <w:rPr>
          <w:rFonts w:ascii="Times New Roman" w:hAnsi="Times New Roman" w:cs="Times New Roman"/>
        </w:rPr>
        <w:t xml:space="preserve"> </w:t>
      </w:r>
      <w:r w:rsidR="007E35B5">
        <w:rPr>
          <w:rFonts w:ascii="Times New Roman" w:hAnsi="Times New Roman" w:cs="Times New Roman"/>
        </w:rPr>
        <w:t>restando</w:t>
      </w:r>
      <w:r w:rsidR="00656C88" w:rsidRPr="00031F82">
        <w:rPr>
          <w:rFonts w:ascii="Times New Roman" w:hAnsi="Times New Roman" w:cs="Times New Roman"/>
        </w:rPr>
        <w:t xml:space="preserve"> recursos </w:t>
      </w:r>
      <w:r w:rsidR="0001341D">
        <w:rPr>
          <w:rFonts w:ascii="Times New Roman" w:hAnsi="Times New Roman" w:cs="Times New Roman"/>
        </w:rPr>
        <w:t>hacia</w:t>
      </w:r>
      <w:r w:rsidR="00656C88" w:rsidRPr="00031F82">
        <w:rPr>
          <w:rFonts w:ascii="Times New Roman" w:hAnsi="Times New Roman" w:cs="Times New Roman"/>
        </w:rPr>
        <w:t xml:space="preserve"> la vejez.</w:t>
      </w:r>
      <w:r w:rsidR="00656C88">
        <w:rPr>
          <w:rFonts w:ascii="Times New Roman" w:hAnsi="Times New Roman" w:cs="Times New Roman"/>
        </w:rPr>
        <w:t xml:space="preserve"> </w:t>
      </w:r>
    </w:p>
    <w:p w14:paraId="6AE06B8A" w14:textId="77777777" w:rsidR="00BB50FE" w:rsidRDefault="00BB50FE" w:rsidP="00BB50FE">
      <w:pPr>
        <w:spacing w:line="360" w:lineRule="auto"/>
        <w:jc w:val="both"/>
        <w:rPr>
          <w:rFonts w:ascii="Times New Roman" w:hAnsi="Times New Roman" w:cs="Times New Roman"/>
        </w:rPr>
      </w:pPr>
    </w:p>
    <w:p w14:paraId="3C4A650A" w14:textId="0A9DEB83" w:rsidR="00BB50FE" w:rsidRPr="00005B17" w:rsidRDefault="00BB50FE" w:rsidP="00BB50FE">
      <w:pPr>
        <w:spacing w:line="360" w:lineRule="auto"/>
        <w:jc w:val="both"/>
        <w:rPr>
          <w:rFonts w:ascii="Times New Roman" w:hAnsi="Times New Roman" w:cs="Times New Roman"/>
        </w:rPr>
      </w:pPr>
      <w:r>
        <w:rPr>
          <w:rFonts w:ascii="Times New Roman" w:hAnsi="Times New Roman" w:cs="Times New Roman"/>
        </w:rPr>
        <w:t>L</w:t>
      </w:r>
      <w:r w:rsidRPr="00005B17">
        <w:rPr>
          <w:rFonts w:ascii="Times New Roman" w:hAnsi="Times New Roman" w:cs="Times New Roman"/>
        </w:rPr>
        <w:t>a Reforma a la segurid</w:t>
      </w:r>
      <w:r>
        <w:rPr>
          <w:rFonts w:ascii="Times New Roman" w:hAnsi="Times New Roman" w:cs="Times New Roman"/>
        </w:rPr>
        <w:t xml:space="preserve">ad social </w:t>
      </w:r>
      <w:r w:rsidR="0001341D">
        <w:rPr>
          <w:rFonts w:ascii="Times New Roman" w:hAnsi="Times New Roman" w:cs="Times New Roman"/>
        </w:rPr>
        <w:t>h</w:t>
      </w:r>
      <w:r>
        <w:rPr>
          <w:rFonts w:ascii="Times New Roman" w:hAnsi="Times New Roman" w:cs="Times New Roman"/>
        </w:rPr>
        <w:t xml:space="preserve">a creado un efecto negativo en </w:t>
      </w:r>
      <w:r w:rsidRPr="00005B17">
        <w:rPr>
          <w:rFonts w:ascii="Times New Roman" w:hAnsi="Times New Roman" w:cs="Times New Roman"/>
        </w:rPr>
        <w:t>América Latina.</w:t>
      </w:r>
      <w:r>
        <w:rPr>
          <w:rFonts w:ascii="Times New Roman" w:hAnsi="Times New Roman" w:cs="Times New Roman"/>
        </w:rPr>
        <w:t xml:space="preserve"> </w:t>
      </w:r>
      <w:r w:rsidRPr="00005B17">
        <w:rPr>
          <w:rFonts w:ascii="Times New Roman" w:hAnsi="Times New Roman" w:cs="Times New Roman"/>
        </w:rPr>
        <w:t xml:space="preserve">El enfoque difundido </w:t>
      </w:r>
      <w:r>
        <w:rPr>
          <w:rFonts w:ascii="Times New Roman" w:hAnsi="Times New Roman" w:cs="Times New Roman"/>
        </w:rPr>
        <w:t>sobre la</w:t>
      </w:r>
      <w:r w:rsidRPr="00005B17">
        <w:rPr>
          <w:rFonts w:ascii="Times New Roman" w:hAnsi="Times New Roman" w:cs="Times New Roman"/>
        </w:rPr>
        <w:t xml:space="preserve"> ineficiente participación del Estado en la función de proveer bienestar, y </w:t>
      </w:r>
      <w:r>
        <w:rPr>
          <w:rFonts w:ascii="Times New Roman" w:hAnsi="Times New Roman" w:cs="Times New Roman"/>
        </w:rPr>
        <w:t xml:space="preserve">la conclusión de </w:t>
      </w:r>
      <w:r w:rsidRPr="00005B17">
        <w:rPr>
          <w:rFonts w:ascii="Times New Roman" w:hAnsi="Times New Roman" w:cs="Times New Roman"/>
        </w:rPr>
        <w:t>que el sector privado puede ofertar mejores bienes y servicios</w:t>
      </w:r>
      <w:r>
        <w:rPr>
          <w:rFonts w:ascii="Times New Roman" w:hAnsi="Times New Roman" w:cs="Times New Roman"/>
        </w:rPr>
        <w:t>, incluidos los de tipo social,</w:t>
      </w:r>
      <w:r w:rsidR="00FF31A8">
        <w:rPr>
          <w:rFonts w:ascii="Times New Roman" w:hAnsi="Times New Roman" w:cs="Times New Roman"/>
        </w:rPr>
        <w:t xml:space="preserve"> ha traído como consecuencia una próxima crisis en el sistema pensionario latinoamericano.</w:t>
      </w:r>
      <w:r w:rsidR="00FF31A8" w:rsidRPr="00FF31A8">
        <w:rPr>
          <w:rFonts w:ascii="Times New Roman" w:hAnsi="Times New Roman" w:cs="Times New Roman"/>
        </w:rPr>
        <w:t xml:space="preserve"> </w:t>
      </w:r>
    </w:p>
    <w:p w14:paraId="065885CA" w14:textId="77777777" w:rsidR="0001341D" w:rsidRDefault="0001341D" w:rsidP="00FB3B4B">
      <w:pPr>
        <w:spacing w:line="360" w:lineRule="auto"/>
        <w:jc w:val="both"/>
        <w:rPr>
          <w:rFonts w:ascii="Times New Roman" w:hAnsi="Times New Roman" w:cs="Times New Roman"/>
        </w:rPr>
      </w:pPr>
    </w:p>
    <w:p w14:paraId="1CB61186" w14:textId="6760C453" w:rsidR="00FB3B4B" w:rsidRPr="0001341D" w:rsidRDefault="00FB3B4B" w:rsidP="00FB3B4B">
      <w:pPr>
        <w:spacing w:line="360" w:lineRule="auto"/>
        <w:jc w:val="both"/>
        <w:rPr>
          <w:rFonts w:ascii="Times New Roman" w:hAnsi="Times New Roman" w:cs="Times New Roman"/>
          <w:b/>
        </w:rPr>
      </w:pPr>
      <w:r w:rsidRPr="0001341D">
        <w:rPr>
          <w:rFonts w:ascii="Times New Roman" w:hAnsi="Times New Roman" w:cs="Times New Roman"/>
          <w:b/>
        </w:rPr>
        <w:t>La seguridad social en México</w:t>
      </w:r>
    </w:p>
    <w:p w14:paraId="0FCB0A4A" w14:textId="77777777" w:rsidR="00FB3B4B" w:rsidRPr="00101A57" w:rsidRDefault="00FB3B4B" w:rsidP="00FB3B4B">
      <w:pPr>
        <w:spacing w:line="360" w:lineRule="auto"/>
        <w:jc w:val="both"/>
        <w:rPr>
          <w:rFonts w:ascii="Times New Roman" w:hAnsi="Times New Roman" w:cs="Times New Roman"/>
        </w:rPr>
      </w:pPr>
    </w:p>
    <w:p w14:paraId="7B566CBB" w14:textId="65C2D165" w:rsidR="00FB3B4B" w:rsidRDefault="00FB3B4B" w:rsidP="00FB3B4B">
      <w:pPr>
        <w:spacing w:line="360" w:lineRule="auto"/>
        <w:jc w:val="both"/>
        <w:rPr>
          <w:rFonts w:ascii="Times New Roman" w:hAnsi="Times New Roman" w:cs="Times New Roman"/>
        </w:rPr>
      </w:pPr>
      <w:r w:rsidRPr="00101A57">
        <w:rPr>
          <w:rFonts w:ascii="Times New Roman" w:hAnsi="Times New Roman" w:cs="Times New Roman"/>
        </w:rPr>
        <w:t>La seguridad en México surge con el movimiento revolucionario de 1910, a través del artículo 123 Constitucional, en el cual se establece que se deben cubrir los accidentes y enfermedades profesionales; las enfermedades no profesionales y maternidad; y la jubilación, la invalidez, vejez y muerte (Ruiz, 2004)</w:t>
      </w:r>
      <w:r w:rsidR="004B34D7">
        <w:rPr>
          <w:rFonts w:ascii="Times New Roman" w:hAnsi="Times New Roman" w:cs="Times New Roman"/>
        </w:rPr>
        <w:t>.</w:t>
      </w:r>
    </w:p>
    <w:p w14:paraId="3D963673" w14:textId="77777777" w:rsidR="00FB3B4B" w:rsidRDefault="00FB3B4B" w:rsidP="00FB3B4B">
      <w:pPr>
        <w:spacing w:line="360" w:lineRule="auto"/>
        <w:jc w:val="both"/>
        <w:rPr>
          <w:rFonts w:ascii="Times New Roman" w:hAnsi="Times New Roman" w:cs="Times New Roman"/>
        </w:rPr>
      </w:pPr>
    </w:p>
    <w:p w14:paraId="7F3B5A8C" w14:textId="77777777" w:rsidR="000223D6" w:rsidRDefault="000223D6" w:rsidP="00FB3B4B">
      <w:pPr>
        <w:spacing w:line="360" w:lineRule="auto"/>
        <w:jc w:val="both"/>
        <w:rPr>
          <w:rFonts w:ascii="Times New Roman" w:hAnsi="Times New Roman" w:cs="Times New Roman"/>
        </w:rPr>
      </w:pPr>
    </w:p>
    <w:p w14:paraId="230DAA84" w14:textId="77777777" w:rsidR="000223D6" w:rsidRDefault="000223D6" w:rsidP="00FB3B4B">
      <w:pPr>
        <w:spacing w:line="360" w:lineRule="auto"/>
        <w:jc w:val="both"/>
        <w:rPr>
          <w:rFonts w:ascii="Times New Roman" w:hAnsi="Times New Roman" w:cs="Times New Roman"/>
        </w:rPr>
      </w:pPr>
    </w:p>
    <w:p w14:paraId="46B39EA3" w14:textId="77777777" w:rsidR="00FB3B4B" w:rsidRPr="00101A57" w:rsidRDefault="00FB3B4B" w:rsidP="00FB3B4B">
      <w:pPr>
        <w:spacing w:line="360" w:lineRule="auto"/>
        <w:jc w:val="both"/>
        <w:rPr>
          <w:rFonts w:ascii="Times New Roman" w:hAnsi="Times New Roman" w:cs="Times New Roman"/>
        </w:rPr>
      </w:pPr>
      <w:r w:rsidRPr="00101A57">
        <w:rPr>
          <w:rFonts w:ascii="Times New Roman" w:hAnsi="Times New Roman" w:cs="Times New Roman"/>
        </w:rPr>
        <w:t xml:space="preserve">Al respecto, Ruiz señala lo siguiente: </w:t>
      </w:r>
    </w:p>
    <w:p w14:paraId="73D9AA47" w14:textId="77777777" w:rsidR="00FB3B4B" w:rsidRPr="00101A57" w:rsidRDefault="00FB3B4B" w:rsidP="00FB3B4B">
      <w:pPr>
        <w:spacing w:line="360" w:lineRule="auto"/>
        <w:jc w:val="both"/>
        <w:rPr>
          <w:rFonts w:ascii="Times New Roman" w:hAnsi="Times New Roman" w:cs="Times New Roman"/>
        </w:rPr>
      </w:pPr>
    </w:p>
    <w:p w14:paraId="0066688C" w14:textId="64B9C296" w:rsidR="00FB3B4B" w:rsidRPr="00101A57" w:rsidRDefault="00FB3B4B" w:rsidP="00FB3B4B">
      <w:pPr>
        <w:spacing w:line="360" w:lineRule="auto"/>
        <w:jc w:val="both"/>
        <w:rPr>
          <w:rFonts w:ascii="Times New Roman" w:hAnsi="Times New Roman" w:cs="Times New Roman"/>
        </w:rPr>
      </w:pPr>
      <w:r w:rsidRPr="00101A57">
        <w:rPr>
          <w:rFonts w:ascii="Times New Roman" w:hAnsi="Times New Roman" w:cs="Times New Roman"/>
        </w:rPr>
        <w:t>El artículo 2° de la Ley del Seguro Social menciona que “la seguridad social tiene por finalidad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garantizado por el Estado” (p. 4).</w:t>
      </w:r>
    </w:p>
    <w:p w14:paraId="73C574FC" w14:textId="77777777" w:rsidR="00FB3B4B" w:rsidRPr="00101A57" w:rsidRDefault="00FB3B4B" w:rsidP="00FB3B4B">
      <w:pPr>
        <w:spacing w:line="360" w:lineRule="auto"/>
        <w:jc w:val="both"/>
        <w:rPr>
          <w:rFonts w:ascii="Times New Roman" w:hAnsi="Times New Roman" w:cs="Times New Roman"/>
        </w:rPr>
      </w:pPr>
    </w:p>
    <w:p w14:paraId="7925D53D" w14:textId="77777777" w:rsidR="00FB3B4B" w:rsidRPr="00101A57" w:rsidRDefault="00FB3B4B" w:rsidP="00FB3B4B">
      <w:pPr>
        <w:spacing w:line="360" w:lineRule="auto"/>
        <w:jc w:val="both"/>
        <w:rPr>
          <w:rFonts w:ascii="Times New Roman" w:hAnsi="Times New Roman" w:cs="Times New Roman"/>
        </w:rPr>
      </w:pPr>
      <w:r w:rsidRPr="00101A57">
        <w:rPr>
          <w:rFonts w:ascii="Times New Roman" w:hAnsi="Times New Roman" w:cs="Times New Roman"/>
        </w:rPr>
        <w:t>La seguridad</w:t>
      </w:r>
      <w:r>
        <w:rPr>
          <w:rFonts w:ascii="Times New Roman" w:hAnsi="Times New Roman" w:cs="Times New Roman"/>
        </w:rPr>
        <w:t xml:space="preserve"> social se otorga a través del E</w:t>
      </w:r>
      <w:r w:rsidRPr="00101A57">
        <w:rPr>
          <w:rFonts w:ascii="Times New Roman" w:hAnsi="Times New Roman" w:cs="Times New Roman"/>
        </w:rPr>
        <w:t xml:space="preserve">stado mediante los Seguros Sociales, con un marco legal descentralizado de la administración pública federal, con personalidad jurídica y patrimonio propio, por lo que se vuelve un derecho humano social inalienable e irrenunciable, establecido mediante servicios básicos dentro de tres rubros:  a) salud; b) pensiones y c) prestaciones sociales. </w:t>
      </w:r>
    </w:p>
    <w:p w14:paraId="3B7290C1" w14:textId="77777777" w:rsidR="00FB3B4B" w:rsidRPr="00101A57" w:rsidRDefault="00FB3B4B" w:rsidP="00FB3B4B">
      <w:pPr>
        <w:spacing w:line="360" w:lineRule="auto"/>
        <w:jc w:val="both"/>
        <w:rPr>
          <w:rFonts w:ascii="Times New Roman" w:hAnsi="Times New Roman" w:cs="Times New Roman"/>
        </w:rPr>
      </w:pPr>
    </w:p>
    <w:p w14:paraId="3527FEE0" w14:textId="327C7942" w:rsidR="00FB3B4B" w:rsidRPr="00101A57" w:rsidRDefault="00FB3B4B" w:rsidP="00FB3B4B">
      <w:pPr>
        <w:spacing w:line="360" w:lineRule="auto"/>
        <w:jc w:val="both"/>
        <w:rPr>
          <w:rFonts w:ascii="Times New Roman" w:hAnsi="Times New Roman" w:cs="Times New Roman"/>
        </w:rPr>
      </w:pPr>
      <w:r w:rsidRPr="00101A57">
        <w:rPr>
          <w:rFonts w:ascii="Times New Roman" w:hAnsi="Times New Roman" w:cs="Times New Roman"/>
        </w:rPr>
        <w:t>En México, las cuatro instituciones federales para otorgar los servicios sociales son el Instituto Mexicano del Seguro Social (IMSS); el Instituto de Seguridad y Servicios Sociales de los Trabajadores del Estado (ISSSTE); el Instituto de Fondo Nacional de la Vivienda para los Trabajadores (INFONAVIT) y el Instituto de Seguridad Social  para las Fuerzas Armadas Mexicanas (ISSFAM).</w:t>
      </w:r>
    </w:p>
    <w:p w14:paraId="5A69AB25" w14:textId="77777777" w:rsidR="00FB3B4B" w:rsidRPr="00101A57" w:rsidRDefault="00FB3B4B" w:rsidP="00FB3B4B">
      <w:pPr>
        <w:spacing w:line="360" w:lineRule="auto"/>
        <w:jc w:val="both"/>
        <w:rPr>
          <w:rFonts w:ascii="Times New Roman" w:hAnsi="Times New Roman" w:cs="Times New Roman"/>
        </w:rPr>
      </w:pPr>
    </w:p>
    <w:p w14:paraId="22D78721" w14:textId="77777777" w:rsidR="00FB3B4B" w:rsidRPr="00101A57" w:rsidRDefault="00FB3B4B" w:rsidP="00FB3B4B">
      <w:pPr>
        <w:spacing w:line="360" w:lineRule="auto"/>
        <w:jc w:val="both"/>
        <w:rPr>
          <w:rFonts w:ascii="Times New Roman" w:hAnsi="Times New Roman" w:cs="Times New Roman"/>
        </w:rPr>
      </w:pPr>
      <w:r w:rsidRPr="00101A57">
        <w:rPr>
          <w:rFonts w:ascii="Times New Roman" w:hAnsi="Times New Roman" w:cs="Times New Roman"/>
        </w:rPr>
        <w:t>La seguridad social ha rebasado la previsión social laboral clásica, de tal forma que los mecanismos legales de la protección social en México son básicamente tres (Ruiz, 2009):</w:t>
      </w:r>
    </w:p>
    <w:p w14:paraId="4167CAEA" w14:textId="77777777" w:rsidR="00FB3B4B" w:rsidRPr="00101A57" w:rsidRDefault="00FB3B4B" w:rsidP="00FB3B4B">
      <w:pPr>
        <w:spacing w:line="360" w:lineRule="auto"/>
        <w:jc w:val="both"/>
        <w:rPr>
          <w:rFonts w:ascii="Times New Roman" w:hAnsi="Times New Roman" w:cs="Times New Roman"/>
        </w:rPr>
      </w:pPr>
    </w:p>
    <w:p w14:paraId="45E04940" w14:textId="6FB6F23E" w:rsidR="00FB3B4B" w:rsidRPr="00101A57" w:rsidRDefault="00FB3B4B" w:rsidP="00FB3B4B">
      <w:pPr>
        <w:spacing w:line="360" w:lineRule="auto"/>
        <w:jc w:val="both"/>
        <w:rPr>
          <w:rFonts w:ascii="Times New Roman" w:hAnsi="Times New Roman" w:cs="Times New Roman"/>
        </w:rPr>
      </w:pPr>
      <w:r w:rsidRPr="00101A57">
        <w:rPr>
          <w:rFonts w:ascii="Times New Roman" w:hAnsi="Times New Roman" w:cs="Times New Roman"/>
        </w:rPr>
        <w:t>a)</w:t>
      </w:r>
      <w:r w:rsidRPr="00101A57">
        <w:rPr>
          <w:rFonts w:ascii="Times New Roman" w:hAnsi="Times New Roman" w:cs="Times New Roman"/>
        </w:rPr>
        <w:tab/>
        <w:t>La asistencia social.-  La cual brinda e</w:t>
      </w:r>
      <w:r w:rsidR="000B17C5">
        <w:rPr>
          <w:rFonts w:ascii="Times New Roman" w:hAnsi="Times New Roman" w:cs="Times New Roman"/>
        </w:rPr>
        <w:t>l E</w:t>
      </w:r>
      <w:r w:rsidRPr="00101A57">
        <w:rPr>
          <w:rFonts w:ascii="Times New Roman" w:hAnsi="Times New Roman" w:cs="Times New Roman"/>
        </w:rPr>
        <w:t>stado a la población abierta y costeada mediante los impuestos generales de los contribuyentes.</w:t>
      </w:r>
    </w:p>
    <w:p w14:paraId="4866F8B6" w14:textId="4C519D9A" w:rsidR="00FB3B4B" w:rsidRPr="00101A57" w:rsidRDefault="00FB3B4B" w:rsidP="00FB3B4B">
      <w:pPr>
        <w:spacing w:line="360" w:lineRule="auto"/>
        <w:jc w:val="both"/>
        <w:rPr>
          <w:rFonts w:ascii="Times New Roman" w:hAnsi="Times New Roman" w:cs="Times New Roman"/>
        </w:rPr>
      </w:pPr>
      <w:r w:rsidRPr="00101A57">
        <w:rPr>
          <w:rFonts w:ascii="Times New Roman" w:hAnsi="Times New Roman" w:cs="Times New Roman"/>
        </w:rPr>
        <w:t>b)</w:t>
      </w:r>
      <w:r w:rsidRPr="00101A57">
        <w:rPr>
          <w:rFonts w:ascii="Times New Roman" w:hAnsi="Times New Roman" w:cs="Times New Roman"/>
        </w:rPr>
        <w:tab/>
        <w:t xml:space="preserve">La previsión social.- </w:t>
      </w:r>
      <w:r w:rsidR="0099080D">
        <w:rPr>
          <w:rFonts w:ascii="Times New Roman" w:hAnsi="Times New Roman" w:cs="Times New Roman"/>
        </w:rPr>
        <w:t>D</w:t>
      </w:r>
      <w:r w:rsidRPr="00101A57">
        <w:rPr>
          <w:rFonts w:ascii="Times New Roman" w:hAnsi="Times New Roman" w:cs="Times New Roman"/>
        </w:rPr>
        <w:t>e fondo laboral</w:t>
      </w:r>
      <w:r w:rsidR="0099080D">
        <w:rPr>
          <w:rFonts w:ascii="Times New Roman" w:hAnsi="Times New Roman" w:cs="Times New Roman"/>
        </w:rPr>
        <w:t>,</w:t>
      </w:r>
      <w:r w:rsidRPr="00101A57">
        <w:rPr>
          <w:rFonts w:ascii="Times New Roman" w:hAnsi="Times New Roman" w:cs="Times New Roman"/>
        </w:rPr>
        <w:t xml:space="preserve"> destinada a proteger a los empleados subordinados mediante la financiación de los patrones.</w:t>
      </w:r>
    </w:p>
    <w:p w14:paraId="31603D81" w14:textId="36E4E67D" w:rsidR="00FB3B4B" w:rsidRPr="00101A57" w:rsidRDefault="00FB3B4B" w:rsidP="00FB3B4B">
      <w:pPr>
        <w:spacing w:line="360" w:lineRule="auto"/>
        <w:jc w:val="both"/>
        <w:rPr>
          <w:rFonts w:ascii="Times New Roman" w:hAnsi="Times New Roman" w:cs="Times New Roman"/>
        </w:rPr>
      </w:pPr>
      <w:r w:rsidRPr="00101A57">
        <w:rPr>
          <w:rFonts w:ascii="Times New Roman" w:hAnsi="Times New Roman" w:cs="Times New Roman"/>
        </w:rPr>
        <w:t>c)</w:t>
      </w:r>
      <w:r w:rsidRPr="00101A57">
        <w:rPr>
          <w:rFonts w:ascii="Times New Roman" w:hAnsi="Times New Roman" w:cs="Times New Roman"/>
        </w:rPr>
        <w:tab/>
        <w:t xml:space="preserve">La seguridad social.- </w:t>
      </w:r>
      <w:r w:rsidR="0099080D">
        <w:rPr>
          <w:rFonts w:ascii="Times New Roman" w:hAnsi="Times New Roman" w:cs="Times New Roman"/>
        </w:rPr>
        <w:t>U</w:t>
      </w:r>
      <w:r w:rsidRPr="00101A57">
        <w:rPr>
          <w:rFonts w:ascii="Times New Roman" w:hAnsi="Times New Roman" w:cs="Times New Roman"/>
        </w:rPr>
        <w:t>n sistema obligatorio costeado primordialmen</w:t>
      </w:r>
      <w:r w:rsidR="000F38F7">
        <w:rPr>
          <w:rFonts w:ascii="Times New Roman" w:hAnsi="Times New Roman" w:cs="Times New Roman"/>
        </w:rPr>
        <w:t>te de manera tripartita por el E</w:t>
      </w:r>
      <w:r w:rsidRPr="00101A57">
        <w:rPr>
          <w:rFonts w:ascii="Times New Roman" w:hAnsi="Times New Roman" w:cs="Times New Roman"/>
        </w:rPr>
        <w:t>stado, los patrones y los propios asegurados.</w:t>
      </w:r>
    </w:p>
    <w:p w14:paraId="54243A1B" w14:textId="77777777" w:rsidR="00FB3B4B" w:rsidRPr="00101A57" w:rsidRDefault="00FB3B4B" w:rsidP="00FB3B4B">
      <w:pPr>
        <w:spacing w:line="360" w:lineRule="auto"/>
        <w:jc w:val="both"/>
        <w:rPr>
          <w:rFonts w:ascii="Times New Roman" w:hAnsi="Times New Roman" w:cs="Times New Roman"/>
        </w:rPr>
      </w:pPr>
    </w:p>
    <w:p w14:paraId="0CD5F926" w14:textId="3A0BD773" w:rsidR="00FB3B4B" w:rsidRPr="00101A57" w:rsidRDefault="00FB3B4B" w:rsidP="00FB3B4B">
      <w:pPr>
        <w:spacing w:line="360" w:lineRule="auto"/>
        <w:jc w:val="both"/>
        <w:rPr>
          <w:rFonts w:ascii="Times New Roman" w:hAnsi="Times New Roman" w:cs="Times New Roman"/>
        </w:rPr>
      </w:pPr>
      <w:r w:rsidRPr="00101A57">
        <w:rPr>
          <w:rFonts w:ascii="Times New Roman" w:hAnsi="Times New Roman" w:cs="Times New Roman"/>
        </w:rPr>
        <w:t>El cambio del modelo de la seguridad social en México se formuló en 1995, en el sexenio del presidente Ernesto Zedillo, con el fin de contribuir al reordenamiento de los aspectos macroeconómicos y financieros del país, buscando en primera instancia el ahorro interno como fundamento de crecimiento, ello con la tesis de que si no se cambiaba el marco legal en la seguridad social se podría perder todo lo logrado hasta ese momento.</w:t>
      </w:r>
    </w:p>
    <w:p w14:paraId="07C3EA65" w14:textId="77777777" w:rsidR="00FB3B4B" w:rsidRPr="00101A57" w:rsidRDefault="00FB3B4B" w:rsidP="00FB3B4B">
      <w:pPr>
        <w:spacing w:line="360" w:lineRule="auto"/>
        <w:jc w:val="both"/>
        <w:rPr>
          <w:rFonts w:ascii="Times New Roman" w:hAnsi="Times New Roman" w:cs="Times New Roman"/>
        </w:rPr>
      </w:pPr>
    </w:p>
    <w:p w14:paraId="0203D207" w14:textId="735519E9" w:rsidR="00FB3B4B" w:rsidRPr="00101A57" w:rsidRDefault="00FB3B4B" w:rsidP="00FB3B4B">
      <w:pPr>
        <w:spacing w:line="360" w:lineRule="auto"/>
        <w:jc w:val="both"/>
        <w:rPr>
          <w:rFonts w:ascii="Times New Roman" w:hAnsi="Times New Roman" w:cs="Times New Roman"/>
        </w:rPr>
      </w:pPr>
      <w:r w:rsidRPr="00101A57">
        <w:rPr>
          <w:rFonts w:ascii="Times New Roman" w:hAnsi="Times New Roman" w:cs="Times New Roman"/>
        </w:rPr>
        <w:t xml:space="preserve">Al respecto, Ruiz señala que el cambio en el marco legal de la seguridad social en México, se dio con el fin de permitir la operación formal de las administradoras privadas, conocidas como Afore, así como sus compañías de seguros y lograr generar un ahorro interno nacional. </w:t>
      </w:r>
    </w:p>
    <w:p w14:paraId="679D05E5" w14:textId="77777777" w:rsidR="00FB3B4B" w:rsidRPr="00101A57" w:rsidRDefault="00FB3B4B" w:rsidP="00FB3B4B">
      <w:pPr>
        <w:spacing w:line="360" w:lineRule="auto"/>
        <w:jc w:val="both"/>
        <w:rPr>
          <w:rFonts w:ascii="Times New Roman" w:hAnsi="Times New Roman" w:cs="Times New Roman"/>
        </w:rPr>
      </w:pPr>
    </w:p>
    <w:p w14:paraId="0DF81A9B" w14:textId="1E78912A" w:rsidR="00FB3B4B" w:rsidRPr="00101A57" w:rsidRDefault="00FB3B4B" w:rsidP="00FB3B4B">
      <w:pPr>
        <w:spacing w:line="360" w:lineRule="auto"/>
        <w:jc w:val="both"/>
        <w:rPr>
          <w:rFonts w:ascii="Times New Roman" w:hAnsi="Times New Roman" w:cs="Times New Roman"/>
        </w:rPr>
      </w:pPr>
      <w:r w:rsidRPr="00101A57">
        <w:rPr>
          <w:rFonts w:ascii="Times New Roman" w:hAnsi="Times New Roman" w:cs="Times New Roman"/>
        </w:rPr>
        <w:t>Los sistemas de pensiones con este tipo de diseño han sido muy discutidos, debido a la mala administración de los fondos de ahorro para la vejez y a los cambios demográficos en la población latinoamericana. Sumado a esto se da la posibilidad de que los gobiernos obtengan estos fondos para su política pública, pero sin que se retornen para resguardar los fondos de reserva para el pago de las pensiones en el largo plazo.</w:t>
      </w:r>
    </w:p>
    <w:p w14:paraId="022172D2" w14:textId="77777777" w:rsidR="00FB3B4B" w:rsidRPr="00101A57" w:rsidRDefault="00FB3B4B" w:rsidP="00FB3B4B">
      <w:pPr>
        <w:spacing w:line="360" w:lineRule="auto"/>
        <w:jc w:val="both"/>
        <w:rPr>
          <w:rFonts w:ascii="Times New Roman" w:hAnsi="Times New Roman" w:cs="Times New Roman"/>
        </w:rPr>
      </w:pPr>
    </w:p>
    <w:p w14:paraId="583E92D7" w14:textId="52DAB920" w:rsidR="00FB3B4B" w:rsidRPr="00101A57" w:rsidRDefault="00FB3B4B" w:rsidP="00FB3B4B">
      <w:pPr>
        <w:spacing w:line="360" w:lineRule="auto"/>
        <w:jc w:val="both"/>
        <w:rPr>
          <w:rFonts w:ascii="Times New Roman" w:hAnsi="Times New Roman" w:cs="Times New Roman"/>
        </w:rPr>
      </w:pPr>
      <w:r>
        <w:rPr>
          <w:rFonts w:ascii="Times New Roman" w:hAnsi="Times New Roman" w:cs="Times New Roman"/>
        </w:rPr>
        <w:t>El E</w:t>
      </w:r>
      <w:r w:rsidRPr="00101A57">
        <w:rPr>
          <w:rFonts w:ascii="Times New Roman" w:hAnsi="Times New Roman" w:cs="Times New Roman"/>
        </w:rPr>
        <w:t xml:space="preserve">stado debe proteger a la vejez que no ha podido autofinanciar sus prestaciones jubilatorias debido a las reformas realizadas por el uso excesivo en los sistemas contributivos, su alto costo y el haber restado recursos al </w:t>
      </w:r>
      <w:r w:rsidR="00B94A7C">
        <w:rPr>
          <w:rFonts w:ascii="Times New Roman" w:hAnsi="Times New Roman" w:cs="Times New Roman"/>
        </w:rPr>
        <w:t>E</w:t>
      </w:r>
      <w:r w:rsidRPr="00101A57">
        <w:rPr>
          <w:rFonts w:ascii="Times New Roman" w:hAnsi="Times New Roman" w:cs="Times New Roman"/>
        </w:rPr>
        <w:t xml:space="preserve">stado para aliviar la pobreza en la vejez. </w:t>
      </w:r>
    </w:p>
    <w:p w14:paraId="3B007C87" w14:textId="77777777" w:rsidR="00FB3B4B" w:rsidRDefault="00FB3B4B" w:rsidP="00BB50FE">
      <w:pPr>
        <w:spacing w:line="360" w:lineRule="auto"/>
        <w:jc w:val="both"/>
        <w:rPr>
          <w:rFonts w:ascii="Times New Roman" w:hAnsi="Times New Roman" w:cs="Times New Roman"/>
        </w:rPr>
      </w:pPr>
    </w:p>
    <w:p w14:paraId="32B60332" w14:textId="6F2C15D5" w:rsidR="00BB50FE" w:rsidRPr="009A1403" w:rsidRDefault="007E35B5" w:rsidP="00BB50FE">
      <w:pPr>
        <w:spacing w:line="360" w:lineRule="auto"/>
        <w:jc w:val="both"/>
        <w:rPr>
          <w:rFonts w:ascii="Times New Roman" w:hAnsi="Times New Roman" w:cs="Times New Roman"/>
          <w:b/>
        </w:rPr>
      </w:pPr>
      <w:r w:rsidRPr="009A1403">
        <w:rPr>
          <w:rFonts w:ascii="Times New Roman" w:hAnsi="Times New Roman" w:cs="Times New Roman"/>
          <w:b/>
        </w:rPr>
        <w:t>Las p</w:t>
      </w:r>
      <w:r w:rsidR="00BB50FE" w:rsidRPr="009A1403">
        <w:rPr>
          <w:rFonts w:ascii="Times New Roman" w:hAnsi="Times New Roman" w:cs="Times New Roman"/>
          <w:b/>
        </w:rPr>
        <w:t xml:space="preserve">olíticas </w:t>
      </w:r>
      <w:r w:rsidR="00FF31A8" w:rsidRPr="009A1403">
        <w:rPr>
          <w:rFonts w:ascii="Times New Roman" w:hAnsi="Times New Roman" w:cs="Times New Roman"/>
          <w:b/>
        </w:rPr>
        <w:t xml:space="preserve">públicas neoliberales </w:t>
      </w:r>
    </w:p>
    <w:p w14:paraId="0BA573A7" w14:textId="77777777" w:rsidR="00BB50FE" w:rsidRPr="00005B17" w:rsidRDefault="00BB50FE" w:rsidP="00BB50FE">
      <w:pPr>
        <w:spacing w:line="360" w:lineRule="auto"/>
        <w:jc w:val="both"/>
        <w:rPr>
          <w:rFonts w:ascii="Times New Roman" w:hAnsi="Times New Roman" w:cs="Times New Roman"/>
        </w:rPr>
      </w:pPr>
    </w:p>
    <w:p w14:paraId="256F9B31" w14:textId="094E7E6C" w:rsidR="00BB50FE" w:rsidRPr="00BA00A9" w:rsidRDefault="00BB50FE" w:rsidP="00BB50FE">
      <w:pPr>
        <w:spacing w:line="360" w:lineRule="auto"/>
        <w:jc w:val="both"/>
        <w:rPr>
          <w:rFonts w:ascii="Times New Roman" w:hAnsi="Times New Roman" w:cs="Times New Roman"/>
        </w:rPr>
      </w:pPr>
      <w:r w:rsidRPr="00BA00A9">
        <w:rPr>
          <w:rFonts w:ascii="Times New Roman" w:hAnsi="Times New Roman" w:cs="Times New Roman"/>
        </w:rPr>
        <w:t>Los gobiernos contemporáneos establecen las políticas sociales con los ciudadanos mediante un contrato social sobre derechos y deberes de ambas partes, con el objetivo de lograr un beneficio común; dentro de este contrato, los ciudadanos pagan impuestos para el desarrollo del país, mientras que los gobiernos protegen sus derechos a través de políticas públicas que beneficien a todos, sin embargo, dichas políticas a veces favorecen más a los grupos de poder (Ortiz, 2007).</w:t>
      </w:r>
    </w:p>
    <w:p w14:paraId="45A17E64" w14:textId="77777777" w:rsidR="00BB50FE" w:rsidRPr="00005B17" w:rsidRDefault="00BB50FE" w:rsidP="00BB50FE">
      <w:pPr>
        <w:spacing w:line="360" w:lineRule="auto"/>
        <w:jc w:val="both"/>
        <w:rPr>
          <w:rFonts w:ascii="Times New Roman" w:hAnsi="Times New Roman" w:cs="Times New Roman"/>
        </w:rPr>
      </w:pPr>
    </w:p>
    <w:p w14:paraId="5F7AA921" w14:textId="075E8918" w:rsidR="00BB50FE" w:rsidRPr="00BA00A9" w:rsidRDefault="00BB50FE" w:rsidP="00BB50FE">
      <w:pPr>
        <w:spacing w:line="360" w:lineRule="auto"/>
        <w:jc w:val="both"/>
        <w:rPr>
          <w:rFonts w:ascii="Times New Roman" w:hAnsi="Times New Roman" w:cs="Times New Roman"/>
        </w:rPr>
      </w:pPr>
      <w:r w:rsidRPr="00BA00A9">
        <w:rPr>
          <w:rFonts w:ascii="Times New Roman" w:hAnsi="Times New Roman" w:cs="Times New Roman"/>
        </w:rPr>
        <w:t>La falta de eficacia  en las políticas públicas, la superficialidad con la que se realiza el contrato social y las grandes desigualdades, son factores que</w:t>
      </w:r>
      <w:r w:rsidR="00FF31A8">
        <w:rPr>
          <w:rFonts w:ascii="Times New Roman" w:hAnsi="Times New Roman" w:cs="Times New Roman"/>
        </w:rPr>
        <w:t xml:space="preserve"> han aumentado</w:t>
      </w:r>
      <w:r w:rsidRPr="00BA00A9">
        <w:rPr>
          <w:rFonts w:ascii="Times New Roman" w:hAnsi="Times New Roman" w:cs="Times New Roman"/>
        </w:rPr>
        <w:t xml:space="preserve"> la probabilidad de desle</w:t>
      </w:r>
      <w:r w:rsidR="00FF31A8">
        <w:rPr>
          <w:rFonts w:ascii="Times New Roman" w:hAnsi="Times New Roman" w:cs="Times New Roman"/>
        </w:rPr>
        <w:t xml:space="preserve">gitimización del Estado. </w:t>
      </w:r>
      <w:r w:rsidRPr="00BA00A9">
        <w:rPr>
          <w:rFonts w:ascii="Times New Roman" w:hAnsi="Times New Roman" w:cs="Times New Roman"/>
        </w:rPr>
        <w:t xml:space="preserve">Por otra parte, </w:t>
      </w:r>
      <w:r w:rsidR="00FF31A8">
        <w:rPr>
          <w:rFonts w:ascii="Times New Roman" w:hAnsi="Times New Roman" w:cs="Times New Roman"/>
        </w:rPr>
        <w:t>l</w:t>
      </w:r>
      <w:r w:rsidRPr="00BA00A9">
        <w:rPr>
          <w:rFonts w:ascii="Times New Roman" w:hAnsi="Times New Roman" w:cs="Times New Roman"/>
        </w:rPr>
        <w:t xml:space="preserve">a política social </w:t>
      </w:r>
      <w:r w:rsidR="00C70F8C">
        <w:rPr>
          <w:rFonts w:ascii="Times New Roman" w:hAnsi="Times New Roman" w:cs="Times New Roman"/>
        </w:rPr>
        <w:t>ha sido el instrumento</w:t>
      </w:r>
      <w:r w:rsidRPr="00BA00A9">
        <w:rPr>
          <w:rFonts w:ascii="Times New Roman" w:hAnsi="Times New Roman" w:cs="Times New Roman"/>
        </w:rPr>
        <w:t xml:space="preserve"> </w:t>
      </w:r>
      <w:r w:rsidR="00C70F8C">
        <w:rPr>
          <w:rFonts w:ascii="Times New Roman" w:hAnsi="Times New Roman" w:cs="Times New Roman"/>
        </w:rPr>
        <w:t>utilizado</w:t>
      </w:r>
      <w:r w:rsidRPr="00BA00A9">
        <w:rPr>
          <w:rFonts w:ascii="Times New Roman" w:hAnsi="Times New Roman" w:cs="Times New Roman"/>
        </w:rPr>
        <w:t xml:space="preserve"> pragmáticamente por muchos gobiernos para conseguir el respaldo político de los ciudadanos (Ortiz, 2007).</w:t>
      </w:r>
    </w:p>
    <w:p w14:paraId="739713AA" w14:textId="77777777" w:rsidR="00BB50FE" w:rsidRPr="00005B17" w:rsidRDefault="00BB50FE" w:rsidP="00BB50FE">
      <w:pPr>
        <w:spacing w:line="360" w:lineRule="auto"/>
        <w:jc w:val="both"/>
        <w:rPr>
          <w:rFonts w:ascii="Times New Roman" w:hAnsi="Times New Roman" w:cs="Times New Roman"/>
        </w:rPr>
      </w:pPr>
    </w:p>
    <w:p w14:paraId="05DA6563" w14:textId="07E21DE1" w:rsidR="00BB50FE" w:rsidRDefault="00BB50FE" w:rsidP="00BB50FE">
      <w:pPr>
        <w:spacing w:line="360" w:lineRule="auto"/>
        <w:jc w:val="both"/>
        <w:rPr>
          <w:rFonts w:ascii="Times New Roman" w:hAnsi="Times New Roman" w:cs="Times New Roman"/>
        </w:rPr>
      </w:pPr>
      <w:r w:rsidRPr="00BA00A9">
        <w:rPr>
          <w:rFonts w:ascii="Times New Roman" w:hAnsi="Times New Roman" w:cs="Times New Roman"/>
        </w:rPr>
        <w:t xml:space="preserve">En la mayoría de los países, las políticas públicas no han logrado una estabilidad financiera dentro del sistema de seguridad social, </w:t>
      </w:r>
      <w:r w:rsidR="00A57D22">
        <w:rPr>
          <w:rFonts w:ascii="Times New Roman" w:hAnsi="Times New Roman" w:cs="Times New Roman"/>
        </w:rPr>
        <w:t>por</w:t>
      </w:r>
      <w:r w:rsidRPr="00BA00A9">
        <w:rPr>
          <w:rFonts w:ascii="Times New Roman" w:hAnsi="Times New Roman" w:cs="Times New Roman"/>
        </w:rPr>
        <w:t xml:space="preserve"> ejemplo, la crisis financiera mundial de 2007-2009 no ha incrementado los fondos de pensiones debido a la falta de  flexibilidad en dichas políticas públicas. El rendimiento negativo de las inversiones ha creado inseguridad en los sistemas de pensiones, esto debido a las incertidumbres de los mercados financieros por lo que los gobiernos han tratado de establecer garantías con el fin de minimizar los efectos negativos de la crisis.</w:t>
      </w:r>
      <w:r>
        <w:rPr>
          <w:rFonts w:ascii="Times New Roman" w:hAnsi="Times New Roman" w:cs="Times New Roman"/>
        </w:rPr>
        <w:t xml:space="preserve"> </w:t>
      </w:r>
    </w:p>
    <w:p w14:paraId="2670278F" w14:textId="77777777" w:rsidR="00BB50FE" w:rsidRDefault="00BB50FE" w:rsidP="00BB50FE">
      <w:pPr>
        <w:spacing w:line="360" w:lineRule="auto"/>
        <w:jc w:val="both"/>
        <w:rPr>
          <w:rFonts w:ascii="Times New Roman" w:hAnsi="Times New Roman" w:cs="Times New Roman"/>
        </w:rPr>
      </w:pPr>
    </w:p>
    <w:p w14:paraId="37AA7350" w14:textId="2D208EAD" w:rsidR="00BB50FE" w:rsidRPr="00BA00A9" w:rsidRDefault="00BB50FE" w:rsidP="00BB50FE">
      <w:pPr>
        <w:spacing w:line="360" w:lineRule="auto"/>
        <w:jc w:val="both"/>
        <w:rPr>
          <w:rFonts w:ascii="Times New Roman" w:hAnsi="Times New Roman" w:cs="Times New Roman"/>
        </w:rPr>
      </w:pPr>
      <w:r w:rsidRPr="00BA00A9">
        <w:rPr>
          <w:rFonts w:ascii="Times New Roman" w:hAnsi="Times New Roman" w:cs="Times New Roman"/>
        </w:rPr>
        <w:t xml:space="preserve">La crisis del 2007 puso a ensayo los fondos de numerosos sistemas de seguridad social, por lo que se han diseñado fórmulas para mejorarlos. Existe inestabilidad en los sistemas de pensiones, los cuales dependen de los mercados financieros, por lo que se requiere de un equilibrio en el reparto de riesgos entre los ciudadanos y el </w:t>
      </w:r>
      <w:r w:rsidR="00A57D22">
        <w:rPr>
          <w:rFonts w:ascii="Times New Roman" w:hAnsi="Times New Roman" w:cs="Times New Roman"/>
        </w:rPr>
        <w:t>E</w:t>
      </w:r>
      <w:r w:rsidRPr="00BA00A9">
        <w:rPr>
          <w:rFonts w:ascii="Times New Roman" w:hAnsi="Times New Roman" w:cs="Times New Roman"/>
        </w:rPr>
        <w:t>stado, y entre los regímenes de reparto y los que cuentan con plena financiación previa. Por otra parte, se debe lograr una estrategia de inversión apropiada, mediante políticas de regulación, supervisión e inversión adecuadas y eficientes (OIT, 2009).</w:t>
      </w:r>
    </w:p>
    <w:p w14:paraId="2116A027" w14:textId="77777777" w:rsidR="00BB50FE" w:rsidRPr="00BA00A9" w:rsidRDefault="00BB50FE" w:rsidP="00BB50FE">
      <w:pPr>
        <w:spacing w:line="360" w:lineRule="auto"/>
        <w:jc w:val="both"/>
        <w:rPr>
          <w:rFonts w:ascii="Times New Roman" w:hAnsi="Times New Roman" w:cs="Times New Roman"/>
        </w:rPr>
      </w:pPr>
    </w:p>
    <w:p w14:paraId="7C0AB4B5" w14:textId="25087042" w:rsidR="00BB50FE" w:rsidRPr="00BA00A9" w:rsidRDefault="00BB50FE" w:rsidP="00BB50FE">
      <w:pPr>
        <w:spacing w:line="360" w:lineRule="auto"/>
        <w:jc w:val="both"/>
        <w:rPr>
          <w:rFonts w:ascii="Times New Roman" w:hAnsi="Times New Roman" w:cs="Times New Roman"/>
        </w:rPr>
      </w:pPr>
      <w:r w:rsidRPr="00BA00A9">
        <w:rPr>
          <w:rFonts w:ascii="Times New Roman" w:hAnsi="Times New Roman" w:cs="Times New Roman"/>
        </w:rPr>
        <w:t>Modificar el sistema financiero no cambiará el problema del gasto, a menos que sea paralelo con una reducción de los niveles de prestaciones en lo referente a las pensiones (Yermo, 2008).</w:t>
      </w:r>
    </w:p>
    <w:p w14:paraId="41C37AF7" w14:textId="77777777" w:rsidR="00BB50FE" w:rsidRDefault="00BB50FE" w:rsidP="00BB50FE">
      <w:pPr>
        <w:spacing w:line="360" w:lineRule="auto"/>
        <w:jc w:val="both"/>
        <w:rPr>
          <w:rFonts w:ascii="Times New Roman" w:hAnsi="Times New Roman" w:cs="Times New Roman"/>
        </w:rPr>
      </w:pPr>
    </w:p>
    <w:p w14:paraId="03512F46" w14:textId="77777777" w:rsidR="00BB50FE" w:rsidRPr="00005B17" w:rsidRDefault="00BB50FE" w:rsidP="00BB50FE">
      <w:pPr>
        <w:spacing w:line="360" w:lineRule="auto"/>
        <w:jc w:val="both"/>
        <w:rPr>
          <w:rFonts w:ascii="Times New Roman" w:hAnsi="Times New Roman" w:cs="Times New Roman"/>
        </w:rPr>
      </w:pPr>
      <w:r w:rsidRPr="00005B17">
        <w:rPr>
          <w:rFonts w:ascii="Times New Roman" w:hAnsi="Times New Roman" w:cs="Times New Roman"/>
        </w:rPr>
        <w:t>Finalmente, Ruiz (2004), señala que los sistemas de pensiones pasan por una crisis financiera, tanto en Europa como en América Latina, por lo que dichos sistemas son una especie en franca extinción.</w:t>
      </w:r>
    </w:p>
    <w:p w14:paraId="5C8F463A" w14:textId="77777777" w:rsidR="00BB50FE" w:rsidRDefault="00BB50FE" w:rsidP="00BB50FE">
      <w:pPr>
        <w:spacing w:line="360" w:lineRule="auto"/>
        <w:jc w:val="both"/>
        <w:rPr>
          <w:rFonts w:ascii="Times New Roman" w:hAnsi="Times New Roman" w:cs="Times New Roman"/>
        </w:rPr>
      </w:pPr>
      <w:r w:rsidRPr="00005B17">
        <w:rPr>
          <w:rFonts w:ascii="Times New Roman" w:hAnsi="Times New Roman" w:cs="Times New Roman"/>
        </w:rPr>
        <w:t xml:space="preserve">La crisis financiera global ha provocado una desaceleración o caída en el crecimiento económico, el comercio mundial, el precio de las materias primas, el acceso al crédito internacional, el empleo formal y el salario real, así como un aumento del desempleo, el trabajo informal y precario, la pobreza, y la volatilidad de los mercados de capitales con un desplome en el valor de sus instrumentos. </w:t>
      </w:r>
    </w:p>
    <w:p w14:paraId="194B1CB8" w14:textId="77777777" w:rsidR="000F38F7" w:rsidRDefault="000F38F7" w:rsidP="00656C88">
      <w:pPr>
        <w:spacing w:line="360" w:lineRule="auto"/>
        <w:jc w:val="both"/>
        <w:rPr>
          <w:rFonts w:ascii="Times New Roman" w:hAnsi="Times New Roman" w:cs="Times New Roman"/>
        </w:rPr>
      </w:pPr>
    </w:p>
    <w:p w14:paraId="22006576" w14:textId="0FDF4B20" w:rsidR="00BE17A6" w:rsidRPr="009A1403" w:rsidRDefault="005C2E5A" w:rsidP="00656C88">
      <w:pPr>
        <w:spacing w:line="360" w:lineRule="auto"/>
        <w:jc w:val="both"/>
        <w:rPr>
          <w:rFonts w:ascii="Times New Roman" w:hAnsi="Times New Roman" w:cs="Times New Roman"/>
          <w:b/>
        </w:rPr>
      </w:pPr>
      <w:r>
        <w:rPr>
          <w:rFonts w:ascii="Times New Roman" w:hAnsi="Times New Roman" w:cs="Times New Roman"/>
          <w:b/>
        </w:rPr>
        <w:t>Estado de bienestar</w:t>
      </w:r>
      <w:r w:rsidR="004F1589" w:rsidRPr="009A1403">
        <w:rPr>
          <w:rFonts w:ascii="Times New Roman" w:hAnsi="Times New Roman" w:cs="Times New Roman"/>
          <w:b/>
        </w:rPr>
        <w:t xml:space="preserve"> o </w:t>
      </w:r>
      <w:r w:rsidR="00A74487">
        <w:rPr>
          <w:rFonts w:ascii="Times New Roman" w:hAnsi="Times New Roman" w:cs="Times New Roman"/>
          <w:b/>
        </w:rPr>
        <w:t>e</w:t>
      </w:r>
      <w:r w:rsidR="004F1589" w:rsidRPr="009A1403">
        <w:rPr>
          <w:rFonts w:ascii="Times New Roman" w:hAnsi="Times New Roman" w:cs="Times New Roman"/>
          <w:b/>
        </w:rPr>
        <w:t>stado neoliberal de bienestar social</w:t>
      </w:r>
    </w:p>
    <w:p w14:paraId="65834F7C" w14:textId="77777777" w:rsidR="00B57A0A" w:rsidRDefault="00B57A0A" w:rsidP="00A14587">
      <w:pPr>
        <w:spacing w:line="360" w:lineRule="auto"/>
        <w:jc w:val="both"/>
        <w:rPr>
          <w:rFonts w:ascii="Times New Roman" w:hAnsi="Times New Roman" w:cs="Times New Roman"/>
        </w:rPr>
      </w:pPr>
    </w:p>
    <w:p w14:paraId="0CB864C8" w14:textId="5CA75407" w:rsidR="00EE20A4" w:rsidRDefault="00EE20A4" w:rsidP="00A14587">
      <w:pPr>
        <w:spacing w:line="360" w:lineRule="auto"/>
        <w:jc w:val="both"/>
        <w:rPr>
          <w:rFonts w:ascii="Times New Roman" w:hAnsi="Times New Roman" w:cs="Times New Roman"/>
        </w:rPr>
      </w:pPr>
      <w:r>
        <w:rPr>
          <w:rFonts w:ascii="Times New Roman" w:hAnsi="Times New Roman" w:cs="Times New Roman"/>
        </w:rPr>
        <w:t>Esping-Andersen</w:t>
      </w:r>
      <w:r w:rsidRPr="00EE20A4">
        <w:rPr>
          <w:rFonts w:ascii="Times New Roman" w:hAnsi="Times New Roman" w:cs="Times New Roman"/>
        </w:rPr>
        <w:t xml:space="preserve"> </w:t>
      </w:r>
      <w:r>
        <w:rPr>
          <w:rFonts w:ascii="Times New Roman" w:hAnsi="Times New Roman" w:cs="Times New Roman"/>
        </w:rPr>
        <w:t>(</w:t>
      </w:r>
      <w:r w:rsidRPr="00EE20A4">
        <w:rPr>
          <w:rFonts w:ascii="Times New Roman" w:hAnsi="Times New Roman" w:cs="Times New Roman"/>
        </w:rPr>
        <w:t>1993)</w:t>
      </w:r>
      <w:r w:rsidR="00102A8B">
        <w:rPr>
          <w:rFonts w:ascii="Times New Roman" w:hAnsi="Times New Roman" w:cs="Times New Roman"/>
        </w:rPr>
        <w:t>,</w:t>
      </w:r>
      <w:r>
        <w:rPr>
          <w:rFonts w:ascii="Times New Roman" w:hAnsi="Times New Roman" w:cs="Times New Roman"/>
        </w:rPr>
        <w:t xml:space="preserve"> </w:t>
      </w:r>
      <w:r w:rsidR="00102A8B">
        <w:rPr>
          <w:rFonts w:ascii="Times New Roman" w:hAnsi="Times New Roman" w:cs="Times New Roman"/>
        </w:rPr>
        <w:t>s</w:t>
      </w:r>
      <w:r>
        <w:rPr>
          <w:rFonts w:ascii="Times New Roman" w:hAnsi="Times New Roman" w:cs="Times New Roman"/>
        </w:rPr>
        <w:t>eñala que l</w:t>
      </w:r>
      <w:r w:rsidRPr="00EE20A4">
        <w:rPr>
          <w:rFonts w:ascii="Times New Roman" w:hAnsi="Times New Roman" w:cs="Times New Roman"/>
        </w:rPr>
        <w:t>as necesidades humanas, como la fuerza de tr</w:t>
      </w:r>
      <w:r>
        <w:rPr>
          <w:rFonts w:ascii="Times New Roman" w:hAnsi="Times New Roman" w:cs="Times New Roman"/>
        </w:rPr>
        <w:t xml:space="preserve">abajo, no deben </w:t>
      </w:r>
      <w:r w:rsidR="00656C88">
        <w:rPr>
          <w:rFonts w:ascii="Times New Roman" w:hAnsi="Times New Roman" w:cs="Times New Roman"/>
        </w:rPr>
        <w:t xml:space="preserve"> privatizarse para </w:t>
      </w:r>
      <w:r>
        <w:rPr>
          <w:rFonts w:ascii="Times New Roman" w:hAnsi="Times New Roman" w:cs="Times New Roman"/>
        </w:rPr>
        <w:t xml:space="preserve">convertirse en </w:t>
      </w:r>
      <w:r w:rsidRPr="00EE20A4">
        <w:rPr>
          <w:rFonts w:ascii="Times New Roman" w:hAnsi="Times New Roman" w:cs="Times New Roman"/>
        </w:rPr>
        <w:t>mercancía, ni depender de una relación monetaria como bienestar social. La mercantilización de las personas consolida la acumulación del capital, pero debilita al propio trabajador.</w:t>
      </w:r>
    </w:p>
    <w:p w14:paraId="2E22018C" w14:textId="77777777" w:rsidR="00EE20A4" w:rsidRDefault="00EE20A4" w:rsidP="00A14587">
      <w:pPr>
        <w:spacing w:line="360" w:lineRule="auto"/>
        <w:jc w:val="both"/>
        <w:rPr>
          <w:rFonts w:ascii="Times New Roman" w:hAnsi="Times New Roman" w:cs="Times New Roman"/>
        </w:rPr>
      </w:pPr>
    </w:p>
    <w:p w14:paraId="16DB66E6" w14:textId="08C697E8" w:rsidR="00EE20A4" w:rsidRDefault="00EE20A4" w:rsidP="00EE20A4">
      <w:pPr>
        <w:spacing w:line="360" w:lineRule="auto"/>
        <w:jc w:val="both"/>
        <w:rPr>
          <w:rFonts w:ascii="Times New Roman" w:hAnsi="Times New Roman" w:cs="Times New Roman"/>
        </w:rPr>
      </w:pPr>
      <w:r w:rsidRPr="00EE20A4">
        <w:rPr>
          <w:rFonts w:ascii="Times New Roman" w:hAnsi="Times New Roman" w:cs="Times New Roman"/>
        </w:rPr>
        <w:t xml:space="preserve">Rawls (2006), pensador liberal-crítico, dentro de su obra </w:t>
      </w:r>
      <w:r w:rsidRPr="00A74487">
        <w:rPr>
          <w:rFonts w:ascii="Times New Roman" w:hAnsi="Times New Roman" w:cs="Times New Roman"/>
          <w:i/>
        </w:rPr>
        <w:t>La</w:t>
      </w:r>
      <w:r w:rsidRPr="00EE20A4">
        <w:rPr>
          <w:rFonts w:ascii="Times New Roman" w:hAnsi="Times New Roman" w:cs="Times New Roman"/>
        </w:rPr>
        <w:t xml:space="preserve"> </w:t>
      </w:r>
      <w:r w:rsidRPr="00031F82">
        <w:rPr>
          <w:rFonts w:ascii="Times New Roman" w:hAnsi="Times New Roman" w:cs="Times New Roman"/>
          <w:i/>
        </w:rPr>
        <w:t xml:space="preserve">teoría de la </w:t>
      </w:r>
      <w:r w:rsidR="00A74487">
        <w:rPr>
          <w:rFonts w:ascii="Times New Roman" w:hAnsi="Times New Roman" w:cs="Times New Roman"/>
          <w:i/>
        </w:rPr>
        <w:t>j</w:t>
      </w:r>
      <w:r w:rsidRPr="00031F82">
        <w:rPr>
          <w:rFonts w:ascii="Times New Roman" w:hAnsi="Times New Roman" w:cs="Times New Roman"/>
          <w:i/>
        </w:rPr>
        <w:t>usticia</w:t>
      </w:r>
      <w:r w:rsidRPr="00EE20A4">
        <w:rPr>
          <w:rFonts w:ascii="Times New Roman" w:hAnsi="Times New Roman" w:cs="Times New Roman"/>
        </w:rPr>
        <w:t>, sostiene que las desigualdades económicas y sociales deben de satisfacer dos condiciones: primero, estas son solo permitidas si protegen a la sociedad más vulnerable</w:t>
      </w:r>
      <w:r w:rsidR="00A74487">
        <w:rPr>
          <w:rFonts w:ascii="Times New Roman" w:hAnsi="Times New Roman" w:cs="Times New Roman"/>
        </w:rPr>
        <w:t>; s</w:t>
      </w:r>
      <w:r w:rsidRPr="00EE20A4">
        <w:rPr>
          <w:rFonts w:ascii="Times New Roman" w:hAnsi="Times New Roman" w:cs="Times New Roman"/>
        </w:rPr>
        <w:t xml:space="preserve">egundo, toda vez que esto no sea así, se debe favorecer el interés de esta sociedad mediante los principios de justicia y así conseguir el mayor acceso posible a los bienes básicos. </w:t>
      </w:r>
    </w:p>
    <w:p w14:paraId="23D92DF4" w14:textId="77777777" w:rsidR="00B57A0A" w:rsidRDefault="00B57A0A" w:rsidP="00EE20A4">
      <w:pPr>
        <w:spacing w:line="360" w:lineRule="auto"/>
        <w:jc w:val="both"/>
        <w:rPr>
          <w:rFonts w:ascii="Times New Roman" w:hAnsi="Times New Roman" w:cs="Times New Roman"/>
        </w:rPr>
      </w:pPr>
    </w:p>
    <w:p w14:paraId="46E57658" w14:textId="4F6F77AF" w:rsidR="00B57A0A" w:rsidRPr="00B57A0A" w:rsidRDefault="00B57A0A" w:rsidP="00B57A0A">
      <w:pPr>
        <w:spacing w:line="360" w:lineRule="auto"/>
        <w:jc w:val="both"/>
        <w:rPr>
          <w:rFonts w:ascii="Times New Roman" w:hAnsi="Times New Roman" w:cs="Times New Roman"/>
        </w:rPr>
      </w:pPr>
      <w:r w:rsidRPr="00B57A0A">
        <w:rPr>
          <w:rFonts w:ascii="Times New Roman" w:hAnsi="Times New Roman" w:cs="Times New Roman"/>
        </w:rPr>
        <w:t xml:space="preserve">Las personas buscan, a través del </w:t>
      </w:r>
      <w:r w:rsidR="00A74487">
        <w:rPr>
          <w:rFonts w:ascii="Times New Roman" w:hAnsi="Times New Roman" w:cs="Times New Roman"/>
        </w:rPr>
        <w:t>E</w:t>
      </w:r>
      <w:r w:rsidRPr="00B57A0A">
        <w:rPr>
          <w:rFonts w:ascii="Times New Roman" w:hAnsi="Times New Roman" w:cs="Times New Roman"/>
        </w:rPr>
        <w:t xml:space="preserve">stado, un mínimo de dependencia natural; un </w:t>
      </w:r>
      <w:r w:rsidR="005C2E5A">
        <w:rPr>
          <w:rFonts w:ascii="Times New Roman" w:hAnsi="Times New Roman" w:cs="Times New Roman"/>
        </w:rPr>
        <w:t>estado de bienestar</w:t>
      </w:r>
      <w:r w:rsidRPr="00B57A0A">
        <w:rPr>
          <w:rFonts w:ascii="Times New Roman" w:hAnsi="Times New Roman" w:cs="Times New Roman"/>
        </w:rPr>
        <w:t xml:space="preserve"> que, como señala Ruiz Moreno, genere “una política pública del </w:t>
      </w:r>
      <w:r w:rsidR="00A74487">
        <w:rPr>
          <w:rFonts w:ascii="Times New Roman" w:hAnsi="Times New Roman" w:cs="Times New Roman"/>
        </w:rPr>
        <w:t>E</w:t>
      </w:r>
      <w:r w:rsidRPr="00B57A0A">
        <w:rPr>
          <w:rFonts w:ascii="Times New Roman" w:hAnsi="Times New Roman" w:cs="Times New Roman"/>
        </w:rPr>
        <w:t>stado respecto de una sociedad a la que debe servir” (Ruiz, 2009, p. 6).</w:t>
      </w:r>
    </w:p>
    <w:p w14:paraId="6BF9DB71" w14:textId="77777777" w:rsidR="00B57A0A" w:rsidRPr="00B57A0A" w:rsidRDefault="00B57A0A" w:rsidP="00B57A0A">
      <w:pPr>
        <w:spacing w:line="360" w:lineRule="auto"/>
        <w:jc w:val="both"/>
        <w:rPr>
          <w:rFonts w:ascii="Times New Roman" w:hAnsi="Times New Roman" w:cs="Times New Roman"/>
        </w:rPr>
      </w:pPr>
    </w:p>
    <w:p w14:paraId="6B647735" w14:textId="468E3E77" w:rsidR="00B57A0A" w:rsidRPr="00B57A0A" w:rsidRDefault="00B57A0A" w:rsidP="00B57A0A">
      <w:pPr>
        <w:spacing w:line="360" w:lineRule="auto"/>
        <w:jc w:val="both"/>
        <w:rPr>
          <w:rFonts w:ascii="Times New Roman" w:hAnsi="Times New Roman" w:cs="Times New Roman"/>
        </w:rPr>
      </w:pPr>
      <w:r w:rsidRPr="00B57A0A">
        <w:rPr>
          <w:rFonts w:ascii="Times New Roman" w:hAnsi="Times New Roman" w:cs="Times New Roman"/>
        </w:rPr>
        <w:t>Se sab</w:t>
      </w:r>
      <w:r w:rsidR="00656C88">
        <w:rPr>
          <w:rFonts w:ascii="Times New Roman" w:hAnsi="Times New Roman" w:cs="Times New Roman"/>
        </w:rPr>
        <w:t>e que la muerte es irremediable debido a</w:t>
      </w:r>
      <w:r w:rsidR="00656C88" w:rsidRPr="00B57A0A">
        <w:rPr>
          <w:rFonts w:ascii="Times New Roman" w:hAnsi="Times New Roman" w:cs="Times New Roman"/>
        </w:rPr>
        <w:t xml:space="preserve"> que las personas van a envejecer</w:t>
      </w:r>
      <w:r w:rsidR="00A74487">
        <w:rPr>
          <w:rFonts w:ascii="Times New Roman" w:hAnsi="Times New Roman" w:cs="Times New Roman"/>
        </w:rPr>
        <w:t>,</w:t>
      </w:r>
      <w:r w:rsidRPr="00B57A0A">
        <w:rPr>
          <w:rFonts w:ascii="Times New Roman" w:hAnsi="Times New Roman" w:cs="Times New Roman"/>
        </w:rPr>
        <w:t xml:space="preserve"> pero no por ello </w:t>
      </w:r>
      <w:r>
        <w:rPr>
          <w:rFonts w:ascii="Times New Roman" w:hAnsi="Times New Roman" w:cs="Times New Roman"/>
        </w:rPr>
        <w:t>se debe</w:t>
      </w:r>
      <w:r w:rsidR="00A74487">
        <w:rPr>
          <w:rFonts w:ascii="Times New Roman" w:hAnsi="Times New Roman" w:cs="Times New Roman"/>
        </w:rPr>
        <w:t>n</w:t>
      </w:r>
      <w:r w:rsidRPr="00B57A0A">
        <w:rPr>
          <w:rFonts w:ascii="Times New Roman" w:hAnsi="Times New Roman" w:cs="Times New Roman"/>
        </w:rPr>
        <w:t xml:space="preserve"> </w:t>
      </w:r>
      <w:r w:rsidR="00656C88">
        <w:rPr>
          <w:rFonts w:ascii="Times New Roman" w:hAnsi="Times New Roman" w:cs="Times New Roman"/>
        </w:rPr>
        <w:t>descuidar</w:t>
      </w:r>
      <w:r>
        <w:rPr>
          <w:rFonts w:ascii="Times New Roman" w:hAnsi="Times New Roman" w:cs="Times New Roman"/>
        </w:rPr>
        <w:t xml:space="preserve"> </w:t>
      </w:r>
      <w:r w:rsidR="00656C88">
        <w:rPr>
          <w:rFonts w:ascii="Times New Roman" w:hAnsi="Times New Roman" w:cs="Times New Roman"/>
        </w:rPr>
        <w:t>las distintas</w:t>
      </w:r>
      <w:r>
        <w:rPr>
          <w:rFonts w:ascii="Times New Roman" w:hAnsi="Times New Roman" w:cs="Times New Roman"/>
        </w:rPr>
        <w:t xml:space="preserve"> enfermedades</w:t>
      </w:r>
      <w:r w:rsidRPr="00B57A0A">
        <w:rPr>
          <w:rFonts w:ascii="Times New Roman" w:hAnsi="Times New Roman" w:cs="Times New Roman"/>
        </w:rPr>
        <w:t xml:space="preserve">. </w:t>
      </w:r>
      <w:r w:rsidR="00656C88">
        <w:rPr>
          <w:rFonts w:ascii="Times New Roman" w:hAnsi="Times New Roman" w:cs="Times New Roman"/>
        </w:rPr>
        <w:t>Por otro lado, se debe</w:t>
      </w:r>
      <w:r w:rsidRPr="00B57A0A">
        <w:rPr>
          <w:rFonts w:ascii="Times New Roman" w:hAnsi="Times New Roman" w:cs="Times New Roman"/>
        </w:rPr>
        <w:t xml:space="preserve"> asegurar un ingreso económico para satisfacer las necesidades básicas de la </w:t>
      </w:r>
      <w:r w:rsidR="00656C88">
        <w:rPr>
          <w:rFonts w:ascii="Times New Roman" w:hAnsi="Times New Roman" w:cs="Times New Roman"/>
        </w:rPr>
        <w:t>población,</w:t>
      </w:r>
      <w:r w:rsidRPr="00B57A0A">
        <w:rPr>
          <w:rFonts w:ascii="Times New Roman" w:hAnsi="Times New Roman" w:cs="Times New Roman"/>
        </w:rPr>
        <w:t xml:space="preserve"> por lo que se requiere desarrollar un sistema de seguridad social (Ruiz,</w:t>
      </w:r>
      <w:r w:rsidR="00A74487">
        <w:rPr>
          <w:rFonts w:ascii="Times New Roman" w:hAnsi="Times New Roman" w:cs="Times New Roman"/>
        </w:rPr>
        <w:t xml:space="preserve"> </w:t>
      </w:r>
      <w:r w:rsidRPr="00B57A0A">
        <w:rPr>
          <w:rFonts w:ascii="Times New Roman" w:hAnsi="Times New Roman" w:cs="Times New Roman"/>
        </w:rPr>
        <w:t>2009)</w:t>
      </w:r>
      <w:r w:rsidR="00A74487">
        <w:rPr>
          <w:rFonts w:ascii="Times New Roman" w:hAnsi="Times New Roman" w:cs="Times New Roman"/>
        </w:rPr>
        <w:t>.</w:t>
      </w:r>
    </w:p>
    <w:p w14:paraId="7A07458A" w14:textId="77777777" w:rsidR="00EE20A4" w:rsidRPr="00EE20A4" w:rsidRDefault="00EE20A4" w:rsidP="00EE20A4">
      <w:pPr>
        <w:spacing w:line="360" w:lineRule="auto"/>
        <w:jc w:val="both"/>
        <w:rPr>
          <w:rFonts w:ascii="Times New Roman" w:hAnsi="Times New Roman" w:cs="Times New Roman"/>
        </w:rPr>
      </w:pPr>
    </w:p>
    <w:p w14:paraId="24CED0FE" w14:textId="2C819DC9" w:rsidR="00031F82" w:rsidRPr="00031F82" w:rsidRDefault="00031F82" w:rsidP="00031F82">
      <w:pPr>
        <w:spacing w:line="360" w:lineRule="auto"/>
        <w:jc w:val="both"/>
        <w:rPr>
          <w:rFonts w:ascii="Times New Roman" w:hAnsi="Times New Roman" w:cs="Times New Roman"/>
        </w:rPr>
      </w:pPr>
      <w:r w:rsidRPr="00031F82">
        <w:rPr>
          <w:rFonts w:ascii="Times New Roman" w:hAnsi="Times New Roman" w:cs="Times New Roman"/>
        </w:rPr>
        <w:t>Por su parte, Estruch (1996), señala que el estado del bienestar se origina en el deber público con el pleno empleo, con una política económica anticíclica, que logre la provisión universal de ciertos bienes, mediante políticas redistributivas que logren erradicar la desigualdad económica y social.</w:t>
      </w:r>
    </w:p>
    <w:p w14:paraId="2D34656F" w14:textId="77777777" w:rsidR="00031F82" w:rsidRPr="00031F82" w:rsidRDefault="00031F82" w:rsidP="00031F82">
      <w:pPr>
        <w:spacing w:line="360" w:lineRule="auto"/>
        <w:jc w:val="both"/>
        <w:rPr>
          <w:rFonts w:ascii="Times New Roman" w:hAnsi="Times New Roman" w:cs="Times New Roman"/>
        </w:rPr>
      </w:pPr>
    </w:p>
    <w:p w14:paraId="4E241FE7" w14:textId="3A3D6AA0" w:rsidR="00031F82" w:rsidRPr="00031F82" w:rsidRDefault="00031F82" w:rsidP="00031F82">
      <w:pPr>
        <w:spacing w:line="360" w:lineRule="auto"/>
        <w:jc w:val="both"/>
        <w:rPr>
          <w:rFonts w:ascii="Times New Roman" w:hAnsi="Times New Roman" w:cs="Times New Roman"/>
        </w:rPr>
      </w:pPr>
      <w:r w:rsidRPr="00031F82">
        <w:rPr>
          <w:rFonts w:ascii="Times New Roman" w:hAnsi="Times New Roman" w:cs="Times New Roman"/>
        </w:rPr>
        <w:t xml:space="preserve">Bobbio (2005), historiador del pensamiento político, señaló que la política del </w:t>
      </w:r>
      <w:r w:rsidR="005C2E5A">
        <w:rPr>
          <w:rFonts w:ascii="Times New Roman" w:hAnsi="Times New Roman" w:cs="Times New Roman"/>
        </w:rPr>
        <w:t>estado de bienestar</w:t>
      </w:r>
      <w:r w:rsidRPr="00031F82">
        <w:rPr>
          <w:rFonts w:ascii="Times New Roman" w:hAnsi="Times New Roman" w:cs="Times New Roman"/>
        </w:rPr>
        <w:t xml:space="preserve"> está en crisis, debido a las inestabilidades económicas que no logran la protección de las clases sociales más pobres, por lo que el </w:t>
      </w:r>
      <w:r w:rsidR="00A74487">
        <w:rPr>
          <w:rFonts w:ascii="Times New Roman" w:hAnsi="Times New Roman" w:cs="Times New Roman"/>
        </w:rPr>
        <w:t>E</w:t>
      </w:r>
      <w:r w:rsidRPr="00031F82">
        <w:rPr>
          <w:rFonts w:ascii="Times New Roman" w:hAnsi="Times New Roman" w:cs="Times New Roman"/>
        </w:rPr>
        <w:t xml:space="preserve">stado debe interponerse para erradicar la pobreza y lograr la redistribución de la riqueza. Por </w:t>
      </w:r>
      <w:r w:rsidR="00A74487">
        <w:rPr>
          <w:rFonts w:ascii="Times New Roman" w:hAnsi="Times New Roman" w:cs="Times New Roman"/>
        </w:rPr>
        <w:t>tanto,</w:t>
      </w:r>
      <w:r w:rsidRPr="00031F82">
        <w:rPr>
          <w:rFonts w:ascii="Times New Roman" w:hAnsi="Times New Roman" w:cs="Times New Roman"/>
        </w:rPr>
        <w:t xml:space="preserve"> el principio de igualdad exige que el </w:t>
      </w:r>
      <w:r w:rsidR="00A74487">
        <w:rPr>
          <w:rFonts w:ascii="Times New Roman" w:hAnsi="Times New Roman" w:cs="Times New Roman"/>
        </w:rPr>
        <w:t>E</w:t>
      </w:r>
      <w:r w:rsidRPr="00031F82">
        <w:rPr>
          <w:rFonts w:ascii="Times New Roman" w:hAnsi="Times New Roman" w:cs="Times New Roman"/>
        </w:rPr>
        <w:t>stado elimine todos los obstáculos para que los ciudadanos más vulnerables obtengan los derechos políticos y soci</w:t>
      </w:r>
      <w:r>
        <w:rPr>
          <w:rFonts w:ascii="Times New Roman" w:hAnsi="Times New Roman" w:cs="Times New Roman"/>
        </w:rPr>
        <w:t>ales.</w:t>
      </w:r>
    </w:p>
    <w:p w14:paraId="56A9E45B" w14:textId="77777777" w:rsidR="00927147" w:rsidRPr="00A14587" w:rsidRDefault="00927147" w:rsidP="00A14587">
      <w:pPr>
        <w:spacing w:line="360" w:lineRule="auto"/>
        <w:jc w:val="both"/>
        <w:rPr>
          <w:rFonts w:ascii="Times New Roman" w:hAnsi="Times New Roman" w:cs="Times New Roman"/>
        </w:rPr>
      </w:pPr>
    </w:p>
    <w:p w14:paraId="5B5B1174" w14:textId="49FAB936" w:rsidR="00A14587" w:rsidRPr="00A14587" w:rsidRDefault="00A14587" w:rsidP="00A14587">
      <w:pPr>
        <w:spacing w:line="360" w:lineRule="auto"/>
        <w:jc w:val="both"/>
        <w:rPr>
          <w:rFonts w:ascii="Times New Roman" w:hAnsi="Times New Roman" w:cs="Times New Roman"/>
        </w:rPr>
      </w:pPr>
      <w:r w:rsidRPr="00A14587">
        <w:rPr>
          <w:rFonts w:ascii="Times New Roman" w:hAnsi="Times New Roman" w:cs="Times New Roman"/>
        </w:rPr>
        <w:t>Las</w:t>
      </w:r>
      <w:r w:rsidR="00EE20A4">
        <w:rPr>
          <w:rFonts w:ascii="Times New Roman" w:hAnsi="Times New Roman" w:cs="Times New Roman"/>
        </w:rPr>
        <w:t xml:space="preserve"> personas buscan, a través del E</w:t>
      </w:r>
      <w:r w:rsidRPr="00A14587">
        <w:rPr>
          <w:rFonts w:ascii="Times New Roman" w:hAnsi="Times New Roman" w:cs="Times New Roman"/>
        </w:rPr>
        <w:t>stado, un mín</w:t>
      </w:r>
      <w:r w:rsidR="00031F82">
        <w:rPr>
          <w:rFonts w:ascii="Times New Roman" w:hAnsi="Times New Roman" w:cs="Times New Roman"/>
        </w:rPr>
        <w:t>imo de dependencia natural</w:t>
      </w:r>
      <w:r w:rsidR="00A74487">
        <w:rPr>
          <w:rFonts w:ascii="Times New Roman" w:hAnsi="Times New Roman" w:cs="Times New Roman"/>
        </w:rPr>
        <w:t>,</w:t>
      </w:r>
      <w:r w:rsidR="00031F82">
        <w:rPr>
          <w:rFonts w:ascii="Times New Roman" w:hAnsi="Times New Roman" w:cs="Times New Roman"/>
        </w:rPr>
        <w:t xml:space="preserve"> un </w:t>
      </w:r>
      <w:r w:rsidR="005C2E5A">
        <w:rPr>
          <w:rFonts w:ascii="Times New Roman" w:hAnsi="Times New Roman" w:cs="Times New Roman"/>
        </w:rPr>
        <w:t>estado de bienestar</w:t>
      </w:r>
      <w:r w:rsidRPr="00A14587">
        <w:rPr>
          <w:rFonts w:ascii="Times New Roman" w:hAnsi="Times New Roman" w:cs="Times New Roman"/>
        </w:rPr>
        <w:t xml:space="preserve"> que, como señala Ruiz Moreno, genere “una política pública del </w:t>
      </w:r>
      <w:r w:rsidR="00031F82">
        <w:rPr>
          <w:rFonts w:ascii="Times New Roman" w:hAnsi="Times New Roman" w:cs="Times New Roman"/>
        </w:rPr>
        <w:t>E</w:t>
      </w:r>
      <w:r w:rsidRPr="00A14587">
        <w:rPr>
          <w:rFonts w:ascii="Times New Roman" w:hAnsi="Times New Roman" w:cs="Times New Roman"/>
        </w:rPr>
        <w:t>stado respecto de una sociedad a la que debe servir” (Ruiz, 2009, p. 6).</w:t>
      </w:r>
    </w:p>
    <w:p w14:paraId="66ED353F" w14:textId="77777777" w:rsidR="00031F82" w:rsidRPr="00031F82" w:rsidRDefault="00031F82" w:rsidP="00031F82">
      <w:pPr>
        <w:spacing w:line="360" w:lineRule="auto"/>
        <w:jc w:val="both"/>
        <w:rPr>
          <w:rFonts w:ascii="Times New Roman" w:hAnsi="Times New Roman" w:cs="Times New Roman"/>
        </w:rPr>
      </w:pPr>
    </w:p>
    <w:p w14:paraId="35209DB6" w14:textId="445D8EC5" w:rsidR="00031F82" w:rsidRPr="00031F82" w:rsidRDefault="00031F82" w:rsidP="00031F82">
      <w:pPr>
        <w:spacing w:line="360" w:lineRule="auto"/>
        <w:jc w:val="both"/>
        <w:rPr>
          <w:rFonts w:ascii="Times New Roman" w:hAnsi="Times New Roman" w:cs="Times New Roman"/>
        </w:rPr>
      </w:pPr>
      <w:r>
        <w:rPr>
          <w:rFonts w:ascii="Times New Roman" w:hAnsi="Times New Roman" w:cs="Times New Roman"/>
        </w:rPr>
        <w:t xml:space="preserve">El </w:t>
      </w:r>
      <w:r w:rsidR="005C2E5A">
        <w:rPr>
          <w:rFonts w:ascii="Times New Roman" w:hAnsi="Times New Roman" w:cs="Times New Roman"/>
        </w:rPr>
        <w:t>estado de bienestar</w:t>
      </w:r>
      <w:r w:rsidRPr="00031F82">
        <w:rPr>
          <w:rFonts w:ascii="Times New Roman" w:hAnsi="Times New Roman" w:cs="Times New Roman"/>
        </w:rPr>
        <w:t xml:space="preserve"> debe ser un derecho social que dé seguridad y asistencia a las personas pensionadas y que les proporcione una cobertura por los años laborados, por lo que las instituciones sociales deben lograr la eficiencia, equidad y el desarrollo, independientemente de que la corriente filosófica actual en casi todos los países</w:t>
      </w:r>
      <w:r w:rsidR="00CF71EA">
        <w:rPr>
          <w:rFonts w:ascii="Times New Roman" w:hAnsi="Times New Roman" w:cs="Times New Roman"/>
        </w:rPr>
        <w:t>:</w:t>
      </w:r>
      <w:r w:rsidRPr="00031F82">
        <w:rPr>
          <w:rFonts w:ascii="Times New Roman" w:hAnsi="Times New Roman" w:cs="Times New Roman"/>
        </w:rPr>
        <w:t xml:space="preserve"> el liberalismo, parte </w:t>
      </w:r>
      <w:r w:rsidR="00CF71EA">
        <w:rPr>
          <w:rFonts w:ascii="Times New Roman" w:hAnsi="Times New Roman" w:cs="Times New Roman"/>
        </w:rPr>
        <w:t xml:space="preserve">de </w:t>
      </w:r>
      <w:r w:rsidRPr="00031F82">
        <w:rPr>
          <w:rFonts w:ascii="Times New Roman" w:hAnsi="Times New Roman" w:cs="Times New Roman"/>
        </w:rPr>
        <w:t>que la apertura tanto comercial como financiera sea el motor de la economía.</w:t>
      </w:r>
    </w:p>
    <w:p w14:paraId="5753D9AC" w14:textId="2072B034" w:rsidR="00031F82" w:rsidRDefault="00031F82" w:rsidP="00031F82">
      <w:pPr>
        <w:spacing w:line="360" w:lineRule="auto"/>
        <w:jc w:val="both"/>
        <w:rPr>
          <w:rFonts w:ascii="Times New Roman" w:hAnsi="Times New Roman" w:cs="Times New Roman"/>
        </w:rPr>
      </w:pPr>
      <w:r w:rsidRPr="00031F82">
        <w:rPr>
          <w:rFonts w:ascii="Times New Roman" w:hAnsi="Times New Roman" w:cs="Times New Roman"/>
        </w:rPr>
        <w:t>Mediante una política económica activa se pueden alcanzar varias metas</w:t>
      </w:r>
      <w:r w:rsidR="0044339E">
        <w:rPr>
          <w:rFonts w:ascii="Times New Roman" w:hAnsi="Times New Roman" w:cs="Times New Roman"/>
        </w:rPr>
        <w:t>;</w:t>
      </w:r>
      <w:r w:rsidRPr="00031F82">
        <w:rPr>
          <w:rFonts w:ascii="Times New Roman" w:hAnsi="Times New Roman" w:cs="Times New Roman"/>
        </w:rPr>
        <w:t xml:space="preserve"> por una parte, favorece el desarrollo de las industrias y los mercados y, al mismo tiempo, contribuye a mejorar el empleo y las condiciones de vida de la población. </w:t>
      </w:r>
    </w:p>
    <w:p w14:paraId="3BE720B7" w14:textId="77777777" w:rsidR="00540B5B" w:rsidRPr="00031F82" w:rsidRDefault="00540B5B" w:rsidP="00031F82">
      <w:pPr>
        <w:spacing w:line="360" w:lineRule="auto"/>
        <w:jc w:val="both"/>
        <w:rPr>
          <w:rFonts w:ascii="Times New Roman" w:hAnsi="Times New Roman" w:cs="Times New Roman"/>
        </w:rPr>
      </w:pPr>
    </w:p>
    <w:p w14:paraId="02665668" w14:textId="4FD1AF6F" w:rsidR="007E4E3A" w:rsidRDefault="007E4E3A" w:rsidP="00031F82">
      <w:pPr>
        <w:spacing w:line="360" w:lineRule="auto"/>
        <w:jc w:val="both"/>
        <w:rPr>
          <w:rFonts w:ascii="Times New Roman" w:hAnsi="Times New Roman" w:cs="Times New Roman"/>
        </w:rPr>
      </w:pPr>
      <w:r w:rsidRPr="00005B17">
        <w:rPr>
          <w:rFonts w:ascii="Times New Roman" w:hAnsi="Times New Roman" w:cs="Times New Roman"/>
        </w:rPr>
        <w:t>Dentro de sus principales exponentes</w:t>
      </w:r>
      <w:r>
        <w:rPr>
          <w:rFonts w:ascii="Times New Roman" w:hAnsi="Times New Roman" w:cs="Times New Roman"/>
        </w:rPr>
        <w:t xml:space="preserve"> del liberalismo, se encuentran: </w:t>
      </w:r>
      <w:r w:rsidRPr="00005B17">
        <w:rPr>
          <w:rFonts w:ascii="Times New Roman" w:hAnsi="Times New Roman" w:cs="Times New Roman"/>
        </w:rPr>
        <w:t>Adam Smith, Alexis Tocqueville, David Hume</w:t>
      </w:r>
      <w:r w:rsidR="0044339E">
        <w:rPr>
          <w:rFonts w:ascii="Times New Roman" w:hAnsi="Times New Roman" w:cs="Times New Roman"/>
        </w:rPr>
        <w:t xml:space="preserve"> y</w:t>
      </w:r>
      <w:r w:rsidRPr="00005B17">
        <w:rPr>
          <w:rFonts w:ascii="Times New Roman" w:hAnsi="Times New Roman" w:cs="Times New Roman"/>
        </w:rPr>
        <w:t xml:space="preserve"> John Locke</w:t>
      </w:r>
      <w:r>
        <w:rPr>
          <w:rFonts w:ascii="Times New Roman" w:hAnsi="Times New Roman" w:cs="Times New Roman"/>
        </w:rPr>
        <w:t xml:space="preserve"> </w:t>
      </w:r>
      <w:r w:rsidRPr="00005B17">
        <w:rPr>
          <w:rFonts w:ascii="Times New Roman" w:hAnsi="Times New Roman" w:cs="Times New Roman"/>
        </w:rPr>
        <w:t>(Hayek, 1978).</w:t>
      </w:r>
    </w:p>
    <w:p w14:paraId="5EB969D9" w14:textId="77777777" w:rsidR="007E4E3A" w:rsidRDefault="007E4E3A" w:rsidP="00031F82">
      <w:pPr>
        <w:spacing w:line="360" w:lineRule="auto"/>
        <w:jc w:val="both"/>
        <w:rPr>
          <w:rFonts w:ascii="Times New Roman" w:hAnsi="Times New Roman" w:cs="Times New Roman"/>
        </w:rPr>
      </w:pPr>
    </w:p>
    <w:p w14:paraId="2CC50CF0" w14:textId="34036BC8" w:rsidR="00031F82" w:rsidRPr="00031F82" w:rsidRDefault="00031F82" w:rsidP="00031F82">
      <w:pPr>
        <w:spacing w:line="360" w:lineRule="auto"/>
        <w:jc w:val="both"/>
        <w:rPr>
          <w:rFonts w:ascii="Times New Roman" w:hAnsi="Times New Roman" w:cs="Times New Roman"/>
        </w:rPr>
      </w:pPr>
      <w:r w:rsidRPr="00031F82">
        <w:rPr>
          <w:rFonts w:ascii="Times New Roman" w:hAnsi="Times New Roman" w:cs="Times New Roman"/>
        </w:rPr>
        <w:t>El Estado benefactor debe ser el principal responsable del bienestar de la sociedad ante diversos riesgos y debe  plantearse como un medio favorable para establecer sistemas de seguridad social, que permitan a la gente enfrentar mejor las condiciones que se derivan de contingencias por enfermedades, accidentes y vejez, entre otras.</w:t>
      </w:r>
    </w:p>
    <w:p w14:paraId="1E8E30A0" w14:textId="77777777" w:rsidR="00031F82" w:rsidRPr="00031F82" w:rsidRDefault="00031F82" w:rsidP="00031F82">
      <w:pPr>
        <w:spacing w:line="360" w:lineRule="auto"/>
        <w:jc w:val="both"/>
        <w:rPr>
          <w:rFonts w:ascii="Times New Roman" w:hAnsi="Times New Roman" w:cs="Times New Roman"/>
        </w:rPr>
      </w:pPr>
    </w:p>
    <w:p w14:paraId="60AD91B0" w14:textId="340E88D7" w:rsidR="00031F82" w:rsidRPr="00031F82" w:rsidRDefault="00031F82" w:rsidP="00031F82">
      <w:pPr>
        <w:spacing w:line="360" w:lineRule="auto"/>
        <w:jc w:val="both"/>
        <w:rPr>
          <w:rFonts w:ascii="Times New Roman" w:hAnsi="Times New Roman" w:cs="Times New Roman"/>
        </w:rPr>
      </w:pPr>
      <w:r w:rsidRPr="00031F82">
        <w:rPr>
          <w:rFonts w:ascii="Times New Roman" w:hAnsi="Times New Roman" w:cs="Times New Roman"/>
        </w:rPr>
        <w:t xml:space="preserve">A partir de los </w:t>
      </w:r>
      <w:r w:rsidR="0044339E">
        <w:rPr>
          <w:rFonts w:ascii="Times New Roman" w:hAnsi="Times New Roman" w:cs="Times New Roman"/>
        </w:rPr>
        <w:t xml:space="preserve">años </w:t>
      </w:r>
      <w:r w:rsidRPr="00031F82">
        <w:rPr>
          <w:rFonts w:ascii="Times New Roman" w:hAnsi="Times New Roman" w:cs="Times New Roman"/>
        </w:rPr>
        <w:t xml:space="preserve">setenta, Laurell (1992), señala que las crisis económicas en América Latina y la caída de las inversiones, junto con la rentabilidad del capital originado por el </w:t>
      </w:r>
      <w:r w:rsidR="0044339E">
        <w:rPr>
          <w:rFonts w:ascii="Times New Roman" w:hAnsi="Times New Roman" w:cs="Times New Roman"/>
        </w:rPr>
        <w:t>E</w:t>
      </w:r>
      <w:r w:rsidRPr="00031F82">
        <w:rPr>
          <w:rFonts w:ascii="Times New Roman" w:hAnsi="Times New Roman" w:cs="Times New Roman"/>
        </w:rPr>
        <w:t xml:space="preserve">stado benefactor, propició el inicio del neoliberalismo como corriente filosófica, la cual parte del fundamento de que el mercado es el principal componente para la distribución de los recursos económicos y la satisfacción de las necesidades individuales. </w:t>
      </w:r>
    </w:p>
    <w:p w14:paraId="7DBAE9EC" w14:textId="77777777" w:rsidR="00031F82" w:rsidRPr="00031F82" w:rsidRDefault="00031F82" w:rsidP="00031F82">
      <w:pPr>
        <w:spacing w:line="360" w:lineRule="auto"/>
        <w:jc w:val="both"/>
        <w:rPr>
          <w:rFonts w:ascii="Times New Roman" w:hAnsi="Times New Roman" w:cs="Times New Roman"/>
        </w:rPr>
      </w:pPr>
    </w:p>
    <w:p w14:paraId="06ACEC89" w14:textId="715EA740" w:rsidR="00031F82" w:rsidRPr="00031F82" w:rsidRDefault="00031F82" w:rsidP="00031F82">
      <w:pPr>
        <w:spacing w:line="360" w:lineRule="auto"/>
        <w:jc w:val="both"/>
        <w:rPr>
          <w:rFonts w:ascii="Times New Roman" w:hAnsi="Times New Roman" w:cs="Times New Roman"/>
        </w:rPr>
      </w:pPr>
      <w:r w:rsidRPr="00031F82">
        <w:rPr>
          <w:rFonts w:ascii="Times New Roman" w:hAnsi="Times New Roman" w:cs="Times New Roman"/>
        </w:rPr>
        <w:t xml:space="preserve">Dentro de un </w:t>
      </w:r>
      <w:r w:rsidR="0044339E">
        <w:rPr>
          <w:rFonts w:ascii="Times New Roman" w:hAnsi="Times New Roman" w:cs="Times New Roman"/>
        </w:rPr>
        <w:t>E</w:t>
      </w:r>
      <w:r w:rsidRPr="00031F82">
        <w:rPr>
          <w:rFonts w:ascii="Times New Roman" w:hAnsi="Times New Roman" w:cs="Times New Roman"/>
        </w:rPr>
        <w:t>stado benefactor, Ruiz (2008) imprime que una sociedad debe tener los servicios médicos, asistenciales, educativos y de subvenciones económicas, como son las pensiones</w:t>
      </w:r>
      <w:r w:rsidR="0044339E">
        <w:rPr>
          <w:rFonts w:ascii="Times New Roman" w:hAnsi="Times New Roman" w:cs="Times New Roman"/>
        </w:rPr>
        <w:t>,</w:t>
      </w:r>
      <w:r w:rsidRPr="00031F82">
        <w:rPr>
          <w:rFonts w:ascii="Times New Roman" w:hAnsi="Times New Roman" w:cs="Times New Roman"/>
        </w:rPr>
        <w:t xml:space="preserve"> pero, actualmente, los países se manejan por factores económicos, formando bloques entre ellos para lograr mayor producción de bienes y servicios, buscando mecanismos financieros y de justicia social, mediante el juego del mercado de la ley de la oferta y la demanda, lo que origina el desmantelamiento del </w:t>
      </w:r>
      <w:r w:rsidR="0044339E">
        <w:rPr>
          <w:rFonts w:ascii="Times New Roman" w:hAnsi="Times New Roman" w:cs="Times New Roman"/>
        </w:rPr>
        <w:t>E</w:t>
      </w:r>
      <w:r w:rsidRPr="00031F82">
        <w:rPr>
          <w:rFonts w:ascii="Times New Roman" w:hAnsi="Times New Roman" w:cs="Times New Roman"/>
        </w:rPr>
        <w:t xml:space="preserve">stado benefactor. </w:t>
      </w:r>
    </w:p>
    <w:p w14:paraId="32FB0987" w14:textId="77777777" w:rsidR="00031F82" w:rsidRPr="00031F82" w:rsidRDefault="00031F82" w:rsidP="00031F82">
      <w:pPr>
        <w:spacing w:line="360" w:lineRule="auto"/>
        <w:jc w:val="both"/>
        <w:rPr>
          <w:rFonts w:ascii="Times New Roman" w:hAnsi="Times New Roman" w:cs="Times New Roman"/>
        </w:rPr>
      </w:pPr>
    </w:p>
    <w:p w14:paraId="63A95E00" w14:textId="44042718" w:rsidR="00031F82" w:rsidRPr="00031F82" w:rsidRDefault="00031F82" w:rsidP="00031F82">
      <w:pPr>
        <w:spacing w:line="360" w:lineRule="auto"/>
        <w:jc w:val="both"/>
        <w:rPr>
          <w:rFonts w:ascii="Times New Roman" w:hAnsi="Times New Roman" w:cs="Times New Roman"/>
        </w:rPr>
      </w:pPr>
      <w:r w:rsidRPr="00031F82">
        <w:rPr>
          <w:rFonts w:ascii="Times New Roman" w:hAnsi="Times New Roman" w:cs="Times New Roman"/>
        </w:rPr>
        <w:t>Gir</w:t>
      </w:r>
      <w:r w:rsidR="00776E63">
        <w:rPr>
          <w:rFonts w:ascii="Times New Roman" w:hAnsi="Times New Roman" w:cs="Times New Roman"/>
        </w:rPr>
        <w:t xml:space="preserve">ondella (2008), informa que el </w:t>
      </w:r>
      <w:r w:rsidR="005C2E5A">
        <w:rPr>
          <w:rFonts w:ascii="Times New Roman" w:hAnsi="Times New Roman" w:cs="Times New Roman"/>
        </w:rPr>
        <w:t>estado de bienestar</w:t>
      </w:r>
      <w:r w:rsidRPr="00031F82">
        <w:rPr>
          <w:rFonts w:ascii="Times New Roman" w:hAnsi="Times New Roman" w:cs="Times New Roman"/>
        </w:rPr>
        <w:t xml:space="preserve"> debe brindar seguridad social, vivienda, educación y otros, como las pensiones, para lograr elevar la calidad de vida de las personas. Por su parte, Barr (1993), menciona que el </w:t>
      </w:r>
      <w:r w:rsidR="005C2E5A">
        <w:rPr>
          <w:rFonts w:ascii="Times New Roman" w:hAnsi="Times New Roman" w:cs="Times New Roman"/>
        </w:rPr>
        <w:t>estado de bienestar</w:t>
      </w:r>
      <w:r w:rsidRPr="00031F82">
        <w:rPr>
          <w:rFonts w:ascii="Times New Roman" w:hAnsi="Times New Roman" w:cs="Times New Roman"/>
        </w:rPr>
        <w:t xml:space="preserve"> requiere cubrir las necesidades económicas y sociales debido a los fallos del mercado y del propio crecimiento económico, por lo que las políticas sociales deben lograr la eficiencia, la equidad y el desarrollo.</w:t>
      </w:r>
    </w:p>
    <w:p w14:paraId="5C6232F1" w14:textId="77777777" w:rsidR="00EE20A4" w:rsidRDefault="00EE20A4" w:rsidP="00B65181">
      <w:pPr>
        <w:spacing w:line="360" w:lineRule="auto"/>
        <w:jc w:val="both"/>
        <w:rPr>
          <w:rFonts w:ascii="Times New Roman" w:hAnsi="Times New Roman" w:cs="Times New Roman"/>
        </w:rPr>
      </w:pPr>
    </w:p>
    <w:p w14:paraId="779C7F70" w14:textId="2E8966DB" w:rsidR="00DD666E" w:rsidRPr="00101A57" w:rsidRDefault="00DD666E" w:rsidP="00DD666E">
      <w:pPr>
        <w:spacing w:line="360" w:lineRule="auto"/>
        <w:jc w:val="both"/>
        <w:rPr>
          <w:rFonts w:ascii="Times New Roman" w:hAnsi="Times New Roman" w:cs="Times New Roman"/>
        </w:rPr>
      </w:pPr>
      <w:r w:rsidRPr="00101A57">
        <w:rPr>
          <w:rFonts w:ascii="Times New Roman" w:hAnsi="Times New Roman" w:cs="Times New Roman"/>
        </w:rPr>
        <w:t xml:space="preserve">La forma </w:t>
      </w:r>
      <w:r>
        <w:rPr>
          <w:rFonts w:ascii="Times New Roman" w:hAnsi="Times New Roman" w:cs="Times New Roman"/>
        </w:rPr>
        <w:t>como se maneje</w:t>
      </w:r>
      <w:r w:rsidR="006B5DEC">
        <w:rPr>
          <w:rFonts w:ascii="Times New Roman" w:hAnsi="Times New Roman" w:cs="Times New Roman"/>
        </w:rPr>
        <w:t>n</w:t>
      </w:r>
      <w:r>
        <w:rPr>
          <w:rFonts w:ascii="Times New Roman" w:hAnsi="Times New Roman" w:cs="Times New Roman"/>
        </w:rPr>
        <w:t xml:space="preserve"> las brechas del </w:t>
      </w:r>
      <w:r w:rsidR="009A1F16">
        <w:rPr>
          <w:rFonts w:ascii="Times New Roman" w:hAnsi="Times New Roman" w:cs="Times New Roman"/>
        </w:rPr>
        <w:t>e</w:t>
      </w:r>
      <w:r w:rsidR="005C2E5A">
        <w:rPr>
          <w:rFonts w:ascii="Times New Roman" w:hAnsi="Times New Roman" w:cs="Times New Roman"/>
        </w:rPr>
        <w:t>stado de bienestar</w:t>
      </w:r>
      <w:r w:rsidRPr="00101A57">
        <w:rPr>
          <w:rFonts w:ascii="Times New Roman" w:hAnsi="Times New Roman" w:cs="Times New Roman"/>
        </w:rPr>
        <w:t xml:space="preserve">, permitirá proteger o abandonar las coberturas de los sistemas de pensiones, e inducirá al tipo de mecanismos de administración del financiamiento; pero la trilogía mercado, familia y </w:t>
      </w:r>
      <w:r w:rsidR="006B5DEC">
        <w:rPr>
          <w:rFonts w:ascii="Times New Roman" w:hAnsi="Times New Roman" w:cs="Times New Roman"/>
        </w:rPr>
        <w:t>E</w:t>
      </w:r>
      <w:r w:rsidRPr="00101A57">
        <w:rPr>
          <w:rFonts w:ascii="Times New Roman" w:hAnsi="Times New Roman" w:cs="Times New Roman"/>
        </w:rPr>
        <w:t>stado solo tendrá cobertura universal si se dan las mínimas garantías en las prestaciones, con fuentes de financiamiento solidario y que sea transparente el acceso a estas prestaciones.</w:t>
      </w:r>
    </w:p>
    <w:p w14:paraId="49D1E79E" w14:textId="77777777" w:rsidR="00DD666E" w:rsidRPr="00101A57" w:rsidRDefault="00DD666E" w:rsidP="00DD666E">
      <w:pPr>
        <w:spacing w:line="360" w:lineRule="auto"/>
        <w:jc w:val="both"/>
        <w:rPr>
          <w:rFonts w:ascii="Times New Roman" w:hAnsi="Times New Roman" w:cs="Times New Roman"/>
        </w:rPr>
      </w:pPr>
    </w:p>
    <w:p w14:paraId="2C4242DD" w14:textId="1127CF7C" w:rsidR="00DD666E" w:rsidRDefault="00DD666E" w:rsidP="00DD666E">
      <w:pPr>
        <w:spacing w:line="360" w:lineRule="auto"/>
        <w:jc w:val="both"/>
        <w:rPr>
          <w:rFonts w:ascii="Times New Roman" w:hAnsi="Times New Roman" w:cs="Times New Roman"/>
        </w:rPr>
      </w:pPr>
      <w:r w:rsidRPr="00031F82">
        <w:rPr>
          <w:rFonts w:ascii="Times New Roman" w:hAnsi="Times New Roman" w:cs="Times New Roman"/>
        </w:rPr>
        <w:t xml:space="preserve">Todo </w:t>
      </w:r>
      <w:r w:rsidR="0077151B">
        <w:rPr>
          <w:rFonts w:ascii="Times New Roman" w:hAnsi="Times New Roman" w:cs="Times New Roman"/>
        </w:rPr>
        <w:t xml:space="preserve">apunta </w:t>
      </w:r>
      <w:r w:rsidR="006B5DEC">
        <w:rPr>
          <w:rFonts w:ascii="Times New Roman" w:hAnsi="Times New Roman" w:cs="Times New Roman"/>
        </w:rPr>
        <w:t xml:space="preserve">a </w:t>
      </w:r>
      <w:r w:rsidR="0077151B">
        <w:rPr>
          <w:rFonts w:ascii="Times New Roman" w:hAnsi="Times New Roman" w:cs="Times New Roman"/>
        </w:rPr>
        <w:t xml:space="preserve">que la desaparición del </w:t>
      </w:r>
      <w:r w:rsidR="0084107D">
        <w:rPr>
          <w:rFonts w:ascii="Times New Roman" w:hAnsi="Times New Roman" w:cs="Times New Roman"/>
        </w:rPr>
        <w:t>e</w:t>
      </w:r>
      <w:r w:rsidR="005C2E5A">
        <w:rPr>
          <w:rFonts w:ascii="Times New Roman" w:hAnsi="Times New Roman" w:cs="Times New Roman"/>
        </w:rPr>
        <w:t>stado de bienestar</w:t>
      </w:r>
      <w:r w:rsidRPr="00031F82">
        <w:rPr>
          <w:rFonts w:ascii="Times New Roman" w:hAnsi="Times New Roman" w:cs="Times New Roman"/>
        </w:rPr>
        <w:t xml:space="preserve"> es definitiva en todo el mundo, debido a los factores económicos, dejando el libre juego del mercado a la ley de la oferta y l</w:t>
      </w:r>
      <w:r w:rsidR="0077151B">
        <w:rPr>
          <w:rFonts w:ascii="Times New Roman" w:hAnsi="Times New Roman" w:cs="Times New Roman"/>
        </w:rPr>
        <w:t>a demanda, donde el papel del  E</w:t>
      </w:r>
      <w:r w:rsidRPr="00031F82">
        <w:rPr>
          <w:rFonts w:ascii="Times New Roman" w:hAnsi="Times New Roman" w:cs="Times New Roman"/>
        </w:rPr>
        <w:t>stado será meramente regulador de la economía.</w:t>
      </w:r>
    </w:p>
    <w:p w14:paraId="2D96F5AF" w14:textId="77777777" w:rsidR="0077151B" w:rsidRPr="0077151B" w:rsidRDefault="0077151B" w:rsidP="0077151B">
      <w:pPr>
        <w:spacing w:line="360" w:lineRule="auto"/>
        <w:jc w:val="both"/>
        <w:rPr>
          <w:rFonts w:ascii="Times New Roman" w:hAnsi="Times New Roman" w:cs="Times New Roman"/>
        </w:rPr>
      </w:pPr>
    </w:p>
    <w:p w14:paraId="135C04E9" w14:textId="50EE7A08" w:rsidR="0077151B" w:rsidRPr="0077151B" w:rsidRDefault="0077151B" w:rsidP="0077151B">
      <w:pPr>
        <w:spacing w:line="360" w:lineRule="auto"/>
        <w:jc w:val="both"/>
        <w:rPr>
          <w:rFonts w:ascii="Times New Roman" w:hAnsi="Times New Roman" w:cs="Times New Roman"/>
        </w:rPr>
      </w:pPr>
      <w:r w:rsidRPr="0077151B">
        <w:rPr>
          <w:rFonts w:ascii="Times New Roman" w:hAnsi="Times New Roman" w:cs="Times New Roman"/>
        </w:rPr>
        <w:t xml:space="preserve">El Estado debe proteger a la vejez que no ha podido autofinanciar sus prestaciones jubilatorias debido a las reformas realizadas por el uso excesivo en los sistemas contributivos, su alto costo </w:t>
      </w:r>
      <w:r>
        <w:rPr>
          <w:rFonts w:ascii="Times New Roman" w:hAnsi="Times New Roman" w:cs="Times New Roman"/>
        </w:rPr>
        <w:t>y el haber restado recursos al E</w:t>
      </w:r>
      <w:r w:rsidRPr="0077151B">
        <w:rPr>
          <w:rFonts w:ascii="Times New Roman" w:hAnsi="Times New Roman" w:cs="Times New Roman"/>
        </w:rPr>
        <w:t xml:space="preserve">stado para aliviar la pobreza en la vejez. </w:t>
      </w:r>
    </w:p>
    <w:p w14:paraId="333CF0CF" w14:textId="77777777" w:rsidR="00FF31A8" w:rsidRPr="00005B17" w:rsidRDefault="00FF31A8" w:rsidP="00FF31A8">
      <w:pPr>
        <w:spacing w:line="360" w:lineRule="auto"/>
        <w:jc w:val="both"/>
        <w:rPr>
          <w:rFonts w:ascii="Times New Roman" w:hAnsi="Times New Roman" w:cs="Times New Roman"/>
        </w:rPr>
      </w:pPr>
    </w:p>
    <w:p w14:paraId="43EEFDCE" w14:textId="4021BD2B" w:rsidR="00FF31A8" w:rsidRPr="00005B17" w:rsidRDefault="00FF31A8" w:rsidP="00FF31A8">
      <w:pPr>
        <w:spacing w:line="360" w:lineRule="auto"/>
        <w:jc w:val="both"/>
        <w:rPr>
          <w:rFonts w:ascii="Times New Roman" w:hAnsi="Times New Roman" w:cs="Times New Roman"/>
        </w:rPr>
      </w:pPr>
      <w:r w:rsidRPr="00005B17">
        <w:rPr>
          <w:rFonts w:ascii="Times New Roman" w:hAnsi="Times New Roman" w:cs="Times New Roman"/>
        </w:rPr>
        <w:t>En este contexto</w:t>
      </w:r>
      <w:r w:rsidR="005B30C8">
        <w:rPr>
          <w:rFonts w:ascii="Times New Roman" w:hAnsi="Times New Roman" w:cs="Times New Roman"/>
        </w:rPr>
        <w:t>,</w:t>
      </w:r>
      <w:r w:rsidRPr="00005B17">
        <w:rPr>
          <w:rFonts w:ascii="Times New Roman" w:hAnsi="Times New Roman" w:cs="Times New Roman"/>
        </w:rPr>
        <w:t xml:space="preserve"> ¿qué significa que al trabajador se le "obligue a un ahorro forzoso? En primer lugar, ello significaría una disminución aún mayor de su capacidad de consumo inmediato</w:t>
      </w:r>
      <w:r w:rsidR="005B30C8">
        <w:rPr>
          <w:rFonts w:ascii="Times New Roman" w:hAnsi="Times New Roman" w:cs="Times New Roman"/>
        </w:rPr>
        <w:t>.</w:t>
      </w:r>
      <w:r w:rsidRPr="00005B17">
        <w:rPr>
          <w:rFonts w:ascii="Times New Roman" w:hAnsi="Times New Roman" w:cs="Times New Roman"/>
        </w:rPr>
        <w:t xml:space="preserve"> ¿</w:t>
      </w:r>
      <w:r w:rsidR="005B30C8">
        <w:rPr>
          <w:rFonts w:ascii="Times New Roman" w:hAnsi="Times New Roman" w:cs="Times New Roman"/>
        </w:rPr>
        <w:t>C</w:t>
      </w:r>
      <w:r w:rsidRPr="00005B17">
        <w:rPr>
          <w:rFonts w:ascii="Times New Roman" w:hAnsi="Times New Roman" w:cs="Times New Roman"/>
        </w:rPr>
        <w:t>ómo resolverá sus necesidades individuales y familiares de educación, vivienda, salud, etc</w:t>
      </w:r>
      <w:r w:rsidR="005B30C8">
        <w:rPr>
          <w:rFonts w:ascii="Times New Roman" w:hAnsi="Times New Roman" w:cs="Times New Roman"/>
        </w:rPr>
        <w:t>étera</w:t>
      </w:r>
      <w:r w:rsidRPr="00005B17">
        <w:rPr>
          <w:rFonts w:ascii="Times New Roman" w:hAnsi="Times New Roman" w:cs="Times New Roman"/>
        </w:rPr>
        <w:t xml:space="preserve">, si </w:t>
      </w:r>
      <w:r w:rsidR="005B30C8">
        <w:rPr>
          <w:rFonts w:ascii="Times New Roman" w:hAnsi="Times New Roman" w:cs="Times New Roman"/>
        </w:rPr>
        <w:t>e</w:t>
      </w:r>
      <w:r w:rsidRPr="00005B17">
        <w:rPr>
          <w:rFonts w:ascii="Times New Roman" w:hAnsi="Times New Roman" w:cs="Times New Roman"/>
        </w:rPr>
        <w:t>stas siguen la línea de la privatización?</w:t>
      </w:r>
    </w:p>
    <w:p w14:paraId="28B70084" w14:textId="77777777" w:rsidR="00EA19D8" w:rsidRPr="00005B17" w:rsidRDefault="00EA19D8" w:rsidP="00B603A0">
      <w:pPr>
        <w:rPr>
          <w:rFonts w:ascii="Times New Roman" w:hAnsi="Times New Roman" w:cs="Times New Roman"/>
        </w:rPr>
      </w:pPr>
    </w:p>
    <w:p w14:paraId="4EDE0B5F" w14:textId="2E27FE7F" w:rsidR="00E04BEE" w:rsidRPr="009A1403" w:rsidRDefault="00E04BEE" w:rsidP="00E04BEE">
      <w:pPr>
        <w:rPr>
          <w:rFonts w:ascii="Times New Roman" w:hAnsi="Times New Roman" w:cs="Times New Roman"/>
          <w:b/>
        </w:rPr>
      </w:pPr>
      <w:r w:rsidRPr="009A1403">
        <w:rPr>
          <w:rFonts w:ascii="Times New Roman" w:hAnsi="Times New Roman" w:cs="Times New Roman"/>
          <w:b/>
        </w:rPr>
        <w:t>El sistema de reparto y de capitalización a nivel mundial</w:t>
      </w:r>
    </w:p>
    <w:p w14:paraId="5EA1F9B4" w14:textId="77777777" w:rsidR="002C309A" w:rsidRPr="009A1403" w:rsidRDefault="002C309A" w:rsidP="00E04BEE">
      <w:pPr>
        <w:rPr>
          <w:rFonts w:ascii="Times New Roman" w:hAnsi="Times New Roman" w:cs="Times New Roman"/>
          <w:b/>
        </w:rPr>
      </w:pPr>
    </w:p>
    <w:p w14:paraId="37671C3F" w14:textId="77777777" w:rsidR="00E04BEE" w:rsidRPr="00E04BEE" w:rsidRDefault="00E04BEE" w:rsidP="00E04BEE">
      <w:pPr>
        <w:rPr>
          <w:rFonts w:ascii="Times New Roman" w:hAnsi="Times New Roman" w:cs="Times New Roman"/>
        </w:rPr>
      </w:pPr>
    </w:p>
    <w:p w14:paraId="09B36379" w14:textId="7DEFDEE9" w:rsidR="00E04BEE" w:rsidRPr="00E04BEE" w:rsidRDefault="00E04BEE" w:rsidP="00E04BEE">
      <w:pPr>
        <w:spacing w:line="360" w:lineRule="auto"/>
        <w:jc w:val="both"/>
        <w:rPr>
          <w:rFonts w:ascii="Times New Roman" w:hAnsi="Times New Roman" w:cs="Times New Roman"/>
        </w:rPr>
      </w:pPr>
      <w:r w:rsidRPr="00E04BEE">
        <w:rPr>
          <w:rFonts w:ascii="Times New Roman" w:hAnsi="Times New Roman" w:cs="Times New Roman"/>
        </w:rPr>
        <w:t>Ruiz (2008), señala que los sistemas de capitalización individual, dependen mucho de los factores económicos externos</w:t>
      </w:r>
      <w:r w:rsidR="005B30C8">
        <w:rPr>
          <w:rFonts w:ascii="Times New Roman" w:hAnsi="Times New Roman" w:cs="Times New Roman"/>
        </w:rPr>
        <w:t>,</w:t>
      </w:r>
      <w:r w:rsidRPr="00E04BEE">
        <w:rPr>
          <w:rFonts w:ascii="Times New Roman" w:hAnsi="Times New Roman" w:cs="Times New Roman"/>
        </w:rPr>
        <w:t xml:space="preserve"> los cuales son muy difíciles de prever o controlar; los sistemas financieros de los países son susceptibles a cambios drásticos, ya que los instrumentos de inversión llegan a ser muy fluctuantes y volátiles dentro del mercado bursátil, por lo que las crisis de los sistemas pensionarios de capitalización de todo el mundo atraviesan por una grave crisis de confianza, ya que no garantizan rendimientos ni comparten los riesgos de las inversiones bursátiles. </w:t>
      </w:r>
    </w:p>
    <w:p w14:paraId="41FBD07B" w14:textId="77777777" w:rsidR="00E04BEE" w:rsidRPr="00E04BEE" w:rsidRDefault="00E04BEE" w:rsidP="00E04BEE">
      <w:pPr>
        <w:spacing w:line="360" w:lineRule="auto"/>
        <w:jc w:val="both"/>
        <w:rPr>
          <w:rFonts w:ascii="Times New Roman" w:hAnsi="Times New Roman" w:cs="Times New Roman"/>
        </w:rPr>
      </w:pPr>
    </w:p>
    <w:p w14:paraId="7479C902" w14:textId="7702CA20" w:rsidR="00E04BEE" w:rsidRPr="00E04BEE" w:rsidRDefault="00E04BEE" w:rsidP="00E04BEE">
      <w:pPr>
        <w:spacing w:line="360" w:lineRule="auto"/>
        <w:jc w:val="both"/>
        <w:rPr>
          <w:rFonts w:ascii="Times New Roman" w:hAnsi="Times New Roman" w:cs="Times New Roman"/>
        </w:rPr>
      </w:pPr>
      <w:r w:rsidRPr="00E04BEE">
        <w:rPr>
          <w:rFonts w:ascii="Times New Roman" w:hAnsi="Times New Roman" w:cs="Times New Roman"/>
        </w:rPr>
        <w:t xml:space="preserve">Según el autor, para los académicos el modelo de capitalización individual es un indicio claro de privatizar el servicio público de la seguridad social, ya que es un asunto público en manos privadas que buscan solamente el lucro por parte de los grupos financieros. La característica fundamental del sistema de reparto es que se basaba en una administración centralizada y de beneficio predefinido, dado que en la ley se establecía el monto de la pensión mediante un fondo colectivo que cubría la pensión al final de la vida activa del trabajador. </w:t>
      </w:r>
    </w:p>
    <w:p w14:paraId="3D64DCCB" w14:textId="77777777" w:rsidR="00E04BEE" w:rsidRPr="00E04BEE" w:rsidRDefault="00E04BEE" w:rsidP="00E04BEE">
      <w:pPr>
        <w:spacing w:line="360" w:lineRule="auto"/>
        <w:jc w:val="both"/>
        <w:rPr>
          <w:rFonts w:ascii="Times New Roman" w:hAnsi="Times New Roman" w:cs="Times New Roman"/>
        </w:rPr>
      </w:pPr>
    </w:p>
    <w:p w14:paraId="61772C30" w14:textId="5DC286E8" w:rsidR="00E04BEE" w:rsidRPr="00E04BEE" w:rsidRDefault="00E04BEE" w:rsidP="00E04BEE">
      <w:pPr>
        <w:spacing w:line="360" w:lineRule="auto"/>
        <w:jc w:val="both"/>
        <w:rPr>
          <w:rFonts w:ascii="Times New Roman" w:hAnsi="Times New Roman" w:cs="Times New Roman"/>
        </w:rPr>
      </w:pPr>
      <w:r w:rsidRPr="00E04BEE">
        <w:rPr>
          <w:rFonts w:ascii="Times New Roman" w:hAnsi="Times New Roman" w:cs="Times New Roman"/>
        </w:rPr>
        <w:t xml:space="preserve">Brown (2008),  menciona que los que defienden el sistema de capitalización individual, argumentan que dichos sistemas son más estables que los sistemas de reparto, pero cuestiona sobre este punto, refiriendo a qué es más estable: los tipos de interés o las tasas de fecundidad. La financiación por reparto depende en gran medida del coeficiente demográfico, mientras que el sistema de plena capitalización depende en gran medida de la tasa de rentabilidad de los activos invertidos. </w:t>
      </w:r>
    </w:p>
    <w:p w14:paraId="33E7227A" w14:textId="77777777" w:rsidR="00E04BEE" w:rsidRPr="00E04BEE" w:rsidRDefault="00E04BEE" w:rsidP="00E04BEE">
      <w:pPr>
        <w:spacing w:line="360" w:lineRule="auto"/>
        <w:jc w:val="both"/>
        <w:rPr>
          <w:rFonts w:ascii="Times New Roman" w:hAnsi="Times New Roman" w:cs="Times New Roman"/>
        </w:rPr>
      </w:pPr>
    </w:p>
    <w:p w14:paraId="45227185" w14:textId="0FF00528" w:rsidR="00E04BEE" w:rsidRPr="00E04BEE" w:rsidRDefault="00E04BEE" w:rsidP="00E04BEE">
      <w:pPr>
        <w:spacing w:line="360" w:lineRule="auto"/>
        <w:jc w:val="both"/>
        <w:rPr>
          <w:rFonts w:ascii="Times New Roman" w:hAnsi="Times New Roman" w:cs="Times New Roman"/>
        </w:rPr>
      </w:pPr>
      <w:r w:rsidRPr="00E04BEE">
        <w:rPr>
          <w:rFonts w:ascii="Times New Roman" w:hAnsi="Times New Roman" w:cs="Times New Roman"/>
        </w:rPr>
        <w:t>En un régimen de reparto, los trabajadores activos son cotizantes donde sus aportaciones financian a los trabajadores pensionados; de tal manera que la relación de dependencia entre el número de activos y de pensionados es crucial para la viabilidad financiera del sistema. El problema en este régimen fue que el envejecimiento demográfico presiona a las finanzas de los regímenes, ante un número creciente de pensionados por cada trabajador activo, debido a la falta de acumulación de  reservas durante la fase de operación (Gillion, Turner, Bailey y Latulippe, 2000).</w:t>
      </w:r>
    </w:p>
    <w:p w14:paraId="5569D4EE" w14:textId="77777777" w:rsidR="00E04BEE" w:rsidRPr="00E04BEE" w:rsidRDefault="00E04BEE" w:rsidP="00E04BEE">
      <w:pPr>
        <w:spacing w:line="360" w:lineRule="auto"/>
        <w:jc w:val="both"/>
        <w:rPr>
          <w:rFonts w:ascii="Times New Roman" w:hAnsi="Times New Roman" w:cs="Times New Roman"/>
        </w:rPr>
      </w:pPr>
    </w:p>
    <w:p w14:paraId="581A9197" w14:textId="23F70CB4" w:rsidR="00E04BEE" w:rsidRPr="00E04BEE" w:rsidRDefault="00E04BEE" w:rsidP="00E04BEE">
      <w:pPr>
        <w:spacing w:line="360" w:lineRule="auto"/>
        <w:jc w:val="both"/>
        <w:rPr>
          <w:rFonts w:ascii="Times New Roman" w:hAnsi="Times New Roman" w:cs="Times New Roman"/>
        </w:rPr>
      </w:pPr>
      <w:r w:rsidRPr="00E04BEE">
        <w:rPr>
          <w:rFonts w:ascii="Times New Roman" w:hAnsi="Times New Roman" w:cs="Times New Roman"/>
        </w:rPr>
        <w:t>En los sistemas de pensiones de capitalización individual latinoamericanos, se ahorra para el momento de retiro del propio cotizante, pero es necesario que se den condiciones de competencia, de regulación y de desarrollo financiero que difícilmente se cumplen (Kato, 2008). A fin de cuentas, para que un sistema de pensiones de seguridad social sea viable es imprescindible una economía sana y en expansión (Brown, 2008)</w:t>
      </w:r>
      <w:r w:rsidR="00A86558">
        <w:rPr>
          <w:rFonts w:ascii="Times New Roman" w:hAnsi="Times New Roman" w:cs="Times New Roman"/>
        </w:rPr>
        <w:t>.</w:t>
      </w:r>
    </w:p>
    <w:p w14:paraId="0E50339D" w14:textId="77777777" w:rsidR="00E04BEE" w:rsidRDefault="00E04BEE" w:rsidP="00E04BEE">
      <w:pPr>
        <w:spacing w:line="360" w:lineRule="auto"/>
        <w:jc w:val="both"/>
        <w:rPr>
          <w:rFonts w:ascii="Times New Roman" w:hAnsi="Times New Roman" w:cs="Times New Roman"/>
        </w:rPr>
      </w:pPr>
    </w:p>
    <w:p w14:paraId="6163A932" w14:textId="5A04F5FA" w:rsidR="002C309A" w:rsidRPr="009A1403" w:rsidRDefault="002C309A" w:rsidP="002C309A">
      <w:pPr>
        <w:spacing w:line="360" w:lineRule="auto"/>
        <w:jc w:val="both"/>
        <w:rPr>
          <w:rFonts w:ascii="Times New Roman" w:hAnsi="Times New Roman" w:cs="Times New Roman"/>
          <w:b/>
        </w:rPr>
      </w:pPr>
      <w:r w:rsidRPr="009A1403">
        <w:rPr>
          <w:rFonts w:ascii="Times New Roman" w:hAnsi="Times New Roman" w:cs="Times New Roman"/>
          <w:b/>
        </w:rPr>
        <w:t>La reforma de los sistemas de pensiones en América Latina</w:t>
      </w:r>
    </w:p>
    <w:p w14:paraId="475EC5FF" w14:textId="77777777" w:rsidR="002C309A" w:rsidRPr="002C309A" w:rsidRDefault="002C309A" w:rsidP="002C309A">
      <w:pPr>
        <w:spacing w:line="360" w:lineRule="auto"/>
        <w:jc w:val="both"/>
        <w:rPr>
          <w:rFonts w:ascii="Times New Roman" w:hAnsi="Times New Roman" w:cs="Times New Roman"/>
        </w:rPr>
      </w:pPr>
    </w:p>
    <w:p w14:paraId="19DE9185" w14:textId="5036F2F9" w:rsidR="002C309A" w:rsidRPr="002C309A" w:rsidRDefault="002C309A" w:rsidP="002C309A">
      <w:pPr>
        <w:spacing w:line="360" w:lineRule="auto"/>
        <w:jc w:val="both"/>
        <w:rPr>
          <w:rFonts w:ascii="Times New Roman" w:hAnsi="Times New Roman" w:cs="Times New Roman"/>
        </w:rPr>
      </w:pPr>
      <w:r w:rsidRPr="002C309A">
        <w:rPr>
          <w:rFonts w:ascii="Times New Roman" w:hAnsi="Times New Roman" w:cs="Times New Roman"/>
        </w:rPr>
        <w:t xml:space="preserve">En los </w:t>
      </w:r>
      <w:r w:rsidR="00AC112C">
        <w:rPr>
          <w:rFonts w:ascii="Times New Roman" w:hAnsi="Times New Roman" w:cs="Times New Roman"/>
        </w:rPr>
        <w:t xml:space="preserve">años </w:t>
      </w:r>
      <w:r w:rsidRPr="002C309A">
        <w:rPr>
          <w:rFonts w:ascii="Times New Roman" w:hAnsi="Times New Roman" w:cs="Times New Roman"/>
        </w:rPr>
        <w:t xml:space="preserve">noventa, la mayoría de los países de América Latina reformaron sus sistemas de pensiones debido a la falta de cobertura y a las incertidumbres de los sistemas financieros, aunado a la falta de una sana administración del sector público. De ahí que el carácter de las políticas públicas  es exteriorizar este cambio, en la manera de visualizar el deber que tiene el </w:t>
      </w:r>
      <w:r w:rsidR="00AC112C">
        <w:rPr>
          <w:rFonts w:ascii="Times New Roman" w:hAnsi="Times New Roman" w:cs="Times New Roman"/>
        </w:rPr>
        <w:t>E</w:t>
      </w:r>
      <w:r w:rsidRPr="002C309A">
        <w:rPr>
          <w:rFonts w:ascii="Times New Roman" w:hAnsi="Times New Roman" w:cs="Times New Roman"/>
        </w:rPr>
        <w:t>stado en responder satisfactoriamente a las demandas de una población que se encuentra en constante crecimiento y diversificación.</w:t>
      </w:r>
    </w:p>
    <w:p w14:paraId="0A81528B" w14:textId="77777777" w:rsidR="002C309A" w:rsidRPr="002C309A" w:rsidRDefault="002C309A" w:rsidP="002C309A">
      <w:pPr>
        <w:spacing w:line="360" w:lineRule="auto"/>
        <w:jc w:val="both"/>
        <w:rPr>
          <w:rFonts w:ascii="Times New Roman" w:hAnsi="Times New Roman" w:cs="Times New Roman"/>
        </w:rPr>
      </w:pPr>
    </w:p>
    <w:p w14:paraId="1E484CF4" w14:textId="07A0A1B1" w:rsidR="002C309A" w:rsidRPr="002C309A" w:rsidRDefault="002C309A" w:rsidP="002C309A">
      <w:pPr>
        <w:spacing w:line="360" w:lineRule="auto"/>
        <w:jc w:val="both"/>
        <w:rPr>
          <w:rFonts w:ascii="Times New Roman" w:hAnsi="Times New Roman" w:cs="Times New Roman"/>
        </w:rPr>
      </w:pPr>
      <w:r w:rsidRPr="002C309A">
        <w:rPr>
          <w:rFonts w:ascii="Times New Roman" w:hAnsi="Times New Roman" w:cs="Times New Roman"/>
        </w:rPr>
        <w:t xml:space="preserve"> El proyecto neoliberal ha tratado de desp</w:t>
      </w:r>
      <w:r w:rsidR="0064740F">
        <w:rPr>
          <w:rFonts w:ascii="Times New Roman" w:hAnsi="Times New Roman" w:cs="Times New Roman"/>
        </w:rPr>
        <w:t>lazar la acción reguladora del E</w:t>
      </w:r>
      <w:r w:rsidRPr="002C309A">
        <w:rPr>
          <w:rFonts w:ascii="Times New Roman" w:hAnsi="Times New Roman" w:cs="Times New Roman"/>
        </w:rPr>
        <w:t>stado mediante un enfoque responsable, donde recupere los principios funcionales del mercado, a fin de garantizar un manejo racional de los recursos y un mejoramiento en los niveles de bienestar general.</w:t>
      </w:r>
    </w:p>
    <w:p w14:paraId="56BCF7CB" w14:textId="77777777" w:rsidR="002C309A" w:rsidRPr="002C309A" w:rsidRDefault="002C309A" w:rsidP="002C309A">
      <w:pPr>
        <w:spacing w:line="360" w:lineRule="auto"/>
        <w:jc w:val="both"/>
        <w:rPr>
          <w:rFonts w:ascii="Times New Roman" w:hAnsi="Times New Roman" w:cs="Times New Roman"/>
        </w:rPr>
      </w:pPr>
    </w:p>
    <w:p w14:paraId="2A7B07B4" w14:textId="7C8CC5C2" w:rsidR="002C309A" w:rsidRPr="002C309A" w:rsidRDefault="002C309A" w:rsidP="002C309A">
      <w:pPr>
        <w:spacing w:line="360" w:lineRule="auto"/>
        <w:jc w:val="both"/>
        <w:rPr>
          <w:rFonts w:ascii="Times New Roman" w:hAnsi="Times New Roman" w:cs="Times New Roman"/>
        </w:rPr>
      </w:pPr>
      <w:r w:rsidRPr="002C309A">
        <w:rPr>
          <w:rFonts w:ascii="Times New Roman" w:hAnsi="Times New Roman" w:cs="Times New Roman"/>
        </w:rPr>
        <w:t xml:space="preserve">Otro factor importante fue el cambio demográfico, y el aumento de la expectativa de vida asociado a un doble efecto sobre el sistema de pensiones: un incremento tanto del número absoluto de personas, como del número de años durante los cuales reciben una pensión (Ruiz, 2009).  </w:t>
      </w:r>
    </w:p>
    <w:p w14:paraId="4CE35FE1" w14:textId="77777777" w:rsidR="002C309A" w:rsidRPr="002C309A" w:rsidRDefault="002C309A" w:rsidP="002C309A">
      <w:pPr>
        <w:spacing w:line="360" w:lineRule="auto"/>
        <w:jc w:val="both"/>
        <w:rPr>
          <w:rFonts w:ascii="Times New Roman" w:hAnsi="Times New Roman" w:cs="Times New Roman"/>
        </w:rPr>
      </w:pPr>
    </w:p>
    <w:p w14:paraId="49E20C43" w14:textId="3A9B039F" w:rsidR="002C309A" w:rsidRPr="002C309A" w:rsidRDefault="002C309A" w:rsidP="002C309A">
      <w:pPr>
        <w:spacing w:line="360" w:lineRule="auto"/>
        <w:jc w:val="both"/>
        <w:rPr>
          <w:rFonts w:ascii="Times New Roman" w:hAnsi="Times New Roman" w:cs="Times New Roman"/>
        </w:rPr>
      </w:pPr>
      <w:r w:rsidRPr="002C309A">
        <w:rPr>
          <w:rFonts w:ascii="Times New Roman" w:hAnsi="Times New Roman" w:cs="Times New Roman"/>
        </w:rPr>
        <w:t xml:space="preserve">Mesa-Lago (2004) señala que en la época de los </w:t>
      </w:r>
      <w:r w:rsidR="00AC112C">
        <w:rPr>
          <w:rFonts w:ascii="Times New Roman" w:hAnsi="Times New Roman" w:cs="Times New Roman"/>
        </w:rPr>
        <w:t xml:space="preserve">años </w:t>
      </w:r>
      <w:r w:rsidRPr="002C309A">
        <w:rPr>
          <w:rFonts w:ascii="Times New Roman" w:hAnsi="Times New Roman" w:cs="Times New Roman"/>
        </w:rPr>
        <w:t>ochenta se empezó a reformar  los sistemas tradicionales de protección contra el riesgo de vejez, invalidez y muerte, debido a la inestabilidad macroeconómica, los cambios en el funcionamiento del mercado de trabajo, además de lograr nuevos instrumentos para reducir el creciente déficit de algunos sistemas públicos de seguridad social; por otra parte, se debió a la necesidad de conseguir mayor eficiencia en los instrumentos financieros, asociados a la implantación de sistemas privados de pensiones.</w:t>
      </w:r>
    </w:p>
    <w:p w14:paraId="7FFD31CA" w14:textId="77777777" w:rsidR="002C309A" w:rsidRPr="002C309A" w:rsidRDefault="002C309A" w:rsidP="002C309A">
      <w:pPr>
        <w:spacing w:line="360" w:lineRule="auto"/>
        <w:jc w:val="both"/>
        <w:rPr>
          <w:rFonts w:ascii="Times New Roman" w:hAnsi="Times New Roman" w:cs="Times New Roman"/>
        </w:rPr>
      </w:pPr>
    </w:p>
    <w:p w14:paraId="2F6C0F37" w14:textId="0859C118" w:rsidR="002C309A" w:rsidRDefault="002C309A" w:rsidP="002C309A">
      <w:pPr>
        <w:spacing w:line="360" w:lineRule="auto"/>
        <w:jc w:val="both"/>
        <w:rPr>
          <w:rFonts w:ascii="Times New Roman" w:hAnsi="Times New Roman" w:cs="Times New Roman"/>
        </w:rPr>
      </w:pPr>
      <w:r w:rsidRPr="002C309A">
        <w:rPr>
          <w:rFonts w:ascii="Times New Roman" w:hAnsi="Times New Roman" w:cs="Times New Roman"/>
        </w:rPr>
        <w:t xml:space="preserve">El cambio al sistema privado ha sido más por factores externos que por la bondad del sistema, esto se debe a la carencia de información objetiva que trascienda los fines publicitarios; por lo que para 1981, Chile realizó la primera reforma al sistema de retiro, sustituyendo el sistema de reparto por el de capitalización individual, dando menor importancia al concepto de seguridad social y con él, al de solidaridad intergeneracional. </w:t>
      </w:r>
    </w:p>
    <w:p w14:paraId="06F55220" w14:textId="77777777" w:rsidR="002C309A" w:rsidRPr="002C309A" w:rsidRDefault="002C309A" w:rsidP="002C309A">
      <w:pPr>
        <w:spacing w:line="360" w:lineRule="auto"/>
        <w:jc w:val="both"/>
        <w:rPr>
          <w:rFonts w:ascii="Times New Roman" w:hAnsi="Times New Roman" w:cs="Times New Roman"/>
        </w:rPr>
      </w:pPr>
    </w:p>
    <w:p w14:paraId="5F907C22" w14:textId="76516C43" w:rsidR="002C309A" w:rsidRPr="002C309A" w:rsidRDefault="002C309A" w:rsidP="002C309A">
      <w:pPr>
        <w:spacing w:line="360" w:lineRule="auto"/>
        <w:jc w:val="both"/>
        <w:rPr>
          <w:rFonts w:ascii="Times New Roman" w:hAnsi="Times New Roman" w:cs="Times New Roman"/>
        </w:rPr>
      </w:pPr>
      <w:r w:rsidRPr="002C309A">
        <w:rPr>
          <w:rFonts w:ascii="Times New Roman" w:hAnsi="Times New Roman" w:cs="Times New Roman"/>
        </w:rPr>
        <w:t xml:space="preserve">En la actualidad, el trabajador se convierte en un cliente de las instituciones financieras privadas, quienes administran sus recursos a lo largo de su vida laboral, cobrando una comisión por ese manejo, e invirtiendo esos fondos acumulados en el mercado financiero (Mesa Lago, 2007). </w:t>
      </w:r>
    </w:p>
    <w:p w14:paraId="3A8F77C2" w14:textId="77777777" w:rsidR="002C309A" w:rsidRPr="002C309A" w:rsidRDefault="002C309A" w:rsidP="002C309A">
      <w:pPr>
        <w:spacing w:line="360" w:lineRule="auto"/>
        <w:jc w:val="both"/>
        <w:rPr>
          <w:rFonts w:ascii="Times New Roman" w:hAnsi="Times New Roman" w:cs="Times New Roman"/>
        </w:rPr>
      </w:pPr>
    </w:p>
    <w:p w14:paraId="2CF2187B" w14:textId="75FF04B9" w:rsidR="002C309A" w:rsidRPr="002C309A" w:rsidRDefault="002C309A" w:rsidP="002C309A">
      <w:pPr>
        <w:spacing w:line="360" w:lineRule="auto"/>
        <w:jc w:val="both"/>
        <w:rPr>
          <w:rFonts w:ascii="Times New Roman" w:hAnsi="Times New Roman" w:cs="Times New Roman"/>
        </w:rPr>
      </w:pPr>
      <w:r w:rsidRPr="002C309A">
        <w:rPr>
          <w:rFonts w:ascii="Times New Roman" w:hAnsi="Times New Roman" w:cs="Times New Roman"/>
        </w:rPr>
        <w:t xml:space="preserve">Ni con estas reformas ni con el sistema de reparto pueden corregirse las deficiencias, ya que provienen de la aplicación de políticas que no toman en cuenta la realidad latinoamericana (Rodríguez, 2002). </w:t>
      </w:r>
    </w:p>
    <w:p w14:paraId="791BB6F0" w14:textId="77777777" w:rsidR="009A1403" w:rsidRDefault="009A1403" w:rsidP="00E04BEE">
      <w:pPr>
        <w:spacing w:line="360" w:lineRule="auto"/>
        <w:jc w:val="both"/>
        <w:rPr>
          <w:rFonts w:ascii="Times New Roman" w:hAnsi="Times New Roman" w:cs="Times New Roman"/>
        </w:rPr>
      </w:pPr>
    </w:p>
    <w:p w14:paraId="6AACDCDA" w14:textId="77777777" w:rsidR="00F176AA" w:rsidRDefault="00F176AA" w:rsidP="00E04BEE">
      <w:pPr>
        <w:spacing w:line="360" w:lineRule="auto"/>
        <w:jc w:val="both"/>
        <w:rPr>
          <w:rFonts w:ascii="Times New Roman" w:hAnsi="Times New Roman" w:cs="Times New Roman"/>
        </w:rPr>
      </w:pPr>
    </w:p>
    <w:p w14:paraId="04A17E86" w14:textId="77777777" w:rsidR="00F176AA" w:rsidRDefault="00F176AA" w:rsidP="00E04BEE">
      <w:pPr>
        <w:spacing w:line="360" w:lineRule="auto"/>
        <w:jc w:val="both"/>
        <w:rPr>
          <w:rFonts w:ascii="Times New Roman" w:hAnsi="Times New Roman" w:cs="Times New Roman"/>
        </w:rPr>
      </w:pPr>
    </w:p>
    <w:p w14:paraId="427FA0AA" w14:textId="77777777" w:rsidR="00F176AA" w:rsidRDefault="00F176AA" w:rsidP="00E04BEE">
      <w:pPr>
        <w:spacing w:line="360" w:lineRule="auto"/>
        <w:jc w:val="both"/>
        <w:rPr>
          <w:rFonts w:ascii="Times New Roman" w:hAnsi="Times New Roman" w:cs="Times New Roman"/>
        </w:rPr>
      </w:pPr>
    </w:p>
    <w:p w14:paraId="37461D68" w14:textId="7DA417A8" w:rsidR="009A1403" w:rsidRPr="009A1403" w:rsidRDefault="009A1403" w:rsidP="00E04BEE">
      <w:pPr>
        <w:spacing w:line="360" w:lineRule="auto"/>
        <w:jc w:val="both"/>
        <w:rPr>
          <w:rFonts w:ascii="Times New Roman" w:hAnsi="Times New Roman" w:cs="Times New Roman"/>
          <w:b/>
        </w:rPr>
      </w:pPr>
      <w:r w:rsidRPr="009A1403">
        <w:rPr>
          <w:rFonts w:ascii="Times New Roman" w:hAnsi="Times New Roman" w:cs="Times New Roman"/>
          <w:b/>
        </w:rPr>
        <w:t>Metodología</w:t>
      </w:r>
    </w:p>
    <w:p w14:paraId="3A202008" w14:textId="77777777" w:rsidR="009A1403" w:rsidRPr="00E04BEE" w:rsidRDefault="009A1403" w:rsidP="00E04BEE">
      <w:pPr>
        <w:spacing w:line="360" w:lineRule="auto"/>
        <w:jc w:val="both"/>
        <w:rPr>
          <w:rFonts w:ascii="Times New Roman" w:hAnsi="Times New Roman" w:cs="Times New Roman"/>
        </w:rPr>
      </w:pPr>
    </w:p>
    <w:p w14:paraId="7D02BB82" w14:textId="1AA70ACB" w:rsidR="00F93B11" w:rsidRPr="009A1403" w:rsidRDefault="00F93B11" w:rsidP="00F93B11">
      <w:pPr>
        <w:spacing w:line="360" w:lineRule="auto"/>
        <w:jc w:val="both"/>
        <w:rPr>
          <w:rFonts w:ascii="Times New Roman" w:hAnsi="Times New Roman" w:cs="Times New Roman"/>
          <w:b/>
        </w:rPr>
      </w:pPr>
      <w:r w:rsidRPr="009A1403">
        <w:rPr>
          <w:rFonts w:ascii="Times New Roman" w:hAnsi="Times New Roman" w:cs="Times New Roman"/>
          <w:b/>
        </w:rPr>
        <w:t xml:space="preserve">Aplicación del </w:t>
      </w:r>
      <w:r w:rsidR="00AC112C">
        <w:rPr>
          <w:rFonts w:ascii="Times New Roman" w:hAnsi="Times New Roman" w:cs="Times New Roman"/>
          <w:b/>
        </w:rPr>
        <w:t>d</w:t>
      </w:r>
      <w:r w:rsidRPr="009A1403">
        <w:rPr>
          <w:rFonts w:ascii="Times New Roman" w:hAnsi="Times New Roman" w:cs="Times New Roman"/>
          <w:b/>
        </w:rPr>
        <w:t xml:space="preserve">iseño de </w:t>
      </w:r>
      <w:r w:rsidR="00AC112C">
        <w:rPr>
          <w:rFonts w:ascii="Times New Roman" w:hAnsi="Times New Roman" w:cs="Times New Roman"/>
          <w:b/>
        </w:rPr>
        <w:t>i</w:t>
      </w:r>
      <w:r w:rsidRPr="009A1403">
        <w:rPr>
          <w:rFonts w:ascii="Times New Roman" w:hAnsi="Times New Roman" w:cs="Times New Roman"/>
          <w:b/>
        </w:rPr>
        <w:t>nvestigación</w:t>
      </w:r>
    </w:p>
    <w:p w14:paraId="6CE05B24" w14:textId="77777777" w:rsidR="00F93B11" w:rsidRPr="00F93B11" w:rsidRDefault="00F93B11" w:rsidP="00F93B11">
      <w:pPr>
        <w:spacing w:line="360" w:lineRule="auto"/>
        <w:jc w:val="both"/>
        <w:rPr>
          <w:rFonts w:ascii="Times New Roman" w:hAnsi="Times New Roman" w:cs="Times New Roman"/>
        </w:rPr>
      </w:pPr>
    </w:p>
    <w:p w14:paraId="76156A16" w14:textId="5E8C326E" w:rsidR="00F93B11" w:rsidRPr="00F93B11" w:rsidRDefault="00F93B11" w:rsidP="00F93B11">
      <w:pPr>
        <w:spacing w:line="360" w:lineRule="auto"/>
        <w:jc w:val="both"/>
        <w:rPr>
          <w:rFonts w:ascii="Times New Roman" w:hAnsi="Times New Roman" w:cs="Times New Roman"/>
        </w:rPr>
      </w:pPr>
      <w:r w:rsidRPr="00F93B11">
        <w:rPr>
          <w:rFonts w:ascii="Times New Roman" w:hAnsi="Times New Roman" w:cs="Times New Roman"/>
        </w:rPr>
        <w:t>El diseño de investigación aplicado en este estudio se dio a través de un estudio transversal (medido en un solo tiempo) y un estudio correlacional (por relacionar variables de estudio en una sola medida de tiempo)</w:t>
      </w:r>
      <w:r w:rsidR="00840C14">
        <w:rPr>
          <w:rFonts w:ascii="Times New Roman" w:hAnsi="Times New Roman" w:cs="Times New Roman"/>
        </w:rPr>
        <w:t>,</w:t>
      </w:r>
      <w:r w:rsidRPr="00F93B11">
        <w:rPr>
          <w:rFonts w:ascii="Times New Roman" w:hAnsi="Times New Roman" w:cs="Times New Roman"/>
        </w:rPr>
        <w:t xml:space="preserve"> con la finalidad de obtener parámetros y percepciones respecto al </w:t>
      </w:r>
      <w:r w:rsidR="00840C14">
        <w:rPr>
          <w:rFonts w:ascii="Times New Roman" w:hAnsi="Times New Roman" w:cs="Times New Roman"/>
        </w:rPr>
        <w:t>n</w:t>
      </w:r>
      <w:r w:rsidR="009377D7" w:rsidRPr="009377D7">
        <w:rPr>
          <w:rFonts w:ascii="Times New Roman" w:hAnsi="Times New Roman" w:cs="Times New Roman"/>
        </w:rPr>
        <w:t xml:space="preserve">eoliberalismo y las </w:t>
      </w:r>
      <w:r w:rsidR="00840C14">
        <w:rPr>
          <w:rFonts w:ascii="Times New Roman" w:hAnsi="Times New Roman" w:cs="Times New Roman"/>
        </w:rPr>
        <w:t>p</w:t>
      </w:r>
      <w:r w:rsidR="009377D7" w:rsidRPr="009377D7">
        <w:rPr>
          <w:rFonts w:ascii="Times New Roman" w:hAnsi="Times New Roman" w:cs="Times New Roman"/>
        </w:rPr>
        <w:t xml:space="preserve">olíticas </w:t>
      </w:r>
      <w:r w:rsidR="00840C14">
        <w:rPr>
          <w:rFonts w:ascii="Times New Roman" w:hAnsi="Times New Roman" w:cs="Times New Roman"/>
        </w:rPr>
        <w:t>p</w:t>
      </w:r>
      <w:r w:rsidR="009377D7" w:rsidRPr="009377D7">
        <w:rPr>
          <w:rFonts w:ascii="Times New Roman" w:hAnsi="Times New Roman" w:cs="Times New Roman"/>
        </w:rPr>
        <w:t xml:space="preserve">úblicas en </w:t>
      </w:r>
      <w:r w:rsidR="00840C14">
        <w:rPr>
          <w:rFonts w:ascii="Times New Roman" w:hAnsi="Times New Roman" w:cs="Times New Roman"/>
        </w:rPr>
        <w:t>s</w:t>
      </w:r>
      <w:r w:rsidR="009377D7" w:rsidRPr="009377D7">
        <w:rPr>
          <w:rFonts w:ascii="Times New Roman" w:hAnsi="Times New Roman" w:cs="Times New Roman"/>
        </w:rPr>
        <w:t xml:space="preserve">eguridad </w:t>
      </w:r>
      <w:r w:rsidR="00840C14">
        <w:rPr>
          <w:rFonts w:ascii="Times New Roman" w:hAnsi="Times New Roman" w:cs="Times New Roman"/>
        </w:rPr>
        <w:t>s</w:t>
      </w:r>
      <w:r w:rsidR="009377D7" w:rsidRPr="009377D7">
        <w:rPr>
          <w:rFonts w:ascii="Times New Roman" w:hAnsi="Times New Roman" w:cs="Times New Roman"/>
        </w:rPr>
        <w:t>ocial</w:t>
      </w:r>
      <w:r w:rsidR="009377D7">
        <w:rPr>
          <w:rFonts w:ascii="Times New Roman" w:hAnsi="Times New Roman" w:cs="Times New Roman"/>
        </w:rPr>
        <w:t>.</w:t>
      </w:r>
      <w:r w:rsidRPr="00F93B11">
        <w:rPr>
          <w:rFonts w:ascii="Times New Roman" w:hAnsi="Times New Roman" w:cs="Times New Roman"/>
        </w:rPr>
        <w:t xml:space="preserve"> El análisis, la evaluación y la proyección de los resultados fueron medidos a través del programa SPSS. Los datos, resultados, detalles y conclusiones obtenid</w:t>
      </w:r>
      <w:r w:rsidR="00840C14">
        <w:rPr>
          <w:rFonts w:ascii="Times New Roman" w:hAnsi="Times New Roman" w:cs="Times New Roman"/>
        </w:rPr>
        <w:t>o</w:t>
      </w:r>
      <w:r w:rsidRPr="00F93B11">
        <w:rPr>
          <w:rFonts w:ascii="Times New Roman" w:hAnsi="Times New Roman" w:cs="Times New Roman"/>
        </w:rPr>
        <w:t>s se describen a continuación</w:t>
      </w:r>
      <w:r w:rsidR="00840C14">
        <w:rPr>
          <w:rFonts w:ascii="Times New Roman" w:hAnsi="Times New Roman" w:cs="Times New Roman"/>
        </w:rPr>
        <w:t>,</w:t>
      </w:r>
      <w:r w:rsidRPr="00F93B11">
        <w:rPr>
          <w:rFonts w:ascii="Times New Roman" w:hAnsi="Times New Roman" w:cs="Times New Roman"/>
        </w:rPr>
        <w:t xml:space="preserve"> a través de las medidas de tendencia central y porcentajes.</w:t>
      </w:r>
    </w:p>
    <w:p w14:paraId="559BE63F" w14:textId="77777777" w:rsidR="00E04BEE" w:rsidRPr="00E04BEE" w:rsidRDefault="00E04BEE" w:rsidP="00E04BEE">
      <w:pPr>
        <w:spacing w:line="360" w:lineRule="auto"/>
        <w:jc w:val="both"/>
        <w:rPr>
          <w:rFonts w:ascii="Times New Roman" w:hAnsi="Times New Roman" w:cs="Times New Roman"/>
        </w:rPr>
      </w:pPr>
    </w:p>
    <w:p w14:paraId="58DCE251" w14:textId="3EA6626E" w:rsidR="00E04BEE" w:rsidRPr="009A1403" w:rsidRDefault="00840C14" w:rsidP="00E04BEE">
      <w:pPr>
        <w:spacing w:line="360" w:lineRule="auto"/>
        <w:jc w:val="both"/>
        <w:rPr>
          <w:rFonts w:ascii="Times New Roman" w:hAnsi="Times New Roman" w:cs="Times New Roman"/>
          <w:b/>
        </w:rPr>
      </w:pPr>
      <w:r>
        <w:rPr>
          <w:rFonts w:ascii="Times New Roman" w:hAnsi="Times New Roman" w:cs="Times New Roman"/>
          <w:b/>
        </w:rPr>
        <w:t>O</w:t>
      </w:r>
      <w:r w:rsidR="009377D7" w:rsidRPr="009A1403">
        <w:rPr>
          <w:rFonts w:ascii="Times New Roman" w:hAnsi="Times New Roman" w:cs="Times New Roman"/>
          <w:b/>
        </w:rPr>
        <w:t>bjetivo de la investigación</w:t>
      </w:r>
    </w:p>
    <w:p w14:paraId="01AA325F" w14:textId="77777777" w:rsidR="0065661C" w:rsidRDefault="0065661C" w:rsidP="00E04BEE">
      <w:pPr>
        <w:spacing w:line="360" w:lineRule="auto"/>
        <w:jc w:val="both"/>
        <w:rPr>
          <w:rFonts w:ascii="Times New Roman" w:hAnsi="Times New Roman" w:cs="Times New Roman"/>
        </w:rPr>
      </w:pPr>
    </w:p>
    <w:p w14:paraId="795B0634" w14:textId="72D62F82" w:rsidR="0065661C" w:rsidRDefault="0065661C" w:rsidP="006C4E2F">
      <w:pPr>
        <w:pStyle w:val="Prrafodelista"/>
        <w:numPr>
          <w:ilvl w:val="0"/>
          <w:numId w:val="1"/>
        </w:numPr>
        <w:spacing w:line="360" w:lineRule="auto"/>
        <w:jc w:val="both"/>
        <w:rPr>
          <w:rFonts w:ascii="Times New Roman" w:hAnsi="Times New Roman" w:cs="Times New Roman"/>
        </w:rPr>
      </w:pPr>
      <w:r w:rsidRPr="006C4E2F">
        <w:rPr>
          <w:rFonts w:ascii="Times New Roman" w:hAnsi="Times New Roman" w:cs="Times New Roman"/>
        </w:rPr>
        <w:t>Conocer si las políticas sociales empleadas en el sistema de pensión están logrando estabilidad</w:t>
      </w:r>
      <w:r w:rsidR="006C4E2F" w:rsidRPr="006C4E2F">
        <w:rPr>
          <w:rFonts w:ascii="Times New Roman" w:hAnsi="Times New Roman" w:cs="Times New Roman"/>
        </w:rPr>
        <w:t xml:space="preserve"> financiera y económica para la vejez del trabajador.</w:t>
      </w:r>
    </w:p>
    <w:p w14:paraId="28F514E5" w14:textId="77777777" w:rsidR="006C4E2F" w:rsidRDefault="006C4E2F" w:rsidP="006C4E2F">
      <w:pPr>
        <w:pStyle w:val="Prrafodelista"/>
        <w:spacing w:line="360" w:lineRule="auto"/>
        <w:jc w:val="both"/>
        <w:rPr>
          <w:rFonts w:ascii="Times New Roman" w:hAnsi="Times New Roman" w:cs="Times New Roman"/>
        </w:rPr>
      </w:pPr>
    </w:p>
    <w:p w14:paraId="704E82AD" w14:textId="6698E24E" w:rsidR="006C4E2F" w:rsidRDefault="006C4E2F" w:rsidP="00E04BEE">
      <w:pPr>
        <w:pStyle w:val="Prrafodelista"/>
        <w:numPr>
          <w:ilvl w:val="0"/>
          <w:numId w:val="1"/>
        </w:numPr>
        <w:spacing w:line="360" w:lineRule="auto"/>
        <w:jc w:val="both"/>
        <w:rPr>
          <w:rFonts w:ascii="Times New Roman" w:hAnsi="Times New Roman" w:cs="Times New Roman"/>
        </w:rPr>
      </w:pPr>
      <w:r w:rsidRPr="006C4E2F">
        <w:rPr>
          <w:rFonts w:ascii="Times New Roman" w:hAnsi="Times New Roman" w:cs="Times New Roman"/>
        </w:rPr>
        <w:t>Establecer si el trabajador conoce la importancia de ahorrar para su jubilación dentro del actual sistema pensionario.</w:t>
      </w:r>
    </w:p>
    <w:p w14:paraId="09D455E2" w14:textId="77777777" w:rsidR="009A1403" w:rsidRPr="009A1403" w:rsidRDefault="009A1403" w:rsidP="009A1403">
      <w:pPr>
        <w:spacing w:line="360" w:lineRule="auto"/>
        <w:jc w:val="both"/>
        <w:rPr>
          <w:rFonts w:ascii="Times New Roman" w:hAnsi="Times New Roman" w:cs="Times New Roman"/>
        </w:rPr>
      </w:pPr>
    </w:p>
    <w:p w14:paraId="757BC589" w14:textId="1C9DCB24" w:rsidR="009A1403" w:rsidRPr="009A1403" w:rsidRDefault="009A1403" w:rsidP="009A1403">
      <w:pPr>
        <w:spacing w:line="360" w:lineRule="auto"/>
        <w:jc w:val="both"/>
        <w:rPr>
          <w:rFonts w:ascii="Times New Roman" w:hAnsi="Times New Roman" w:cs="Times New Roman"/>
          <w:b/>
        </w:rPr>
      </w:pPr>
      <w:r w:rsidRPr="009A1403">
        <w:rPr>
          <w:rFonts w:ascii="Times New Roman" w:hAnsi="Times New Roman" w:cs="Times New Roman"/>
          <w:b/>
        </w:rPr>
        <w:t>Instrumento</w:t>
      </w:r>
    </w:p>
    <w:p w14:paraId="28561EBE" w14:textId="77777777" w:rsidR="009A1403" w:rsidRPr="0065661C" w:rsidRDefault="009A1403" w:rsidP="009A1403">
      <w:pPr>
        <w:spacing w:line="360" w:lineRule="auto"/>
        <w:jc w:val="both"/>
        <w:rPr>
          <w:rFonts w:ascii="Times New Roman" w:hAnsi="Times New Roman" w:cs="Times New Roman"/>
        </w:rPr>
      </w:pPr>
    </w:p>
    <w:p w14:paraId="0AE6302D" w14:textId="77777777" w:rsidR="009A1403" w:rsidRDefault="009A1403" w:rsidP="009A1403">
      <w:pPr>
        <w:spacing w:line="360" w:lineRule="auto"/>
        <w:jc w:val="both"/>
        <w:rPr>
          <w:rFonts w:ascii="Times New Roman" w:hAnsi="Times New Roman" w:cs="Times New Roman"/>
        </w:rPr>
      </w:pPr>
      <w:r w:rsidRPr="004F22B4">
        <w:rPr>
          <w:rFonts w:ascii="Times New Roman" w:hAnsi="Times New Roman" w:cs="Times New Roman"/>
        </w:rPr>
        <w:t xml:space="preserve">Se elaboró </w:t>
      </w:r>
      <w:r>
        <w:rPr>
          <w:rFonts w:ascii="Times New Roman" w:hAnsi="Times New Roman" w:cs="Times New Roman"/>
        </w:rPr>
        <w:t>un cuestionario constituido de 3 apartados con 24</w:t>
      </w:r>
      <w:r w:rsidRPr="004F22B4">
        <w:rPr>
          <w:rFonts w:ascii="Times New Roman" w:hAnsi="Times New Roman" w:cs="Times New Roman"/>
        </w:rPr>
        <w:t xml:space="preserve"> reactivos:</w:t>
      </w:r>
    </w:p>
    <w:p w14:paraId="3BD2D6F6" w14:textId="77777777" w:rsidR="009A1403" w:rsidRPr="004F22B4" w:rsidRDefault="009A1403" w:rsidP="009A1403">
      <w:pPr>
        <w:spacing w:line="360" w:lineRule="auto"/>
        <w:jc w:val="both"/>
        <w:rPr>
          <w:rFonts w:ascii="Times New Roman" w:hAnsi="Times New Roman" w:cs="Times New Roman"/>
        </w:rPr>
      </w:pPr>
    </w:p>
    <w:p w14:paraId="228D6014" w14:textId="3B6B32DE" w:rsidR="009A1403" w:rsidRPr="004F22B4" w:rsidRDefault="009A1403" w:rsidP="009A1403">
      <w:pPr>
        <w:spacing w:line="360" w:lineRule="auto"/>
        <w:jc w:val="both"/>
        <w:rPr>
          <w:rFonts w:ascii="Times New Roman" w:hAnsi="Times New Roman" w:cs="Times New Roman"/>
        </w:rPr>
      </w:pPr>
      <w:r w:rsidRPr="004F22B4">
        <w:rPr>
          <w:rFonts w:ascii="Times New Roman" w:hAnsi="Times New Roman" w:cs="Times New Roman"/>
        </w:rPr>
        <w:t>•</w:t>
      </w:r>
      <w:r w:rsidRPr="004F22B4">
        <w:rPr>
          <w:rFonts w:ascii="Times New Roman" w:hAnsi="Times New Roman" w:cs="Times New Roman"/>
        </w:rPr>
        <w:tab/>
        <w:t>El primer apartado referente a las variables socio</w:t>
      </w:r>
      <w:r>
        <w:rPr>
          <w:rFonts w:ascii="Times New Roman" w:hAnsi="Times New Roman" w:cs="Times New Roman"/>
        </w:rPr>
        <w:t xml:space="preserve">económicas, constó de 5 reactivos; 2 </w:t>
      </w:r>
      <w:r w:rsidRPr="004F22B4">
        <w:rPr>
          <w:rFonts w:ascii="Times New Roman" w:hAnsi="Times New Roman" w:cs="Times New Roman"/>
        </w:rPr>
        <w:t xml:space="preserve">en </w:t>
      </w:r>
      <w:r>
        <w:rPr>
          <w:rFonts w:ascii="Times New Roman" w:hAnsi="Times New Roman" w:cs="Times New Roman"/>
        </w:rPr>
        <w:t xml:space="preserve">forma dicotómica (género y ocupación) y 3 en </w:t>
      </w:r>
      <w:r w:rsidRPr="004F22B4">
        <w:rPr>
          <w:rFonts w:ascii="Times New Roman" w:hAnsi="Times New Roman" w:cs="Times New Roman"/>
        </w:rPr>
        <w:t>escala de Likert (edad</w:t>
      </w:r>
      <w:r>
        <w:rPr>
          <w:rFonts w:ascii="Times New Roman" w:hAnsi="Times New Roman" w:cs="Times New Roman"/>
        </w:rPr>
        <w:t>; estado civil</w:t>
      </w:r>
      <w:r w:rsidRPr="004F22B4">
        <w:rPr>
          <w:rFonts w:ascii="Times New Roman" w:hAnsi="Times New Roman" w:cs="Times New Roman"/>
        </w:rPr>
        <w:t xml:space="preserve"> y nivel de estudios)</w:t>
      </w:r>
      <w:r w:rsidR="00BB6E02">
        <w:rPr>
          <w:rFonts w:ascii="Times New Roman" w:hAnsi="Times New Roman" w:cs="Times New Roman"/>
        </w:rPr>
        <w:t>.</w:t>
      </w:r>
    </w:p>
    <w:p w14:paraId="24ABA866" w14:textId="62F59F31" w:rsidR="009A1403" w:rsidRPr="004F22B4" w:rsidRDefault="009A1403" w:rsidP="009A1403">
      <w:pPr>
        <w:spacing w:line="360" w:lineRule="auto"/>
        <w:jc w:val="both"/>
        <w:rPr>
          <w:rFonts w:ascii="Times New Roman" w:hAnsi="Times New Roman" w:cs="Times New Roman"/>
        </w:rPr>
      </w:pPr>
      <w:r w:rsidRPr="004F22B4">
        <w:rPr>
          <w:rFonts w:ascii="Times New Roman" w:hAnsi="Times New Roman" w:cs="Times New Roman"/>
        </w:rPr>
        <w:t>•</w:t>
      </w:r>
      <w:r w:rsidRPr="004F22B4">
        <w:rPr>
          <w:rFonts w:ascii="Times New Roman" w:hAnsi="Times New Roman" w:cs="Times New Roman"/>
        </w:rPr>
        <w:tab/>
        <w:t>El segundo apartado en referencia a la</w:t>
      </w:r>
      <w:r>
        <w:rPr>
          <w:rFonts w:ascii="Times New Roman" w:hAnsi="Times New Roman" w:cs="Times New Roman"/>
        </w:rPr>
        <w:t>s</w:t>
      </w:r>
      <w:r w:rsidRPr="004F22B4">
        <w:rPr>
          <w:rFonts w:ascii="Times New Roman" w:hAnsi="Times New Roman" w:cs="Times New Roman"/>
        </w:rPr>
        <w:t xml:space="preserve"> </w:t>
      </w:r>
      <w:r>
        <w:rPr>
          <w:rFonts w:ascii="Times New Roman" w:hAnsi="Times New Roman" w:cs="Times New Roman"/>
        </w:rPr>
        <w:t>políticas públicas sociales y financieras</w:t>
      </w:r>
      <w:r w:rsidRPr="004F22B4">
        <w:rPr>
          <w:rFonts w:ascii="Times New Roman" w:hAnsi="Times New Roman" w:cs="Times New Roman"/>
        </w:rPr>
        <w:t xml:space="preserve"> constó de </w:t>
      </w:r>
      <w:r>
        <w:rPr>
          <w:rFonts w:ascii="Times New Roman" w:hAnsi="Times New Roman" w:cs="Times New Roman"/>
        </w:rPr>
        <w:t>11</w:t>
      </w:r>
      <w:r w:rsidR="00BB6E02">
        <w:rPr>
          <w:rFonts w:ascii="Times New Roman" w:hAnsi="Times New Roman" w:cs="Times New Roman"/>
        </w:rPr>
        <w:t xml:space="preserve"> </w:t>
      </w:r>
      <w:r w:rsidRPr="004F22B4">
        <w:rPr>
          <w:rFonts w:ascii="Times New Roman" w:hAnsi="Times New Roman" w:cs="Times New Roman"/>
        </w:rPr>
        <w:t>reactivos</w:t>
      </w:r>
      <w:r w:rsidR="00BB6E02">
        <w:rPr>
          <w:rFonts w:ascii="Times New Roman" w:hAnsi="Times New Roman" w:cs="Times New Roman"/>
        </w:rPr>
        <w:t>,</w:t>
      </w:r>
      <w:r w:rsidRPr="004F22B4">
        <w:rPr>
          <w:rFonts w:ascii="Times New Roman" w:hAnsi="Times New Roman" w:cs="Times New Roman"/>
        </w:rPr>
        <w:t xml:space="preserve"> cuya opción de respuestas </w:t>
      </w:r>
      <w:r>
        <w:rPr>
          <w:rFonts w:ascii="Times New Roman" w:hAnsi="Times New Roman" w:cs="Times New Roman"/>
        </w:rPr>
        <w:t>fueron todas</w:t>
      </w:r>
      <w:r w:rsidRPr="004F22B4">
        <w:rPr>
          <w:rFonts w:ascii="Times New Roman" w:hAnsi="Times New Roman" w:cs="Times New Roman"/>
        </w:rPr>
        <w:t xml:space="preserve"> en escala de Likert</w:t>
      </w:r>
      <w:r w:rsidR="00BB6E02">
        <w:rPr>
          <w:rFonts w:ascii="Times New Roman" w:hAnsi="Times New Roman" w:cs="Times New Roman"/>
        </w:rPr>
        <w:t>.</w:t>
      </w:r>
    </w:p>
    <w:p w14:paraId="68680F51" w14:textId="27992840" w:rsidR="009A1403" w:rsidRPr="004F22B4" w:rsidRDefault="009A1403" w:rsidP="009A1403">
      <w:pPr>
        <w:spacing w:line="360" w:lineRule="auto"/>
        <w:jc w:val="both"/>
        <w:rPr>
          <w:rFonts w:ascii="Times New Roman" w:hAnsi="Times New Roman" w:cs="Times New Roman"/>
        </w:rPr>
      </w:pPr>
      <w:r w:rsidRPr="004F22B4">
        <w:rPr>
          <w:rFonts w:ascii="Times New Roman" w:hAnsi="Times New Roman" w:cs="Times New Roman"/>
        </w:rPr>
        <w:t>•</w:t>
      </w:r>
      <w:r w:rsidRPr="004F22B4">
        <w:rPr>
          <w:rFonts w:ascii="Times New Roman" w:hAnsi="Times New Roman" w:cs="Times New Roman"/>
        </w:rPr>
        <w:tab/>
        <w:t xml:space="preserve">El tercer apartado se relaciona con la variable </w:t>
      </w:r>
      <w:r>
        <w:rPr>
          <w:rFonts w:ascii="Times New Roman" w:hAnsi="Times New Roman" w:cs="Times New Roman"/>
        </w:rPr>
        <w:t>ahorro-crédito,</w:t>
      </w:r>
      <w:r w:rsidRPr="004F22B4">
        <w:rPr>
          <w:rFonts w:ascii="Times New Roman" w:hAnsi="Times New Roman" w:cs="Times New Roman"/>
        </w:rPr>
        <w:t xml:space="preserve"> donde se aplicaron </w:t>
      </w:r>
      <w:r>
        <w:rPr>
          <w:rFonts w:ascii="Times New Roman" w:hAnsi="Times New Roman" w:cs="Times New Roman"/>
        </w:rPr>
        <w:t>6</w:t>
      </w:r>
      <w:r w:rsidRPr="004F22B4">
        <w:rPr>
          <w:rFonts w:ascii="Times New Roman" w:hAnsi="Times New Roman" w:cs="Times New Roman"/>
        </w:rPr>
        <w:t xml:space="preserve"> reactivos</w:t>
      </w:r>
      <w:r w:rsidR="00BB6E02">
        <w:rPr>
          <w:rFonts w:ascii="Times New Roman" w:hAnsi="Times New Roman" w:cs="Times New Roman"/>
        </w:rPr>
        <w:t>,</w:t>
      </w:r>
      <w:r w:rsidRPr="004F22B4">
        <w:rPr>
          <w:rFonts w:ascii="Times New Roman" w:hAnsi="Times New Roman" w:cs="Times New Roman"/>
        </w:rPr>
        <w:t xml:space="preserve"> cuya opción de respuestas fue </w:t>
      </w:r>
      <w:r>
        <w:rPr>
          <w:rFonts w:ascii="Times New Roman" w:hAnsi="Times New Roman" w:cs="Times New Roman"/>
        </w:rPr>
        <w:t xml:space="preserve">en </w:t>
      </w:r>
      <w:r w:rsidRPr="004F22B4">
        <w:rPr>
          <w:rFonts w:ascii="Times New Roman" w:hAnsi="Times New Roman" w:cs="Times New Roman"/>
        </w:rPr>
        <w:t>escala de Likert.</w:t>
      </w:r>
    </w:p>
    <w:p w14:paraId="2CE318B1" w14:textId="77777777" w:rsidR="00E04BEE" w:rsidRDefault="00E04BEE" w:rsidP="00E04BEE">
      <w:pPr>
        <w:spacing w:line="360" w:lineRule="auto"/>
        <w:jc w:val="both"/>
        <w:rPr>
          <w:rFonts w:ascii="Times New Roman" w:hAnsi="Times New Roman" w:cs="Times New Roman"/>
        </w:rPr>
      </w:pPr>
    </w:p>
    <w:p w14:paraId="73E135FC" w14:textId="77777777" w:rsidR="00F176AA" w:rsidRPr="00E04BEE" w:rsidRDefault="00F176AA" w:rsidP="00E04BEE">
      <w:pPr>
        <w:spacing w:line="360" w:lineRule="auto"/>
        <w:jc w:val="both"/>
        <w:rPr>
          <w:rFonts w:ascii="Times New Roman" w:hAnsi="Times New Roman" w:cs="Times New Roman"/>
        </w:rPr>
      </w:pPr>
    </w:p>
    <w:p w14:paraId="64CBAA3F" w14:textId="22B7A66E" w:rsidR="0065661C" w:rsidRPr="00F176AA" w:rsidRDefault="0065661C" w:rsidP="0065661C">
      <w:pPr>
        <w:spacing w:line="360" w:lineRule="auto"/>
        <w:jc w:val="both"/>
        <w:rPr>
          <w:rFonts w:ascii="Times New Roman" w:hAnsi="Times New Roman" w:cs="Times New Roman"/>
          <w:b/>
        </w:rPr>
      </w:pPr>
      <w:r w:rsidRPr="009A1403">
        <w:rPr>
          <w:rFonts w:ascii="Times New Roman" w:hAnsi="Times New Roman" w:cs="Times New Roman"/>
          <w:b/>
        </w:rPr>
        <w:t>Muestra</w:t>
      </w:r>
    </w:p>
    <w:p w14:paraId="5B4A5FF8" w14:textId="5E6006AE" w:rsidR="009A1403" w:rsidRDefault="0065661C" w:rsidP="0065661C">
      <w:pPr>
        <w:spacing w:line="360" w:lineRule="auto"/>
        <w:jc w:val="both"/>
        <w:rPr>
          <w:rFonts w:ascii="Times New Roman" w:hAnsi="Times New Roman" w:cs="Times New Roman"/>
        </w:rPr>
      </w:pPr>
      <w:r w:rsidRPr="0065661C">
        <w:rPr>
          <w:rFonts w:ascii="Times New Roman" w:hAnsi="Times New Roman" w:cs="Times New Roman"/>
        </w:rPr>
        <w:t xml:space="preserve">El estudio consistió en la aplicación de un total de </w:t>
      </w:r>
      <w:r w:rsidR="006C4E2F">
        <w:rPr>
          <w:rFonts w:ascii="Times New Roman" w:hAnsi="Times New Roman" w:cs="Times New Roman"/>
        </w:rPr>
        <w:t>6</w:t>
      </w:r>
      <w:r w:rsidRPr="0065661C">
        <w:rPr>
          <w:rFonts w:ascii="Times New Roman" w:hAnsi="Times New Roman" w:cs="Times New Roman"/>
        </w:rPr>
        <w:t xml:space="preserve">00 encuestas distribuidas en el área metropolitana de la </w:t>
      </w:r>
      <w:r w:rsidR="000322C6">
        <w:rPr>
          <w:rFonts w:ascii="Times New Roman" w:hAnsi="Times New Roman" w:cs="Times New Roman"/>
        </w:rPr>
        <w:t>c</w:t>
      </w:r>
      <w:r w:rsidRPr="0065661C">
        <w:rPr>
          <w:rFonts w:ascii="Times New Roman" w:hAnsi="Times New Roman" w:cs="Times New Roman"/>
        </w:rPr>
        <w:t xml:space="preserve">iudad de Monterrey, en un nicho de personas de </w:t>
      </w:r>
      <w:r w:rsidR="006C4E2F">
        <w:rPr>
          <w:rFonts w:ascii="Times New Roman" w:hAnsi="Times New Roman" w:cs="Times New Roman"/>
        </w:rPr>
        <w:t>18</w:t>
      </w:r>
      <w:r w:rsidRPr="0065661C">
        <w:rPr>
          <w:rFonts w:ascii="Times New Roman" w:hAnsi="Times New Roman" w:cs="Times New Roman"/>
        </w:rPr>
        <w:t xml:space="preserve"> años en adelante</w:t>
      </w:r>
      <w:r w:rsidR="000322C6">
        <w:rPr>
          <w:rFonts w:ascii="Times New Roman" w:hAnsi="Times New Roman" w:cs="Times New Roman"/>
        </w:rPr>
        <w:t>; asimismo, l</w:t>
      </w:r>
      <w:r w:rsidRPr="0065661C">
        <w:rPr>
          <w:rFonts w:ascii="Times New Roman" w:hAnsi="Times New Roman" w:cs="Times New Roman"/>
        </w:rPr>
        <w:t>a distribución específica del total d</w:t>
      </w:r>
      <w:r w:rsidR="006C4E2F">
        <w:rPr>
          <w:rFonts w:ascii="Times New Roman" w:hAnsi="Times New Roman" w:cs="Times New Roman"/>
        </w:rPr>
        <w:t xml:space="preserve">e encuestas se eligió para </w:t>
      </w:r>
      <w:r w:rsidR="000322C6">
        <w:rPr>
          <w:rFonts w:ascii="Times New Roman" w:hAnsi="Times New Roman" w:cs="Times New Roman"/>
        </w:rPr>
        <w:t>la mencionada ciudad</w:t>
      </w:r>
      <w:r w:rsidR="006C4E2F">
        <w:rPr>
          <w:rFonts w:ascii="Times New Roman" w:hAnsi="Times New Roman" w:cs="Times New Roman"/>
        </w:rPr>
        <w:t>.</w:t>
      </w:r>
      <w:r w:rsidRPr="0065661C">
        <w:rPr>
          <w:rFonts w:ascii="Times New Roman" w:hAnsi="Times New Roman" w:cs="Times New Roman"/>
        </w:rPr>
        <w:t xml:space="preserve"> </w:t>
      </w:r>
    </w:p>
    <w:p w14:paraId="6FF8D059" w14:textId="77777777" w:rsidR="00605B67" w:rsidRDefault="00605B67" w:rsidP="0065661C">
      <w:pPr>
        <w:spacing w:line="360" w:lineRule="auto"/>
        <w:jc w:val="both"/>
        <w:rPr>
          <w:rFonts w:ascii="Times New Roman" w:hAnsi="Times New Roman" w:cs="Times New Roman"/>
        </w:rPr>
      </w:pPr>
    </w:p>
    <w:p w14:paraId="1F4861D0" w14:textId="5CA0CC69" w:rsidR="00BE22E2" w:rsidRPr="00F176AA" w:rsidRDefault="00605B67" w:rsidP="0065661C">
      <w:pPr>
        <w:spacing w:line="360" w:lineRule="auto"/>
        <w:jc w:val="both"/>
        <w:rPr>
          <w:rFonts w:ascii="Times New Roman" w:hAnsi="Times New Roman" w:cs="Times New Roman"/>
          <w:b/>
          <w:color w:val="000000" w:themeColor="text1"/>
        </w:rPr>
      </w:pPr>
      <w:r w:rsidRPr="0089711E">
        <w:rPr>
          <w:rFonts w:ascii="Times New Roman" w:hAnsi="Times New Roman" w:cs="Times New Roman"/>
          <w:b/>
          <w:color w:val="000000" w:themeColor="text1"/>
        </w:rPr>
        <w:t xml:space="preserve">Características de la </w:t>
      </w:r>
      <w:r w:rsidR="00BB6E02">
        <w:rPr>
          <w:rFonts w:ascii="Times New Roman" w:hAnsi="Times New Roman" w:cs="Times New Roman"/>
          <w:b/>
          <w:color w:val="000000" w:themeColor="text1"/>
        </w:rPr>
        <w:t>m</w:t>
      </w:r>
      <w:r w:rsidRPr="0089711E">
        <w:rPr>
          <w:rFonts w:ascii="Times New Roman" w:hAnsi="Times New Roman" w:cs="Times New Roman"/>
          <w:b/>
          <w:color w:val="000000" w:themeColor="text1"/>
        </w:rPr>
        <w:t>uestra</w:t>
      </w:r>
    </w:p>
    <w:p w14:paraId="548EA90F" w14:textId="39142D75" w:rsidR="00605B67" w:rsidRDefault="00BE22E2" w:rsidP="0065661C">
      <w:pPr>
        <w:spacing w:line="360" w:lineRule="auto"/>
        <w:jc w:val="both"/>
        <w:rPr>
          <w:rFonts w:ascii="Times New Roman" w:hAnsi="Times New Roman" w:cs="Times New Roman"/>
        </w:rPr>
      </w:pPr>
      <w:r w:rsidRPr="00BE22E2">
        <w:rPr>
          <w:rFonts w:ascii="Times New Roman" w:hAnsi="Times New Roman" w:cs="Times New Roman"/>
        </w:rPr>
        <w:t>Dentro del primer apartado de este estudio</w:t>
      </w:r>
      <w:r w:rsidR="000322C6">
        <w:rPr>
          <w:rFonts w:ascii="Times New Roman" w:hAnsi="Times New Roman" w:cs="Times New Roman"/>
        </w:rPr>
        <w:t xml:space="preserve"> y con relación </w:t>
      </w:r>
      <w:r w:rsidRPr="00BE22E2">
        <w:rPr>
          <w:rFonts w:ascii="Times New Roman" w:hAnsi="Times New Roman" w:cs="Times New Roman"/>
        </w:rPr>
        <w:t>al perfil demográfico de los clientes encuestados</w:t>
      </w:r>
      <w:r w:rsidR="000322C6">
        <w:rPr>
          <w:rFonts w:ascii="Times New Roman" w:hAnsi="Times New Roman" w:cs="Times New Roman"/>
        </w:rPr>
        <w:t>,</w:t>
      </w:r>
      <w:r w:rsidR="00D21C11">
        <w:rPr>
          <w:rFonts w:ascii="Times New Roman" w:hAnsi="Times New Roman" w:cs="Times New Roman"/>
        </w:rPr>
        <w:t xml:space="preserve"> 10</w:t>
      </w:r>
      <w:r w:rsidR="000322C6">
        <w:rPr>
          <w:rFonts w:ascii="Times New Roman" w:hAnsi="Times New Roman" w:cs="Times New Roman"/>
        </w:rPr>
        <w:t xml:space="preserve"> </w:t>
      </w:r>
      <w:r w:rsidR="00D21C11">
        <w:rPr>
          <w:rFonts w:ascii="Times New Roman" w:hAnsi="Times New Roman" w:cs="Times New Roman"/>
        </w:rPr>
        <w:t xml:space="preserve">% de </w:t>
      </w:r>
      <w:r w:rsidR="000322C6">
        <w:rPr>
          <w:rFonts w:ascii="Times New Roman" w:hAnsi="Times New Roman" w:cs="Times New Roman"/>
        </w:rPr>
        <w:t>ellos</w:t>
      </w:r>
      <w:r w:rsidR="00D21C11">
        <w:rPr>
          <w:rFonts w:ascii="Times New Roman" w:hAnsi="Times New Roman" w:cs="Times New Roman"/>
        </w:rPr>
        <w:t xml:space="preserve"> </w:t>
      </w:r>
      <w:r w:rsidRPr="00BE22E2">
        <w:rPr>
          <w:rFonts w:ascii="Times New Roman" w:hAnsi="Times New Roman" w:cs="Times New Roman"/>
        </w:rPr>
        <w:t>se estableci</w:t>
      </w:r>
      <w:r w:rsidR="000322C6">
        <w:rPr>
          <w:rFonts w:ascii="Times New Roman" w:hAnsi="Times New Roman" w:cs="Times New Roman"/>
        </w:rPr>
        <w:t>eron dentro de</w:t>
      </w:r>
      <w:r w:rsidRPr="00BE22E2">
        <w:rPr>
          <w:rFonts w:ascii="Times New Roman" w:hAnsi="Times New Roman" w:cs="Times New Roman"/>
        </w:rPr>
        <w:t xml:space="preserve"> un rango </w:t>
      </w:r>
      <w:r w:rsidR="000322C6">
        <w:rPr>
          <w:rFonts w:ascii="Times New Roman" w:hAnsi="Times New Roman" w:cs="Times New Roman"/>
        </w:rPr>
        <w:t>de</w:t>
      </w:r>
      <w:r w:rsidR="00D21C11">
        <w:rPr>
          <w:rFonts w:ascii="Times New Roman" w:hAnsi="Times New Roman" w:cs="Times New Roman"/>
        </w:rPr>
        <w:t xml:space="preserve"> 18</w:t>
      </w:r>
      <w:r w:rsidRPr="00BE22E2">
        <w:rPr>
          <w:rFonts w:ascii="Times New Roman" w:hAnsi="Times New Roman" w:cs="Times New Roman"/>
        </w:rPr>
        <w:t xml:space="preserve"> </w:t>
      </w:r>
      <w:r w:rsidR="00D21C11">
        <w:rPr>
          <w:rFonts w:ascii="Times New Roman" w:hAnsi="Times New Roman" w:cs="Times New Roman"/>
        </w:rPr>
        <w:t>a</w:t>
      </w:r>
      <w:r w:rsidRPr="00BE22E2">
        <w:rPr>
          <w:rFonts w:ascii="Times New Roman" w:hAnsi="Times New Roman" w:cs="Times New Roman"/>
        </w:rPr>
        <w:t xml:space="preserve"> </w:t>
      </w:r>
      <w:r w:rsidR="008A4F45">
        <w:rPr>
          <w:rFonts w:ascii="Times New Roman" w:hAnsi="Times New Roman" w:cs="Times New Roman"/>
        </w:rPr>
        <w:t>2</w:t>
      </w:r>
      <w:r w:rsidRPr="00BE22E2">
        <w:rPr>
          <w:rFonts w:ascii="Times New Roman" w:hAnsi="Times New Roman" w:cs="Times New Roman"/>
        </w:rPr>
        <w:t>5 años</w:t>
      </w:r>
      <w:r w:rsidR="00D21C11">
        <w:rPr>
          <w:rFonts w:ascii="Times New Roman" w:hAnsi="Times New Roman" w:cs="Times New Roman"/>
        </w:rPr>
        <w:t xml:space="preserve"> aproximadamente;</w:t>
      </w:r>
      <w:r w:rsidRPr="00BE22E2">
        <w:rPr>
          <w:rFonts w:ascii="Times New Roman" w:hAnsi="Times New Roman" w:cs="Times New Roman"/>
        </w:rPr>
        <w:t xml:space="preserve">  </w:t>
      </w:r>
      <w:r w:rsidR="00D21C11">
        <w:rPr>
          <w:rFonts w:ascii="Times New Roman" w:hAnsi="Times New Roman" w:cs="Times New Roman"/>
        </w:rPr>
        <w:t>41</w:t>
      </w:r>
      <w:r w:rsidR="000322C6">
        <w:rPr>
          <w:rFonts w:ascii="Times New Roman" w:hAnsi="Times New Roman" w:cs="Times New Roman"/>
        </w:rPr>
        <w:t xml:space="preserve"> </w:t>
      </w:r>
      <w:r w:rsidR="00D21C11">
        <w:rPr>
          <w:rFonts w:ascii="Times New Roman" w:hAnsi="Times New Roman" w:cs="Times New Roman"/>
        </w:rPr>
        <w:t>%</w:t>
      </w:r>
      <w:r w:rsidRPr="00BE22E2">
        <w:rPr>
          <w:rFonts w:ascii="Times New Roman" w:hAnsi="Times New Roman" w:cs="Times New Roman"/>
        </w:rPr>
        <w:t xml:space="preserve"> se ubicó entre </w:t>
      </w:r>
      <w:r w:rsidR="000322C6">
        <w:rPr>
          <w:rFonts w:ascii="Times New Roman" w:hAnsi="Times New Roman" w:cs="Times New Roman"/>
        </w:rPr>
        <w:t xml:space="preserve">los </w:t>
      </w:r>
      <w:r w:rsidR="008A4F45">
        <w:rPr>
          <w:rFonts w:ascii="Times New Roman" w:hAnsi="Times New Roman" w:cs="Times New Roman"/>
        </w:rPr>
        <w:t>26 y 33</w:t>
      </w:r>
      <w:r w:rsidR="00D21C11">
        <w:rPr>
          <w:rFonts w:ascii="Times New Roman" w:hAnsi="Times New Roman" w:cs="Times New Roman"/>
        </w:rPr>
        <w:t xml:space="preserve"> años</w:t>
      </w:r>
      <w:r w:rsidRPr="00BE22E2">
        <w:rPr>
          <w:rFonts w:ascii="Times New Roman" w:hAnsi="Times New Roman" w:cs="Times New Roman"/>
        </w:rPr>
        <w:t xml:space="preserve">; </w:t>
      </w:r>
      <w:r w:rsidR="00D21C11">
        <w:rPr>
          <w:rFonts w:ascii="Times New Roman" w:hAnsi="Times New Roman" w:cs="Times New Roman"/>
        </w:rPr>
        <w:t>35</w:t>
      </w:r>
      <w:r w:rsidR="000322C6">
        <w:rPr>
          <w:rFonts w:ascii="Times New Roman" w:hAnsi="Times New Roman" w:cs="Times New Roman"/>
        </w:rPr>
        <w:t xml:space="preserve"> </w:t>
      </w:r>
      <w:r w:rsidRPr="00BE22E2">
        <w:rPr>
          <w:rFonts w:ascii="Times New Roman" w:hAnsi="Times New Roman" w:cs="Times New Roman"/>
        </w:rPr>
        <w:t xml:space="preserve">% entre </w:t>
      </w:r>
      <w:r w:rsidR="008A4F45">
        <w:rPr>
          <w:rFonts w:ascii="Times New Roman" w:hAnsi="Times New Roman" w:cs="Times New Roman"/>
        </w:rPr>
        <w:t xml:space="preserve">34 a 41 años; </w:t>
      </w:r>
      <w:r w:rsidR="00D21C11">
        <w:rPr>
          <w:rFonts w:ascii="Times New Roman" w:hAnsi="Times New Roman" w:cs="Times New Roman"/>
        </w:rPr>
        <w:t>1</w:t>
      </w:r>
      <w:r w:rsidRPr="00BE22E2">
        <w:rPr>
          <w:rFonts w:ascii="Times New Roman" w:hAnsi="Times New Roman" w:cs="Times New Roman"/>
        </w:rPr>
        <w:t>4</w:t>
      </w:r>
      <w:r w:rsidR="000322C6">
        <w:rPr>
          <w:rFonts w:ascii="Times New Roman" w:hAnsi="Times New Roman" w:cs="Times New Roman"/>
        </w:rPr>
        <w:t xml:space="preserve"> </w:t>
      </w:r>
      <w:r w:rsidRPr="00BE22E2">
        <w:rPr>
          <w:rFonts w:ascii="Times New Roman" w:hAnsi="Times New Roman" w:cs="Times New Roman"/>
        </w:rPr>
        <w:t xml:space="preserve">% de los encuestados se situó </w:t>
      </w:r>
      <w:r w:rsidR="000322C6">
        <w:rPr>
          <w:rFonts w:ascii="Times New Roman" w:hAnsi="Times New Roman" w:cs="Times New Roman"/>
        </w:rPr>
        <w:t>dentro d</w:t>
      </w:r>
      <w:r w:rsidRPr="00BE22E2">
        <w:rPr>
          <w:rFonts w:ascii="Times New Roman" w:hAnsi="Times New Roman" w:cs="Times New Roman"/>
        </w:rPr>
        <w:t xml:space="preserve">el rango de </w:t>
      </w:r>
      <w:r w:rsidR="008A4F45">
        <w:rPr>
          <w:rFonts w:ascii="Times New Roman" w:hAnsi="Times New Roman" w:cs="Times New Roman"/>
        </w:rPr>
        <w:t>42 a 49</w:t>
      </w:r>
      <w:r w:rsidRPr="00BE22E2">
        <w:rPr>
          <w:rFonts w:ascii="Times New Roman" w:hAnsi="Times New Roman" w:cs="Times New Roman"/>
        </w:rPr>
        <w:t xml:space="preserve"> años. Dentro de </w:t>
      </w:r>
      <w:r w:rsidR="000322C6">
        <w:rPr>
          <w:rFonts w:ascii="Times New Roman" w:hAnsi="Times New Roman" w:cs="Times New Roman"/>
        </w:rPr>
        <w:t>e</w:t>
      </w:r>
      <w:r w:rsidRPr="00BE22E2">
        <w:rPr>
          <w:rFonts w:ascii="Times New Roman" w:hAnsi="Times New Roman" w:cs="Times New Roman"/>
        </w:rPr>
        <w:t xml:space="preserve">ste perfil, </w:t>
      </w:r>
      <w:r w:rsidR="00D21C11">
        <w:rPr>
          <w:rFonts w:ascii="Times New Roman" w:hAnsi="Times New Roman" w:cs="Times New Roman"/>
        </w:rPr>
        <w:t>55</w:t>
      </w:r>
      <w:r w:rsidR="000322C6">
        <w:rPr>
          <w:rFonts w:ascii="Times New Roman" w:hAnsi="Times New Roman" w:cs="Times New Roman"/>
        </w:rPr>
        <w:t xml:space="preserve"> </w:t>
      </w:r>
      <w:r w:rsidRPr="00BE22E2">
        <w:rPr>
          <w:rFonts w:ascii="Times New Roman" w:hAnsi="Times New Roman" w:cs="Times New Roman"/>
        </w:rPr>
        <w:t xml:space="preserve">% </w:t>
      </w:r>
      <w:r w:rsidR="000322C6">
        <w:rPr>
          <w:rFonts w:ascii="Times New Roman" w:hAnsi="Times New Roman" w:cs="Times New Roman"/>
        </w:rPr>
        <w:t>eran del género</w:t>
      </w:r>
      <w:r w:rsidRPr="00BE22E2">
        <w:rPr>
          <w:rFonts w:ascii="Times New Roman" w:hAnsi="Times New Roman" w:cs="Times New Roman"/>
        </w:rPr>
        <w:t xml:space="preserve"> masculino y </w:t>
      </w:r>
      <w:r w:rsidR="00D21C11">
        <w:rPr>
          <w:rFonts w:ascii="Times New Roman" w:hAnsi="Times New Roman" w:cs="Times New Roman"/>
        </w:rPr>
        <w:t>45</w:t>
      </w:r>
      <w:r w:rsidR="000322C6">
        <w:rPr>
          <w:rFonts w:ascii="Times New Roman" w:hAnsi="Times New Roman" w:cs="Times New Roman"/>
        </w:rPr>
        <w:t xml:space="preserve"> </w:t>
      </w:r>
      <w:r w:rsidR="00D21C11">
        <w:rPr>
          <w:rFonts w:ascii="Times New Roman" w:hAnsi="Times New Roman" w:cs="Times New Roman"/>
        </w:rPr>
        <w:t>%</w:t>
      </w:r>
      <w:r w:rsidR="000322C6">
        <w:rPr>
          <w:rFonts w:ascii="Times New Roman" w:hAnsi="Times New Roman" w:cs="Times New Roman"/>
        </w:rPr>
        <w:t xml:space="preserve"> del género femenino</w:t>
      </w:r>
      <w:r w:rsidR="00D21C11">
        <w:rPr>
          <w:rFonts w:ascii="Times New Roman" w:hAnsi="Times New Roman" w:cs="Times New Roman"/>
        </w:rPr>
        <w:t xml:space="preserve">. </w:t>
      </w:r>
      <w:r w:rsidRPr="00BE22E2">
        <w:rPr>
          <w:rFonts w:ascii="Times New Roman" w:hAnsi="Times New Roman" w:cs="Times New Roman"/>
        </w:rPr>
        <w:t xml:space="preserve">Los porcentajes obtenidos de acuerdo al nivel de educación en orden descendente fueron los siguientes: </w:t>
      </w:r>
      <w:r w:rsidR="00D21C11">
        <w:rPr>
          <w:rFonts w:ascii="Times New Roman" w:hAnsi="Times New Roman" w:cs="Times New Roman"/>
        </w:rPr>
        <w:t>5.6</w:t>
      </w:r>
      <w:r w:rsidR="000322C6">
        <w:rPr>
          <w:rFonts w:ascii="Times New Roman" w:hAnsi="Times New Roman" w:cs="Times New Roman"/>
        </w:rPr>
        <w:t xml:space="preserve"> </w:t>
      </w:r>
      <w:r w:rsidRPr="00BE22E2">
        <w:rPr>
          <w:rFonts w:ascii="Times New Roman" w:hAnsi="Times New Roman" w:cs="Times New Roman"/>
        </w:rPr>
        <w:t xml:space="preserve">% </w:t>
      </w:r>
      <w:r w:rsidR="000322C6">
        <w:rPr>
          <w:rFonts w:ascii="Times New Roman" w:hAnsi="Times New Roman" w:cs="Times New Roman"/>
        </w:rPr>
        <w:t>p</w:t>
      </w:r>
      <w:r w:rsidR="00D21C11">
        <w:rPr>
          <w:rFonts w:ascii="Times New Roman" w:hAnsi="Times New Roman" w:cs="Times New Roman"/>
        </w:rPr>
        <w:t xml:space="preserve">rimaria; </w:t>
      </w:r>
      <w:r w:rsidR="00BE11EC">
        <w:rPr>
          <w:rFonts w:ascii="Times New Roman" w:hAnsi="Times New Roman" w:cs="Times New Roman"/>
        </w:rPr>
        <w:t>11.3</w:t>
      </w:r>
      <w:r w:rsidR="000322C6">
        <w:rPr>
          <w:rFonts w:ascii="Times New Roman" w:hAnsi="Times New Roman" w:cs="Times New Roman"/>
        </w:rPr>
        <w:t xml:space="preserve"> </w:t>
      </w:r>
      <w:r w:rsidR="00BE11EC">
        <w:rPr>
          <w:rFonts w:ascii="Times New Roman" w:hAnsi="Times New Roman" w:cs="Times New Roman"/>
        </w:rPr>
        <w:t xml:space="preserve">% </w:t>
      </w:r>
      <w:r w:rsidR="000322C6">
        <w:rPr>
          <w:rFonts w:ascii="Times New Roman" w:hAnsi="Times New Roman" w:cs="Times New Roman"/>
        </w:rPr>
        <w:t>s</w:t>
      </w:r>
      <w:r w:rsidR="00BE11EC">
        <w:rPr>
          <w:rFonts w:ascii="Times New Roman" w:hAnsi="Times New Roman" w:cs="Times New Roman"/>
        </w:rPr>
        <w:t>ecundaria; 42</w:t>
      </w:r>
      <w:r w:rsidR="000322C6">
        <w:rPr>
          <w:rFonts w:ascii="Times New Roman" w:hAnsi="Times New Roman" w:cs="Times New Roman"/>
        </w:rPr>
        <w:t xml:space="preserve"> </w:t>
      </w:r>
      <w:r w:rsidRPr="00BE22E2">
        <w:rPr>
          <w:rFonts w:ascii="Times New Roman" w:hAnsi="Times New Roman" w:cs="Times New Roman"/>
        </w:rPr>
        <w:t>%</w:t>
      </w:r>
      <w:r w:rsidR="00BE11EC">
        <w:rPr>
          <w:rFonts w:ascii="Times New Roman" w:hAnsi="Times New Roman" w:cs="Times New Roman"/>
        </w:rPr>
        <w:t xml:space="preserve"> preparatoria</w:t>
      </w:r>
      <w:r w:rsidR="000322C6">
        <w:rPr>
          <w:rFonts w:ascii="Times New Roman" w:hAnsi="Times New Roman" w:cs="Times New Roman"/>
        </w:rPr>
        <w:t>,</w:t>
      </w:r>
      <w:r w:rsidR="00BE11EC">
        <w:rPr>
          <w:rFonts w:ascii="Times New Roman" w:hAnsi="Times New Roman" w:cs="Times New Roman"/>
        </w:rPr>
        <w:t xml:space="preserve"> 33.1</w:t>
      </w:r>
      <w:r w:rsidR="000322C6">
        <w:rPr>
          <w:rFonts w:ascii="Times New Roman" w:hAnsi="Times New Roman" w:cs="Times New Roman"/>
        </w:rPr>
        <w:t xml:space="preserve"> </w:t>
      </w:r>
      <w:r w:rsidR="00BE11EC">
        <w:rPr>
          <w:rFonts w:ascii="Times New Roman" w:hAnsi="Times New Roman" w:cs="Times New Roman"/>
        </w:rPr>
        <w:t xml:space="preserve">% </w:t>
      </w:r>
      <w:r w:rsidR="000322C6">
        <w:rPr>
          <w:rFonts w:ascii="Times New Roman" w:hAnsi="Times New Roman" w:cs="Times New Roman"/>
        </w:rPr>
        <w:t>u</w:t>
      </w:r>
      <w:r w:rsidRPr="00BE22E2">
        <w:rPr>
          <w:rFonts w:ascii="Times New Roman" w:hAnsi="Times New Roman" w:cs="Times New Roman"/>
        </w:rPr>
        <w:t xml:space="preserve">niversidad y </w:t>
      </w:r>
      <w:r w:rsidR="00BE11EC">
        <w:rPr>
          <w:rFonts w:ascii="Times New Roman" w:hAnsi="Times New Roman" w:cs="Times New Roman"/>
        </w:rPr>
        <w:t>8</w:t>
      </w:r>
      <w:r w:rsidR="000322C6">
        <w:rPr>
          <w:rFonts w:ascii="Times New Roman" w:hAnsi="Times New Roman" w:cs="Times New Roman"/>
        </w:rPr>
        <w:t xml:space="preserve"> </w:t>
      </w:r>
      <w:r w:rsidRPr="00BE22E2">
        <w:rPr>
          <w:rFonts w:ascii="Times New Roman" w:hAnsi="Times New Roman" w:cs="Times New Roman"/>
        </w:rPr>
        <w:t>% sin estudios.</w:t>
      </w:r>
    </w:p>
    <w:p w14:paraId="7B98C879" w14:textId="77777777" w:rsidR="00605B67" w:rsidRPr="0065661C" w:rsidRDefault="00605B67" w:rsidP="0065661C">
      <w:pPr>
        <w:spacing w:line="360" w:lineRule="auto"/>
        <w:jc w:val="both"/>
        <w:rPr>
          <w:rFonts w:ascii="Times New Roman" w:hAnsi="Times New Roman" w:cs="Times New Roman"/>
        </w:rPr>
      </w:pPr>
    </w:p>
    <w:p w14:paraId="25A1616A" w14:textId="45C8A7FB" w:rsidR="00BE11EC" w:rsidRPr="00F176AA" w:rsidRDefault="009A1403" w:rsidP="0065661C">
      <w:pPr>
        <w:spacing w:line="360" w:lineRule="auto"/>
        <w:jc w:val="both"/>
        <w:rPr>
          <w:rFonts w:ascii="Times New Roman" w:hAnsi="Times New Roman" w:cs="Times New Roman"/>
          <w:b/>
        </w:rPr>
      </w:pPr>
      <w:r>
        <w:rPr>
          <w:rFonts w:ascii="Times New Roman" w:hAnsi="Times New Roman" w:cs="Times New Roman"/>
          <w:b/>
        </w:rPr>
        <w:t>R</w:t>
      </w:r>
      <w:r w:rsidR="0065661C" w:rsidRPr="008A4F45">
        <w:rPr>
          <w:rFonts w:ascii="Times New Roman" w:hAnsi="Times New Roman" w:cs="Times New Roman"/>
          <w:b/>
        </w:rPr>
        <w:t>esultados</w:t>
      </w:r>
    </w:p>
    <w:p w14:paraId="1BC4CB82" w14:textId="6D74BCF6" w:rsidR="005B2893" w:rsidRDefault="008970FF" w:rsidP="0065661C">
      <w:pPr>
        <w:spacing w:line="360" w:lineRule="auto"/>
        <w:jc w:val="both"/>
        <w:rPr>
          <w:rFonts w:ascii="Times New Roman" w:hAnsi="Times New Roman" w:cs="Times New Roman"/>
        </w:rPr>
      </w:pPr>
      <w:r>
        <w:rPr>
          <w:rFonts w:ascii="Times New Roman" w:hAnsi="Times New Roman" w:cs="Times New Roman"/>
        </w:rPr>
        <w:t>El gráfico</w:t>
      </w:r>
      <w:r w:rsidR="009A1403">
        <w:rPr>
          <w:rFonts w:ascii="Times New Roman" w:hAnsi="Times New Roman" w:cs="Times New Roman"/>
        </w:rPr>
        <w:t xml:space="preserve"> 1 </w:t>
      </w:r>
      <w:r w:rsidR="00B80F30" w:rsidRPr="00B80F30">
        <w:rPr>
          <w:rFonts w:ascii="Times New Roman" w:hAnsi="Times New Roman" w:cs="Times New Roman"/>
        </w:rPr>
        <w:t xml:space="preserve">analiza la variable </w:t>
      </w:r>
      <w:r w:rsidR="00E649F6">
        <w:rPr>
          <w:rFonts w:ascii="Times New Roman" w:hAnsi="Times New Roman" w:cs="Times New Roman"/>
        </w:rPr>
        <w:t xml:space="preserve">relacionada </w:t>
      </w:r>
      <w:r w:rsidR="00C81BE4">
        <w:rPr>
          <w:rFonts w:ascii="Times New Roman" w:hAnsi="Times New Roman" w:cs="Times New Roman"/>
        </w:rPr>
        <w:t>con</w:t>
      </w:r>
      <w:r w:rsidR="00E649F6">
        <w:rPr>
          <w:rFonts w:ascii="Times New Roman" w:hAnsi="Times New Roman" w:cs="Times New Roman"/>
        </w:rPr>
        <w:t xml:space="preserve"> las políticas públicas sociales y financieras</w:t>
      </w:r>
      <w:r w:rsidR="00C81BE4">
        <w:rPr>
          <w:rFonts w:ascii="Times New Roman" w:hAnsi="Times New Roman" w:cs="Times New Roman"/>
        </w:rPr>
        <w:t xml:space="preserve">: </w:t>
      </w:r>
      <w:r w:rsidR="0040391F">
        <w:rPr>
          <w:rFonts w:ascii="Times New Roman" w:hAnsi="Times New Roman" w:cs="Times New Roman"/>
        </w:rPr>
        <w:t>¿qué tan de acuerdo está el</w:t>
      </w:r>
      <w:r w:rsidR="00E649F6">
        <w:rPr>
          <w:rFonts w:ascii="Times New Roman" w:hAnsi="Times New Roman" w:cs="Times New Roman"/>
        </w:rPr>
        <w:t xml:space="preserve"> encuestado</w:t>
      </w:r>
      <w:r w:rsidR="00E649F6" w:rsidRPr="00E649F6">
        <w:rPr>
          <w:rFonts w:ascii="Times New Roman" w:hAnsi="Times New Roman" w:cs="Times New Roman"/>
        </w:rPr>
        <w:t xml:space="preserve"> </w:t>
      </w:r>
      <w:r w:rsidR="0040391F">
        <w:rPr>
          <w:rFonts w:ascii="Times New Roman" w:hAnsi="Times New Roman" w:cs="Times New Roman"/>
        </w:rPr>
        <w:t>sobre</w:t>
      </w:r>
      <w:r w:rsidR="00E649F6" w:rsidRPr="00E649F6">
        <w:rPr>
          <w:rFonts w:ascii="Times New Roman" w:hAnsi="Times New Roman" w:cs="Times New Roman"/>
        </w:rPr>
        <w:t xml:space="preserve"> </w:t>
      </w:r>
      <w:r w:rsidR="0040391F">
        <w:rPr>
          <w:rFonts w:ascii="Times New Roman" w:hAnsi="Times New Roman" w:cs="Times New Roman"/>
        </w:rPr>
        <w:t>el logro</w:t>
      </w:r>
      <w:r w:rsidR="005B2893" w:rsidRPr="005B2893">
        <w:rPr>
          <w:rFonts w:ascii="Times New Roman" w:hAnsi="Times New Roman" w:cs="Times New Roman"/>
        </w:rPr>
        <w:t xml:space="preserve"> </w:t>
      </w:r>
      <w:r w:rsidR="005B2893">
        <w:rPr>
          <w:rFonts w:ascii="Times New Roman" w:hAnsi="Times New Roman" w:cs="Times New Roman"/>
        </w:rPr>
        <w:t>por parte del gobierno</w:t>
      </w:r>
      <w:r w:rsidR="0040391F">
        <w:rPr>
          <w:rFonts w:ascii="Times New Roman" w:hAnsi="Times New Roman" w:cs="Times New Roman"/>
        </w:rPr>
        <w:t xml:space="preserve"> en </w:t>
      </w:r>
      <w:r w:rsidR="00E649F6" w:rsidRPr="00E649F6">
        <w:rPr>
          <w:rFonts w:ascii="Times New Roman" w:hAnsi="Times New Roman" w:cs="Times New Roman"/>
        </w:rPr>
        <w:t>polític</w:t>
      </w:r>
      <w:r w:rsidR="0040391F">
        <w:rPr>
          <w:rFonts w:ascii="Times New Roman" w:hAnsi="Times New Roman" w:cs="Times New Roman"/>
        </w:rPr>
        <w:t>as públicas en seguridad social</w:t>
      </w:r>
      <w:r w:rsidR="005B2893">
        <w:rPr>
          <w:rFonts w:ascii="Times New Roman" w:hAnsi="Times New Roman" w:cs="Times New Roman"/>
        </w:rPr>
        <w:t xml:space="preserve"> con referencia a mantenerse con el ingreso que tend</w:t>
      </w:r>
      <w:r w:rsidR="009A1403">
        <w:rPr>
          <w:rFonts w:ascii="Times New Roman" w:hAnsi="Times New Roman" w:cs="Times New Roman"/>
        </w:rPr>
        <w:t>rá al momento de su jubilación?</w:t>
      </w:r>
    </w:p>
    <w:p w14:paraId="73840F10" w14:textId="77777777" w:rsidR="009A1403" w:rsidRDefault="009A1403" w:rsidP="0065661C">
      <w:pPr>
        <w:spacing w:line="360" w:lineRule="auto"/>
        <w:jc w:val="both"/>
        <w:rPr>
          <w:rFonts w:ascii="Times New Roman" w:hAnsi="Times New Roman" w:cs="Times New Roman"/>
        </w:rPr>
      </w:pPr>
    </w:p>
    <w:p w14:paraId="3340F55D" w14:textId="70A99D54" w:rsidR="005B2893" w:rsidRDefault="009A1403" w:rsidP="009A1403">
      <w:pPr>
        <w:tabs>
          <w:tab w:val="left" w:pos="1589"/>
        </w:tabs>
        <w:spacing w:line="360" w:lineRule="auto"/>
        <w:jc w:val="center"/>
        <w:rPr>
          <w:rFonts w:ascii="Times New Roman" w:hAnsi="Times New Roman" w:cs="Times New Roman"/>
        </w:rPr>
      </w:pPr>
      <w:r>
        <w:rPr>
          <w:rFonts w:ascii="Times New Roman" w:hAnsi="Times New Roman" w:cs="Times New Roman"/>
        </w:rPr>
        <w:t xml:space="preserve">                    </w:t>
      </w:r>
      <w:r w:rsidR="008970FF">
        <w:rPr>
          <w:rFonts w:ascii="Times New Roman" w:hAnsi="Times New Roman" w:cs="Times New Roman"/>
        </w:rPr>
        <w:t>Gráfico</w:t>
      </w:r>
      <w:r w:rsidR="00CD2BC5">
        <w:rPr>
          <w:rFonts w:ascii="Times New Roman" w:hAnsi="Times New Roman" w:cs="Times New Roman"/>
        </w:rPr>
        <w:t xml:space="preserve">1. Políticas </w:t>
      </w:r>
      <w:r w:rsidR="00B10BAF">
        <w:rPr>
          <w:rFonts w:ascii="Times New Roman" w:hAnsi="Times New Roman" w:cs="Times New Roman"/>
        </w:rPr>
        <w:t>públicas</w:t>
      </w:r>
      <w:r w:rsidR="00B475C9">
        <w:rPr>
          <w:rFonts w:ascii="Times New Roman" w:hAnsi="Times New Roman" w:cs="Times New Roman"/>
        </w:rPr>
        <w:t xml:space="preserve"> </w:t>
      </w:r>
      <w:r w:rsidR="00CD2BC5">
        <w:rPr>
          <w:rFonts w:ascii="Times New Roman" w:hAnsi="Times New Roman" w:cs="Times New Roman"/>
        </w:rPr>
        <w:t>en seguridad social</w:t>
      </w:r>
    </w:p>
    <w:p w14:paraId="44FBBD14" w14:textId="4271FD77" w:rsidR="00BE11EC" w:rsidRDefault="009A1403" w:rsidP="009A1403">
      <w:pPr>
        <w:pStyle w:val="Sinespaciado"/>
        <w:tabs>
          <w:tab w:val="center" w:pos="7938"/>
        </w:tabs>
      </w:pPr>
      <w:r>
        <w:rPr>
          <w:noProof/>
          <w:lang w:val="es-MX" w:eastAsia="es-MX"/>
        </w:rPr>
        <w:drawing>
          <wp:anchor distT="0" distB="0" distL="114300" distR="114300" simplePos="0" relativeHeight="251658240" behindDoc="0" locked="0" layoutInCell="1" allowOverlap="1" wp14:anchorId="4351D697" wp14:editId="507B749D">
            <wp:simplePos x="0" y="0"/>
            <wp:positionH relativeFrom="column">
              <wp:posOffset>1943100</wp:posOffset>
            </wp:positionH>
            <wp:positionV relativeFrom="paragraph">
              <wp:posOffset>137795</wp:posOffset>
            </wp:positionV>
            <wp:extent cx="3086100" cy="1828800"/>
            <wp:effectExtent l="0" t="0" r="19050" b="19050"/>
            <wp:wrapNone/>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3E9341CB" w14:textId="77777777" w:rsidR="009A1403" w:rsidRDefault="009A1403" w:rsidP="009A1403">
      <w:pPr>
        <w:spacing w:line="360" w:lineRule="auto"/>
        <w:jc w:val="both"/>
        <w:rPr>
          <w:rFonts w:ascii="Times New Roman" w:hAnsi="Times New Roman" w:cs="Times New Roman"/>
        </w:rPr>
      </w:pPr>
    </w:p>
    <w:p w14:paraId="324FE249" w14:textId="77777777" w:rsidR="009A1403" w:rsidRDefault="009A1403" w:rsidP="009A1403">
      <w:pPr>
        <w:spacing w:line="360" w:lineRule="auto"/>
        <w:jc w:val="both"/>
        <w:rPr>
          <w:rFonts w:ascii="Times New Roman" w:hAnsi="Times New Roman" w:cs="Times New Roman"/>
        </w:rPr>
      </w:pPr>
    </w:p>
    <w:p w14:paraId="3DA8E6AF" w14:textId="77777777" w:rsidR="009A1403" w:rsidRDefault="009A1403" w:rsidP="009A1403">
      <w:pPr>
        <w:spacing w:line="360" w:lineRule="auto"/>
        <w:jc w:val="both"/>
        <w:rPr>
          <w:rFonts w:ascii="Times New Roman" w:hAnsi="Times New Roman" w:cs="Times New Roman"/>
        </w:rPr>
      </w:pPr>
    </w:p>
    <w:p w14:paraId="13A68B16" w14:textId="77777777" w:rsidR="009A1403" w:rsidRDefault="009A1403" w:rsidP="009A1403">
      <w:pPr>
        <w:spacing w:line="360" w:lineRule="auto"/>
        <w:jc w:val="both"/>
        <w:rPr>
          <w:rFonts w:ascii="Times New Roman" w:hAnsi="Times New Roman" w:cs="Times New Roman"/>
        </w:rPr>
      </w:pPr>
    </w:p>
    <w:p w14:paraId="773297B7" w14:textId="77777777" w:rsidR="009A1403" w:rsidRDefault="009A1403" w:rsidP="009A1403">
      <w:pPr>
        <w:spacing w:line="360" w:lineRule="auto"/>
        <w:jc w:val="both"/>
        <w:rPr>
          <w:rFonts w:ascii="Times New Roman" w:hAnsi="Times New Roman" w:cs="Times New Roman"/>
        </w:rPr>
      </w:pPr>
    </w:p>
    <w:p w14:paraId="27D0BE25" w14:textId="77777777" w:rsidR="009A1403" w:rsidRDefault="009A1403" w:rsidP="009A1403">
      <w:pPr>
        <w:spacing w:line="360" w:lineRule="auto"/>
        <w:jc w:val="both"/>
        <w:rPr>
          <w:rFonts w:ascii="Times New Roman" w:hAnsi="Times New Roman" w:cs="Times New Roman"/>
        </w:rPr>
      </w:pPr>
    </w:p>
    <w:p w14:paraId="0E1B51CF" w14:textId="77777777" w:rsidR="009A1403" w:rsidRDefault="009A1403" w:rsidP="009A1403">
      <w:pPr>
        <w:spacing w:line="360" w:lineRule="auto"/>
        <w:jc w:val="both"/>
        <w:rPr>
          <w:rFonts w:ascii="Times New Roman" w:hAnsi="Times New Roman" w:cs="Times New Roman"/>
        </w:rPr>
      </w:pPr>
    </w:p>
    <w:p w14:paraId="089173DF" w14:textId="622A2CE6" w:rsidR="00BE11EC" w:rsidRDefault="009A1403" w:rsidP="0068109A">
      <w:pPr>
        <w:spacing w:line="360" w:lineRule="auto"/>
        <w:rPr>
          <w:rFonts w:ascii="Times New Roman" w:hAnsi="Times New Roman" w:cs="Times New Roman"/>
        </w:rPr>
      </w:pPr>
      <w:r>
        <w:rPr>
          <w:rFonts w:ascii="Times New Roman" w:hAnsi="Times New Roman" w:cs="Times New Roman"/>
        </w:rPr>
        <w:t xml:space="preserve">                                                   </w:t>
      </w:r>
      <w:r w:rsidR="00814613">
        <w:rPr>
          <w:rFonts w:ascii="Times New Roman" w:hAnsi="Times New Roman" w:cs="Times New Roman"/>
        </w:rPr>
        <w:t>F</w:t>
      </w:r>
      <w:r w:rsidR="00B10BAF">
        <w:rPr>
          <w:rFonts w:ascii="Times New Roman" w:hAnsi="Times New Roman" w:cs="Times New Roman"/>
        </w:rPr>
        <w:t xml:space="preserve">uente: </w:t>
      </w:r>
      <w:r>
        <w:rPr>
          <w:rFonts w:ascii="Times New Roman" w:hAnsi="Times New Roman" w:cs="Times New Roman"/>
        </w:rPr>
        <w:t>elaboración propia.</w:t>
      </w:r>
      <w:r w:rsidR="00B10BAF">
        <w:rPr>
          <w:rFonts w:ascii="Times New Roman" w:hAnsi="Times New Roman" w:cs="Times New Roman"/>
        </w:rPr>
        <w:tab/>
      </w:r>
    </w:p>
    <w:p w14:paraId="045838EF" w14:textId="7FDC1A32" w:rsidR="00CD2BC5" w:rsidRDefault="008970FF" w:rsidP="0065661C">
      <w:pPr>
        <w:spacing w:line="360" w:lineRule="auto"/>
        <w:jc w:val="both"/>
        <w:rPr>
          <w:rFonts w:ascii="Times New Roman" w:hAnsi="Times New Roman" w:cs="Times New Roman"/>
        </w:rPr>
      </w:pPr>
      <w:r>
        <w:rPr>
          <w:rFonts w:ascii="Times New Roman" w:hAnsi="Times New Roman" w:cs="Times New Roman"/>
        </w:rPr>
        <w:t>El gráfico</w:t>
      </w:r>
      <w:r w:rsidR="00CD2BC5">
        <w:rPr>
          <w:rFonts w:ascii="Times New Roman" w:hAnsi="Times New Roman" w:cs="Times New Roman"/>
        </w:rPr>
        <w:t xml:space="preserve"> 1 señala que la mayoría de los encuestados sienten que las políticas en seguridad social</w:t>
      </w:r>
      <w:r w:rsidR="00814613">
        <w:rPr>
          <w:rFonts w:ascii="Times New Roman" w:hAnsi="Times New Roman" w:cs="Times New Roman"/>
        </w:rPr>
        <w:t xml:space="preserve"> con respecto a </w:t>
      </w:r>
      <w:r w:rsidR="00CD2BC5">
        <w:rPr>
          <w:rFonts w:ascii="Times New Roman" w:hAnsi="Times New Roman" w:cs="Times New Roman"/>
        </w:rPr>
        <w:t>obtener una pensión que les ayude a subsistir no se ha logrado</w:t>
      </w:r>
      <w:r w:rsidR="00814613">
        <w:rPr>
          <w:rFonts w:ascii="Times New Roman" w:hAnsi="Times New Roman" w:cs="Times New Roman"/>
        </w:rPr>
        <w:t>,</w:t>
      </w:r>
      <w:r w:rsidR="00CD2BC5">
        <w:rPr>
          <w:rFonts w:ascii="Times New Roman" w:hAnsi="Times New Roman" w:cs="Times New Roman"/>
        </w:rPr>
        <w:t xml:space="preserve"> por lo que existe mucho descontento</w:t>
      </w:r>
      <w:r w:rsidR="003A248E">
        <w:rPr>
          <w:rFonts w:ascii="Times New Roman" w:hAnsi="Times New Roman" w:cs="Times New Roman"/>
        </w:rPr>
        <w:t xml:space="preserve"> con el gobierno en este sentido.</w:t>
      </w:r>
    </w:p>
    <w:p w14:paraId="49637FEB" w14:textId="22D4514A" w:rsidR="00B10BAF" w:rsidRDefault="003A248E" w:rsidP="0065661C">
      <w:pPr>
        <w:spacing w:line="360" w:lineRule="auto"/>
        <w:jc w:val="both"/>
        <w:rPr>
          <w:rFonts w:ascii="Times New Roman" w:hAnsi="Times New Roman" w:cs="Times New Roman"/>
        </w:rPr>
      </w:pPr>
      <w:r>
        <w:rPr>
          <w:rFonts w:ascii="Times New Roman" w:hAnsi="Times New Roman" w:cs="Times New Roman"/>
        </w:rPr>
        <w:t>En relación a la pregunta sobre si existe una política pública que otorgue estabilidad financiera dentro de la seguridad social en el ramo de la</w:t>
      </w:r>
      <w:r w:rsidR="00B10BAF">
        <w:rPr>
          <w:rFonts w:ascii="Times New Roman" w:hAnsi="Times New Roman" w:cs="Times New Roman"/>
        </w:rPr>
        <w:t xml:space="preserve">s pensiones, </w:t>
      </w:r>
      <w:r w:rsidR="00A646AF">
        <w:rPr>
          <w:rFonts w:ascii="Times New Roman" w:hAnsi="Times New Roman" w:cs="Times New Roman"/>
        </w:rPr>
        <w:t>el gráfico</w:t>
      </w:r>
      <w:r w:rsidR="00B10BAF">
        <w:rPr>
          <w:rFonts w:ascii="Times New Roman" w:hAnsi="Times New Roman" w:cs="Times New Roman"/>
        </w:rPr>
        <w:t xml:space="preserve"> 2 señala:</w:t>
      </w:r>
    </w:p>
    <w:p w14:paraId="571ACDAD" w14:textId="77777777" w:rsidR="00FF3559" w:rsidRDefault="00FF3559" w:rsidP="0065661C">
      <w:pPr>
        <w:spacing w:line="360" w:lineRule="auto"/>
        <w:jc w:val="both"/>
        <w:rPr>
          <w:rFonts w:ascii="Times New Roman" w:hAnsi="Times New Roman" w:cs="Times New Roman"/>
        </w:rPr>
      </w:pPr>
    </w:p>
    <w:p w14:paraId="5D8C4FFE" w14:textId="463F3975" w:rsidR="003A248E" w:rsidRDefault="001F640A" w:rsidP="001F640A">
      <w:pPr>
        <w:tabs>
          <w:tab w:val="left" w:pos="2859"/>
        </w:tabs>
        <w:spacing w:line="360" w:lineRule="auto"/>
        <w:jc w:val="both"/>
        <w:rPr>
          <w:rFonts w:ascii="Times New Roman" w:hAnsi="Times New Roman" w:cs="Times New Roman"/>
        </w:rPr>
      </w:pPr>
      <w:r>
        <w:rPr>
          <w:rFonts w:ascii="Times New Roman" w:hAnsi="Times New Roman" w:cs="Times New Roman"/>
        </w:rPr>
        <w:tab/>
      </w:r>
      <w:r w:rsidR="00F176AA">
        <w:rPr>
          <w:rFonts w:ascii="Times New Roman" w:hAnsi="Times New Roman" w:cs="Times New Roman"/>
        </w:rPr>
        <w:t xml:space="preserve">   </w:t>
      </w:r>
      <w:r w:rsidR="00A646AF">
        <w:rPr>
          <w:rFonts w:ascii="Times New Roman" w:hAnsi="Times New Roman" w:cs="Times New Roman"/>
        </w:rPr>
        <w:t xml:space="preserve">Gráfico </w:t>
      </w:r>
      <w:r>
        <w:rPr>
          <w:rFonts w:ascii="Times New Roman" w:hAnsi="Times New Roman" w:cs="Times New Roman"/>
        </w:rPr>
        <w:t>2</w:t>
      </w:r>
      <w:r w:rsidR="00C866A5">
        <w:rPr>
          <w:rFonts w:ascii="Times New Roman" w:hAnsi="Times New Roman" w:cs="Times New Roman"/>
        </w:rPr>
        <w:t>.</w:t>
      </w:r>
      <w:r>
        <w:rPr>
          <w:rFonts w:ascii="Times New Roman" w:hAnsi="Times New Roman" w:cs="Times New Roman"/>
        </w:rPr>
        <w:t xml:space="preserve"> Políticas públicas en seguridad social.</w:t>
      </w:r>
    </w:p>
    <w:p w14:paraId="3A51478E" w14:textId="6E8F0158" w:rsidR="00FF3559" w:rsidRDefault="00F176AA" w:rsidP="001F640A">
      <w:pPr>
        <w:tabs>
          <w:tab w:val="left" w:pos="2859"/>
        </w:tabs>
        <w:spacing w:line="360" w:lineRule="auto"/>
        <w:jc w:val="both"/>
        <w:rPr>
          <w:rFonts w:ascii="Times New Roman" w:hAnsi="Times New Roman" w:cs="Times New Roman"/>
        </w:rPr>
      </w:pPr>
      <w:r>
        <w:rPr>
          <w:rFonts w:ascii="Times New Roman" w:hAnsi="Times New Roman" w:cs="Times New Roman"/>
          <w:noProof/>
          <w:lang w:val="es-MX" w:eastAsia="es-MX"/>
        </w:rPr>
        <w:drawing>
          <wp:anchor distT="0" distB="0" distL="114300" distR="114300" simplePos="0" relativeHeight="251659264" behindDoc="0" locked="0" layoutInCell="1" allowOverlap="1" wp14:anchorId="657D1AF2" wp14:editId="19772BE5">
            <wp:simplePos x="0" y="0"/>
            <wp:positionH relativeFrom="column">
              <wp:posOffset>1943100</wp:posOffset>
            </wp:positionH>
            <wp:positionV relativeFrom="paragraph">
              <wp:posOffset>102870</wp:posOffset>
            </wp:positionV>
            <wp:extent cx="3086100" cy="1771015"/>
            <wp:effectExtent l="0" t="0" r="19050" b="19685"/>
            <wp:wrapNone/>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01766CF3" w14:textId="008A5875" w:rsidR="00CD2BC5" w:rsidRDefault="00CD2BC5" w:rsidP="003A248E">
      <w:pPr>
        <w:spacing w:line="360" w:lineRule="auto"/>
        <w:jc w:val="center"/>
        <w:rPr>
          <w:rFonts w:ascii="Times New Roman" w:hAnsi="Times New Roman" w:cs="Times New Roman"/>
        </w:rPr>
      </w:pPr>
    </w:p>
    <w:p w14:paraId="4ACDF148" w14:textId="77777777" w:rsidR="00FF3559" w:rsidRDefault="00FF3559" w:rsidP="00EE6B30">
      <w:pPr>
        <w:spacing w:line="360" w:lineRule="auto"/>
        <w:jc w:val="both"/>
        <w:rPr>
          <w:rFonts w:ascii="Times New Roman" w:hAnsi="Times New Roman" w:cs="Times New Roman"/>
        </w:rPr>
      </w:pPr>
    </w:p>
    <w:p w14:paraId="59AE2814" w14:textId="77777777" w:rsidR="00FF3559" w:rsidRDefault="00FF3559" w:rsidP="00EE6B30">
      <w:pPr>
        <w:spacing w:line="360" w:lineRule="auto"/>
        <w:jc w:val="both"/>
        <w:rPr>
          <w:rFonts w:ascii="Times New Roman" w:hAnsi="Times New Roman" w:cs="Times New Roman"/>
        </w:rPr>
      </w:pPr>
    </w:p>
    <w:p w14:paraId="094467B4" w14:textId="77777777" w:rsidR="00FF3559" w:rsidRDefault="00FF3559" w:rsidP="00EE6B30">
      <w:pPr>
        <w:spacing w:line="360" w:lineRule="auto"/>
        <w:jc w:val="both"/>
        <w:rPr>
          <w:rFonts w:ascii="Times New Roman" w:hAnsi="Times New Roman" w:cs="Times New Roman"/>
        </w:rPr>
      </w:pPr>
    </w:p>
    <w:p w14:paraId="204B0F1A" w14:textId="77777777" w:rsidR="00FF3559" w:rsidRDefault="00FF3559" w:rsidP="00EE6B30">
      <w:pPr>
        <w:spacing w:line="360" w:lineRule="auto"/>
        <w:jc w:val="both"/>
        <w:rPr>
          <w:rFonts w:ascii="Times New Roman" w:hAnsi="Times New Roman" w:cs="Times New Roman"/>
        </w:rPr>
      </w:pPr>
    </w:p>
    <w:p w14:paraId="7A8F2073" w14:textId="77777777" w:rsidR="00FF3559" w:rsidRDefault="00FF3559" w:rsidP="00EE6B30">
      <w:pPr>
        <w:spacing w:line="360" w:lineRule="auto"/>
        <w:jc w:val="both"/>
        <w:rPr>
          <w:rFonts w:ascii="Times New Roman" w:hAnsi="Times New Roman" w:cs="Times New Roman"/>
        </w:rPr>
      </w:pPr>
    </w:p>
    <w:p w14:paraId="5FDCCAF8" w14:textId="77777777" w:rsidR="00FF3559" w:rsidRDefault="00FF3559" w:rsidP="00EE6B30">
      <w:pPr>
        <w:spacing w:line="360" w:lineRule="auto"/>
        <w:jc w:val="both"/>
        <w:rPr>
          <w:rFonts w:ascii="Times New Roman" w:hAnsi="Times New Roman" w:cs="Times New Roman"/>
        </w:rPr>
      </w:pPr>
    </w:p>
    <w:p w14:paraId="3656B03E" w14:textId="496996D2" w:rsidR="00FF3559" w:rsidRDefault="00F176AA" w:rsidP="00F176AA">
      <w:pPr>
        <w:spacing w:line="360" w:lineRule="auto"/>
        <w:jc w:val="center"/>
        <w:rPr>
          <w:rFonts w:ascii="Times New Roman" w:hAnsi="Times New Roman" w:cs="Times New Roman"/>
        </w:rPr>
      </w:pPr>
      <w:r>
        <w:rPr>
          <w:rFonts w:ascii="Times New Roman" w:hAnsi="Times New Roman" w:cs="Times New Roman"/>
        </w:rPr>
        <w:t>F</w:t>
      </w:r>
      <w:r w:rsidR="00AA3649">
        <w:rPr>
          <w:rFonts w:ascii="Times New Roman" w:hAnsi="Times New Roman" w:cs="Times New Roman"/>
        </w:rPr>
        <w:t>uente: elaboración propia</w:t>
      </w:r>
      <w:r w:rsidR="00C866A5">
        <w:rPr>
          <w:rFonts w:ascii="Times New Roman" w:hAnsi="Times New Roman" w:cs="Times New Roman"/>
        </w:rPr>
        <w:t>.</w:t>
      </w:r>
    </w:p>
    <w:p w14:paraId="155D3D61" w14:textId="4DD15483" w:rsidR="00FF3559" w:rsidRDefault="00A646AF" w:rsidP="00EE6B30">
      <w:pPr>
        <w:spacing w:line="360" w:lineRule="auto"/>
        <w:jc w:val="both"/>
        <w:rPr>
          <w:rFonts w:ascii="Times New Roman" w:hAnsi="Times New Roman" w:cs="Times New Roman"/>
        </w:rPr>
      </w:pPr>
      <w:r>
        <w:rPr>
          <w:rFonts w:ascii="Times New Roman" w:hAnsi="Times New Roman" w:cs="Times New Roman"/>
        </w:rPr>
        <w:t>El gráfico</w:t>
      </w:r>
      <w:r w:rsidR="00653D8D">
        <w:rPr>
          <w:rFonts w:ascii="Times New Roman" w:hAnsi="Times New Roman" w:cs="Times New Roman"/>
        </w:rPr>
        <w:t xml:space="preserve"> 2, señala </w:t>
      </w:r>
      <w:r w:rsidR="00FF3559">
        <w:rPr>
          <w:rFonts w:ascii="Times New Roman" w:hAnsi="Times New Roman" w:cs="Times New Roman"/>
        </w:rPr>
        <w:t xml:space="preserve"> que </w:t>
      </w:r>
      <w:r w:rsidR="00653D8D">
        <w:rPr>
          <w:rFonts w:ascii="Times New Roman" w:hAnsi="Times New Roman" w:cs="Times New Roman"/>
        </w:rPr>
        <w:t>no existe una estabilidad financiera en</w:t>
      </w:r>
      <w:r w:rsidR="00FF3559">
        <w:rPr>
          <w:rFonts w:ascii="Times New Roman" w:hAnsi="Times New Roman" w:cs="Times New Roman"/>
        </w:rPr>
        <w:t xml:space="preserve"> las pensiones</w:t>
      </w:r>
      <w:r w:rsidR="00653D8D">
        <w:rPr>
          <w:rFonts w:ascii="Times New Roman" w:hAnsi="Times New Roman" w:cs="Times New Roman"/>
        </w:rPr>
        <w:t xml:space="preserve"> </w:t>
      </w:r>
      <w:r w:rsidR="00FF3559">
        <w:rPr>
          <w:rFonts w:ascii="Times New Roman" w:hAnsi="Times New Roman" w:cs="Times New Roman"/>
        </w:rPr>
        <w:t xml:space="preserve">dentro del </w:t>
      </w:r>
      <w:r w:rsidR="00653D8D">
        <w:rPr>
          <w:rFonts w:ascii="Times New Roman" w:hAnsi="Times New Roman" w:cs="Times New Roman"/>
        </w:rPr>
        <w:t xml:space="preserve"> ámbito de la seguridad social; </w:t>
      </w:r>
      <w:r w:rsidR="00FF3559">
        <w:rPr>
          <w:rFonts w:ascii="Times New Roman" w:hAnsi="Times New Roman" w:cs="Times New Roman"/>
        </w:rPr>
        <w:t>solo unos pocos</w:t>
      </w:r>
      <w:r w:rsidR="00653D8D">
        <w:rPr>
          <w:rFonts w:ascii="Times New Roman" w:hAnsi="Times New Roman" w:cs="Times New Roman"/>
        </w:rPr>
        <w:t xml:space="preserve"> encuestados no tienen una opinión a favor ni en contra sobre las políticas públicas financieras en seguridad social.</w:t>
      </w:r>
      <w:r w:rsidR="00EE6B30">
        <w:rPr>
          <w:rFonts w:ascii="Times New Roman" w:hAnsi="Times New Roman" w:cs="Times New Roman"/>
        </w:rPr>
        <w:t xml:space="preserve"> </w:t>
      </w:r>
    </w:p>
    <w:p w14:paraId="1ED2357B" w14:textId="77777777" w:rsidR="0068109A" w:rsidRDefault="0068109A" w:rsidP="00EE6B30">
      <w:pPr>
        <w:spacing w:line="360" w:lineRule="auto"/>
        <w:jc w:val="both"/>
        <w:rPr>
          <w:rFonts w:ascii="Times New Roman" w:hAnsi="Times New Roman" w:cs="Times New Roman"/>
        </w:rPr>
      </w:pPr>
    </w:p>
    <w:p w14:paraId="22A47ACC" w14:textId="23246A69" w:rsidR="0068109A" w:rsidRDefault="00C866A5" w:rsidP="00EE6B30">
      <w:pPr>
        <w:spacing w:line="360" w:lineRule="auto"/>
        <w:jc w:val="both"/>
        <w:rPr>
          <w:rFonts w:ascii="Times New Roman" w:hAnsi="Times New Roman" w:cs="Times New Roman"/>
        </w:rPr>
      </w:pPr>
      <w:r>
        <w:rPr>
          <w:rFonts w:ascii="Times New Roman" w:hAnsi="Times New Roman" w:cs="Times New Roman"/>
        </w:rPr>
        <w:t xml:space="preserve">Con respecto </w:t>
      </w:r>
      <w:r w:rsidR="00B10BAF">
        <w:rPr>
          <w:rFonts w:ascii="Times New Roman" w:hAnsi="Times New Roman" w:cs="Times New Roman"/>
        </w:rPr>
        <w:t xml:space="preserve">a si el gobierno ha logrado obtener </w:t>
      </w:r>
      <w:r w:rsidR="002C7036">
        <w:rPr>
          <w:rFonts w:ascii="Times New Roman" w:hAnsi="Times New Roman" w:cs="Times New Roman"/>
        </w:rPr>
        <w:t>mayores</w:t>
      </w:r>
      <w:r w:rsidR="00B475C9">
        <w:rPr>
          <w:rFonts w:ascii="Times New Roman" w:hAnsi="Times New Roman" w:cs="Times New Roman"/>
        </w:rPr>
        <w:t xml:space="preserve"> recursos mediante las políticas públicas implementadas den</w:t>
      </w:r>
      <w:r w:rsidR="005E03FB">
        <w:rPr>
          <w:rFonts w:ascii="Times New Roman" w:hAnsi="Times New Roman" w:cs="Times New Roman"/>
        </w:rPr>
        <w:t>tro</w:t>
      </w:r>
      <w:r w:rsidR="00B475C9">
        <w:rPr>
          <w:rFonts w:ascii="Times New Roman" w:hAnsi="Times New Roman" w:cs="Times New Roman"/>
        </w:rPr>
        <w:t xml:space="preserve"> </w:t>
      </w:r>
      <w:r w:rsidR="005E03FB">
        <w:rPr>
          <w:rFonts w:ascii="Times New Roman" w:hAnsi="Times New Roman" w:cs="Times New Roman"/>
        </w:rPr>
        <w:t>del ramo</w:t>
      </w:r>
      <w:r w:rsidR="00B475C9">
        <w:rPr>
          <w:rFonts w:ascii="Times New Roman" w:hAnsi="Times New Roman" w:cs="Times New Roman"/>
        </w:rPr>
        <w:t xml:space="preserve"> de la seguri</w:t>
      </w:r>
      <w:r w:rsidR="00E02144">
        <w:rPr>
          <w:rFonts w:ascii="Times New Roman" w:hAnsi="Times New Roman" w:cs="Times New Roman"/>
        </w:rPr>
        <w:t xml:space="preserve">dad social, </w:t>
      </w:r>
      <w:r w:rsidR="00A646AF">
        <w:rPr>
          <w:rFonts w:ascii="Times New Roman" w:hAnsi="Times New Roman" w:cs="Times New Roman"/>
        </w:rPr>
        <w:t>el gráfico</w:t>
      </w:r>
      <w:r w:rsidR="00E02144">
        <w:rPr>
          <w:rFonts w:ascii="Times New Roman" w:hAnsi="Times New Roman" w:cs="Times New Roman"/>
        </w:rPr>
        <w:t xml:space="preserve"> 3 </w:t>
      </w:r>
      <w:r w:rsidR="00A646AF">
        <w:rPr>
          <w:rFonts w:ascii="Times New Roman" w:hAnsi="Times New Roman" w:cs="Times New Roman"/>
        </w:rPr>
        <w:t>señala:</w:t>
      </w:r>
    </w:p>
    <w:p w14:paraId="49F57F72" w14:textId="77777777" w:rsidR="001F0A7B" w:rsidRDefault="001F0A7B" w:rsidP="00EE6B30">
      <w:pPr>
        <w:spacing w:line="360" w:lineRule="auto"/>
        <w:jc w:val="both"/>
        <w:rPr>
          <w:rFonts w:ascii="Times New Roman" w:hAnsi="Times New Roman" w:cs="Times New Roman"/>
        </w:rPr>
      </w:pPr>
    </w:p>
    <w:p w14:paraId="6D6F4FBE" w14:textId="4712F9F0" w:rsidR="001F0A7B" w:rsidRDefault="00FF3559" w:rsidP="001F0A7B">
      <w:pPr>
        <w:spacing w:line="360" w:lineRule="auto"/>
        <w:ind w:left="2124" w:firstLine="708"/>
        <w:jc w:val="both"/>
        <w:rPr>
          <w:rFonts w:ascii="Times New Roman" w:hAnsi="Times New Roman" w:cs="Times New Roman"/>
        </w:rPr>
      </w:pPr>
      <w:r>
        <w:rPr>
          <w:rFonts w:ascii="Times New Roman" w:hAnsi="Times New Roman" w:cs="Times New Roman"/>
          <w:noProof/>
          <w:lang w:val="es-MX" w:eastAsia="es-MX"/>
        </w:rPr>
        <w:drawing>
          <wp:anchor distT="0" distB="0" distL="114300" distR="114300" simplePos="0" relativeHeight="251660288" behindDoc="0" locked="0" layoutInCell="1" allowOverlap="1" wp14:anchorId="3508711B" wp14:editId="72A36179">
            <wp:simplePos x="0" y="0"/>
            <wp:positionH relativeFrom="column">
              <wp:posOffset>1943100</wp:posOffset>
            </wp:positionH>
            <wp:positionV relativeFrom="paragraph">
              <wp:posOffset>240665</wp:posOffset>
            </wp:positionV>
            <wp:extent cx="2971800" cy="1943100"/>
            <wp:effectExtent l="0" t="0" r="19050" b="19050"/>
            <wp:wrapNone/>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A646AF">
        <w:rPr>
          <w:rFonts w:ascii="Times New Roman" w:hAnsi="Times New Roman" w:cs="Times New Roman"/>
        </w:rPr>
        <w:t xml:space="preserve">Gráfico </w:t>
      </w:r>
      <w:r w:rsidR="001F0A7B">
        <w:rPr>
          <w:rFonts w:ascii="Times New Roman" w:hAnsi="Times New Roman" w:cs="Times New Roman"/>
        </w:rPr>
        <w:t>3</w:t>
      </w:r>
      <w:r w:rsidR="00C866A5">
        <w:rPr>
          <w:rFonts w:ascii="Times New Roman" w:hAnsi="Times New Roman" w:cs="Times New Roman"/>
        </w:rPr>
        <w:t>.</w:t>
      </w:r>
      <w:r w:rsidR="001F0A7B">
        <w:rPr>
          <w:rFonts w:ascii="Times New Roman" w:hAnsi="Times New Roman" w:cs="Times New Roman"/>
        </w:rPr>
        <w:t xml:space="preserve"> Políticas públicas en seguridad social.</w:t>
      </w:r>
    </w:p>
    <w:p w14:paraId="005E7723" w14:textId="030B244A" w:rsidR="00B475C9" w:rsidRDefault="00B475C9" w:rsidP="00B475C9">
      <w:pPr>
        <w:spacing w:line="360" w:lineRule="auto"/>
        <w:jc w:val="center"/>
        <w:rPr>
          <w:rFonts w:ascii="Times New Roman" w:hAnsi="Times New Roman" w:cs="Times New Roman"/>
        </w:rPr>
      </w:pPr>
    </w:p>
    <w:p w14:paraId="72D12FEF" w14:textId="77777777" w:rsidR="00FF3559" w:rsidRDefault="00FF3559" w:rsidP="001F0A7B">
      <w:pPr>
        <w:spacing w:line="360" w:lineRule="auto"/>
        <w:ind w:left="4956" w:firstLine="708"/>
        <w:jc w:val="both"/>
        <w:rPr>
          <w:rFonts w:ascii="Times New Roman" w:hAnsi="Times New Roman" w:cs="Times New Roman"/>
        </w:rPr>
      </w:pPr>
    </w:p>
    <w:p w14:paraId="5E28E7C5" w14:textId="77777777" w:rsidR="00FF3559" w:rsidRDefault="00FF3559" w:rsidP="001F0A7B">
      <w:pPr>
        <w:spacing w:line="360" w:lineRule="auto"/>
        <w:ind w:left="4956" w:firstLine="708"/>
        <w:jc w:val="both"/>
        <w:rPr>
          <w:rFonts w:ascii="Times New Roman" w:hAnsi="Times New Roman" w:cs="Times New Roman"/>
        </w:rPr>
      </w:pPr>
    </w:p>
    <w:p w14:paraId="52B4240A" w14:textId="77777777" w:rsidR="00FF3559" w:rsidRDefault="00FF3559" w:rsidP="001F0A7B">
      <w:pPr>
        <w:spacing w:line="360" w:lineRule="auto"/>
        <w:ind w:left="4956" w:firstLine="708"/>
        <w:jc w:val="both"/>
        <w:rPr>
          <w:rFonts w:ascii="Times New Roman" w:hAnsi="Times New Roman" w:cs="Times New Roman"/>
        </w:rPr>
      </w:pPr>
    </w:p>
    <w:p w14:paraId="63D77064" w14:textId="77777777" w:rsidR="00FF3559" w:rsidRDefault="00FF3559" w:rsidP="001F0A7B">
      <w:pPr>
        <w:spacing w:line="360" w:lineRule="auto"/>
        <w:ind w:left="4956" w:firstLine="708"/>
        <w:jc w:val="both"/>
        <w:rPr>
          <w:rFonts w:ascii="Times New Roman" w:hAnsi="Times New Roman" w:cs="Times New Roman"/>
        </w:rPr>
      </w:pPr>
    </w:p>
    <w:p w14:paraId="62506BD2" w14:textId="77777777" w:rsidR="00FF3559" w:rsidRDefault="00FF3559" w:rsidP="001F0A7B">
      <w:pPr>
        <w:spacing w:line="360" w:lineRule="auto"/>
        <w:ind w:left="4956" w:firstLine="708"/>
        <w:jc w:val="both"/>
        <w:rPr>
          <w:rFonts w:ascii="Times New Roman" w:hAnsi="Times New Roman" w:cs="Times New Roman"/>
        </w:rPr>
      </w:pPr>
    </w:p>
    <w:p w14:paraId="5AFFA795" w14:textId="77777777" w:rsidR="00FF3559" w:rsidRDefault="00FF3559" w:rsidP="00FF3559">
      <w:pPr>
        <w:spacing w:line="360" w:lineRule="auto"/>
        <w:jc w:val="both"/>
        <w:rPr>
          <w:rFonts w:ascii="Times New Roman" w:hAnsi="Times New Roman" w:cs="Times New Roman"/>
        </w:rPr>
      </w:pPr>
    </w:p>
    <w:p w14:paraId="45AD78A0" w14:textId="77777777" w:rsidR="00FF3559" w:rsidRDefault="00FF3559" w:rsidP="00FF3559">
      <w:pPr>
        <w:spacing w:line="360" w:lineRule="auto"/>
        <w:jc w:val="both"/>
        <w:rPr>
          <w:rFonts w:ascii="Times New Roman" w:hAnsi="Times New Roman" w:cs="Times New Roman"/>
        </w:rPr>
      </w:pPr>
    </w:p>
    <w:p w14:paraId="58385D38" w14:textId="3D4017B0" w:rsidR="001F0A7B" w:rsidRDefault="00FF3559" w:rsidP="00FF3559">
      <w:pPr>
        <w:spacing w:line="360" w:lineRule="auto"/>
        <w:ind w:left="2124" w:firstLine="708"/>
        <w:jc w:val="both"/>
        <w:rPr>
          <w:rFonts w:ascii="Times New Roman" w:hAnsi="Times New Roman" w:cs="Times New Roman"/>
        </w:rPr>
      </w:pPr>
      <w:r>
        <w:rPr>
          <w:rFonts w:ascii="Times New Roman" w:hAnsi="Times New Roman" w:cs="Times New Roman"/>
        </w:rPr>
        <w:t>F</w:t>
      </w:r>
      <w:r w:rsidR="001F0A7B">
        <w:rPr>
          <w:rFonts w:ascii="Times New Roman" w:hAnsi="Times New Roman" w:cs="Times New Roman"/>
        </w:rPr>
        <w:t xml:space="preserve">uente: </w:t>
      </w:r>
      <w:r w:rsidR="00AA3649">
        <w:rPr>
          <w:rFonts w:ascii="Times New Roman" w:hAnsi="Times New Roman" w:cs="Times New Roman"/>
        </w:rPr>
        <w:t>elaboración propia</w:t>
      </w:r>
      <w:r w:rsidR="00C866A5">
        <w:rPr>
          <w:rFonts w:ascii="Times New Roman" w:hAnsi="Times New Roman" w:cs="Times New Roman"/>
        </w:rPr>
        <w:t>.</w:t>
      </w:r>
    </w:p>
    <w:p w14:paraId="0F54B1E6" w14:textId="13676370" w:rsidR="00CD2BC5" w:rsidRDefault="00CD2BC5" w:rsidP="00B475C9">
      <w:pPr>
        <w:spacing w:line="360" w:lineRule="auto"/>
        <w:jc w:val="center"/>
        <w:rPr>
          <w:rFonts w:ascii="Times New Roman" w:hAnsi="Times New Roman" w:cs="Times New Roman"/>
        </w:rPr>
      </w:pPr>
    </w:p>
    <w:p w14:paraId="2A564C36" w14:textId="76DD4DFC" w:rsidR="0068109A" w:rsidRDefault="00534C70" w:rsidP="0065661C">
      <w:pPr>
        <w:spacing w:line="360" w:lineRule="auto"/>
        <w:jc w:val="both"/>
        <w:rPr>
          <w:rFonts w:ascii="Times New Roman" w:hAnsi="Times New Roman" w:cs="Times New Roman"/>
        </w:rPr>
      </w:pPr>
      <w:r>
        <w:rPr>
          <w:rFonts w:ascii="Times New Roman" w:hAnsi="Times New Roman" w:cs="Times New Roman"/>
        </w:rPr>
        <w:t xml:space="preserve">Según </w:t>
      </w:r>
      <w:r w:rsidR="00A646AF">
        <w:rPr>
          <w:rFonts w:ascii="Times New Roman" w:hAnsi="Times New Roman" w:cs="Times New Roman"/>
        </w:rPr>
        <w:t>el gráfico</w:t>
      </w:r>
      <w:r>
        <w:rPr>
          <w:rFonts w:ascii="Times New Roman" w:hAnsi="Times New Roman" w:cs="Times New Roman"/>
        </w:rPr>
        <w:t xml:space="preserve"> anterior, </w:t>
      </w:r>
      <w:r w:rsidR="00333252">
        <w:rPr>
          <w:rFonts w:ascii="Times New Roman" w:hAnsi="Times New Roman" w:cs="Times New Roman"/>
        </w:rPr>
        <w:t>la</w:t>
      </w:r>
      <w:r w:rsidR="006C3EB6">
        <w:rPr>
          <w:rFonts w:ascii="Times New Roman" w:hAnsi="Times New Roman" w:cs="Times New Roman"/>
        </w:rPr>
        <w:t xml:space="preserve"> mitad de</w:t>
      </w:r>
      <w:r w:rsidR="00333252">
        <w:rPr>
          <w:rFonts w:ascii="Times New Roman" w:hAnsi="Times New Roman" w:cs="Times New Roman"/>
        </w:rPr>
        <w:t xml:space="preserve">l total de </w:t>
      </w:r>
      <w:r>
        <w:rPr>
          <w:rFonts w:ascii="Times New Roman" w:hAnsi="Times New Roman" w:cs="Times New Roman"/>
        </w:rPr>
        <w:t xml:space="preserve">los </w:t>
      </w:r>
      <w:r w:rsidR="006C3EB6">
        <w:rPr>
          <w:rFonts w:ascii="Times New Roman" w:hAnsi="Times New Roman" w:cs="Times New Roman"/>
        </w:rPr>
        <w:t>encuestados señala que s</w:t>
      </w:r>
      <w:r w:rsidR="00C866A5">
        <w:rPr>
          <w:rFonts w:ascii="Times New Roman" w:hAnsi="Times New Roman" w:cs="Times New Roman"/>
        </w:rPr>
        <w:t>í</w:t>
      </w:r>
      <w:r w:rsidR="006C3EB6">
        <w:rPr>
          <w:rFonts w:ascii="Times New Roman" w:hAnsi="Times New Roman" w:cs="Times New Roman"/>
        </w:rPr>
        <w:t xml:space="preserve"> existen</w:t>
      </w:r>
      <w:r>
        <w:rPr>
          <w:rFonts w:ascii="Times New Roman" w:hAnsi="Times New Roman" w:cs="Times New Roman"/>
        </w:rPr>
        <w:t xml:space="preserve"> recursos por parte del gobierno hacia </w:t>
      </w:r>
      <w:r w:rsidR="006C3EB6">
        <w:rPr>
          <w:rFonts w:ascii="Times New Roman" w:hAnsi="Times New Roman" w:cs="Times New Roman"/>
        </w:rPr>
        <w:t xml:space="preserve">la seguridad social </w:t>
      </w:r>
      <w:r w:rsidR="001D3735">
        <w:rPr>
          <w:rFonts w:ascii="Times New Roman" w:hAnsi="Times New Roman" w:cs="Times New Roman"/>
        </w:rPr>
        <w:t xml:space="preserve">debido a que </w:t>
      </w:r>
      <w:r w:rsidR="006C3EB6">
        <w:rPr>
          <w:rFonts w:ascii="Times New Roman" w:hAnsi="Times New Roman" w:cs="Times New Roman"/>
        </w:rPr>
        <w:t xml:space="preserve">dan por hecho </w:t>
      </w:r>
      <w:r w:rsidR="001D3735">
        <w:rPr>
          <w:rFonts w:ascii="Times New Roman" w:hAnsi="Times New Roman" w:cs="Times New Roman"/>
        </w:rPr>
        <w:t>el seguro popular</w:t>
      </w:r>
      <w:r w:rsidR="006C3EB6">
        <w:rPr>
          <w:rFonts w:ascii="Times New Roman" w:hAnsi="Times New Roman" w:cs="Times New Roman"/>
        </w:rPr>
        <w:t xml:space="preserve"> (aunque </w:t>
      </w:r>
      <w:r w:rsidR="00E101AA">
        <w:rPr>
          <w:rFonts w:ascii="Times New Roman" w:hAnsi="Times New Roman" w:cs="Times New Roman"/>
        </w:rPr>
        <w:t xml:space="preserve">este </w:t>
      </w:r>
      <w:r w:rsidR="006C3EB6">
        <w:rPr>
          <w:rFonts w:ascii="Times New Roman" w:hAnsi="Times New Roman" w:cs="Times New Roman"/>
        </w:rPr>
        <w:t>no se menciona dentro de esta investigación); mientras que la otra mitad está dividida, ya que algunos piensan que no se han dado recursos a la seguridad social</w:t>
      </w:r>
      <w:r w:rsidR="00C866A5">
        <w:rPr>
          <w:rFonts w:ascii="Times New Roman" w:hAnsi="Times New Roman" w:cs="Times New Roman"/>
        </w:rPr>
        <w:t>, y el resto</w:t>
      </w:r>
      <w:r w:rsidR="006C3EB6">
        <w:rPr>
          <w:rFonts w:ascii="Times New Roman" w:hAnsi="Times New Roman" w:cs="Times New Roman"/>
        </w:rPr>
        <w:t xml:space="preserve"> señala que no están de acuerdo en que se dieron recursos, pero </w:t>
      </w:r>
      <w:r w:rsidR="00C866A5">
        <w:rPr>
          <w:rFonts w:ascii="Times New Roman" w:hAnsi="Times New Roman" w:cs="Times New Roman"/>
        </w:rPr>
        <w:t xml:space="preserve">que </w:t>
      </w:r>
      <w:r w:rsidR="006C3EB6">
        <w:rPr>
          <w:rFonts w:ascii="Times New Roman" w:hAnsi="Times New Roman" w:cs="Times New Roman"/>
        </w:rPr>
        <w:t>tampoco están en desacuerdo.</w:t>
      </w:r>
    </w:p>
    <w:p w14:paraId="4BB66ECF" w14:textId="77777777" w:rsidR="0068109A" w:rsidRDefault="0068109A" w:rsidP="0065661C">
      <w:pPr>
        <w:spacing w:line="360" w:lineRule="auto"/>
        <w:jc w:val="both"/>
        <w:rPr>
          <w:rFonts w:ascii="Times New Roman" w:hAnsi="Times New Roman" w:cs="Times New Roman"/>
        </w:rPr>
      </w:pPr>
    </w:p>
    <w:p w14:paraId="616E7FD8" w14:textId="0838AFA8" w:rsidR="00800157" w:rsidRDefault="006C3EB6" w:rsidP="0065661C">
      <w:pPr>
        <w:spacing w:line="360" w:lineRule="auto"/>
        <w:jc w:val="both"/>
        <w:rPr>
          <w:rFonts w:ascii="Times New Roman" w:hAnsi="Times New Roman" w:cs="Times New Roman"/>
        </w:rPr>
      </w:pPr>
      <w:r>
        <w:rPr>
          <w:rFonts w:ascii="Times New Roman" w:hAnsi="Times New Roman" w:cs="Times New Roman"/>
        </w:rPr>
        <w:t>Por otra parte,</w:t>
      </w:r>
      <w:r w:rsidR="00E02144">
        <w:rPr>
          <w:rFonts w:ascii="Times New Roman" w:hAnsi="Times New Roman" w:cs="Times New Roman"/>
        </w:rPr>
        <w:t xml:space="preserve"> </w:t>
      </w:r>
      <w:r w:rsidR="00A646AF">
        <w:rPr>
          <w:rFonts w:ascii="Times New Roman" w:hAnsi="Times New Roman" w:cs="Times New Roman"/>
        </w:rPr>
        <w:t>el gráfico</w:t>
      </w:r>
      <w:r w:rsidR="00E02144">
        <w:rPr>
          <w:rFonts w:ascii="Times New Roman" w:hAnsi="Times New Roman" w:cs="Times New Roman"/>
        </w:rPr>
        <w:t xml:space="preserve"> 4 muestra los resultados obtenidos de los encuestados en relación al salario mínimo:</w:t>
      </w:r>
    </w:p>
    <w:p w14:paraId="71F802EF" w14:textId="3B3804A2" w:rsidR="00800157" w:rsidRDefault="00800157" w:rsidP="00777D11">
      <w:pPr>
        <w:spacing w:line="360" w:lineRule="auto"/>
        <w:rPr>
          <w:rFonts w:ascii="Times New Roman" w:hAnsi="Times New Roman" w:cs="Times New Roman"/>
        </w:rPr>
      </w:pPr>
    </w:p>
    <w:p w14:paraId="529589D4" w14:textId="16D17586" w:rsidR="00800157" w:rsidRDefault="00FF3559" w:rsidP="00FF3559">
      <w:pPr>
        <w:spacing w:line="360" w:lineRule="auto"/>
        <w:ind w:left="1416" w:firstLine="708"/>
        <w:rPr>
          <w:rFonts w:ascii="Times New Roman" w:hAnsi="Times New Roman" w:cs="Times New Roman"/>
        </w:rPr>
      </w:pPr>
      <w:r>
        <w:rPr>
          <w:rFonts w:ascii="Times New Roman" w:hAnsi="Times New Roman" w:cs="Times New Roman"/>
        </w:rPr>
        <w:t xml:space="preserve">         </w:t>
      </w:r>
      <w:r w:rsidR="00A646AF">
        <w:rPr>
          <w:rFonts w:ascii="Times New Roman" w:hAnsi="Times New Roman" w:cs="Times New Roman"/>
        </w:rPr>
        <w:t>Gráfico</w:t>
      </w:r>
      <w:r w:rsidR="00800157">
        <w:rPr>
          <w:rFonts w:ascii="Times New Roman" w:hAnsi="Times New Roman" w:cs="Times New Roman"/>
        </w:rPr>
        <w:t xml:space="preserve"> 4</w:t>
      </w:r>
      <w:r>
        <w:rPr>
          <w:rFonts w:ascii="Times New Roman" w:hAnsi="Times New Roman" w:cs="Times New Roman"/>
        </w:rPr>
        <w:t>.</w:t>
      </w:r>
      <w:r w:rsidR="00800157">
        <w:rPr>
          <w:rFonts w:ascii="Times New Roman" w:hAnsi="Times New Roman" w:cs="Times New Roman"/>
        </w:rPr>
        <w:t xml:space="preserve"> Políticas públicas en seguridad social.</w:t>
      </w:r>
    </w:p>
    <w:p w14:paraId="53ABE7EA" w14:textId="3B7B4B44" w:rsidR="00E02144" w:rsidRDefault="00FF3559" w:rsidP="00E02144">
      <w:pPr>
        <w:spacing w:line="360" w:lineRule="auto"/>
        <w:jc w:val="center"/>
        <w:rPr>
          <w:rFonts w:ascii="Times New Roman" w:hAnsi="Times New Roman" w:cs="Times New Roman"/>
        </w:rPr>
      </w:pPr>
      <w:r>
        <w:rPr>
          <w:rFonts w:ascii="Times New Roman" w:hAnsi="Times New Roman" w:cs="Times New Roman"/>
          <w:noProof/>
          <w:lang w:val="es-MX" w:eastAsia="es-MX"/>
        </w:rPr>
        <w:drawing>
          <wp:anchor distT="0" distB="0" distL="114300" distR="114300" simplePos="0" relativeHeight="251661312" behindDoc="0" locked="0" layoutInCell="1" allowOverlap="1" wp14:anchorId="711EBF59" wp14:editId="5749C28F">
            <wp:simplePos x="0" y="0"/>
            <wp:positionH relativeFrom="column">
              <wp:posOffset>1600200</wp:posOffset>
            </wp:positionH>
            <wp:positionV relativeFrom="paragraph">
              <wp:posOffset>45720</wp:posOffset>
            </wp:positionV>
            <wp:extent cx="3155315" cy="2057400"/>
            <wp:effectExtent l="0" t="0" r="26035" b="19050"/>
            <wp:wrapNone/>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7A8CD821" w14:textId="77777777" w:rsidR="00FF3559" w:rsidRDefault="00FF3559" w:rsidP="00E02144">
      <w:pPr>
        <w:spacing w:line="360" w:lineRule="auto"/>
        <w:jc w:val="center"/>
        <w:rPr>
          <w:rFonts w:ascii="Times New Roman" w:hAnsi="Times New Roman" w:cs="Times New Roman"/>
        </w:rPr>
      </w:pPr>
    </w:p>
    <w:p w14:paraId="084C5657" w14:textId="77777777" w:rsidR="00FF3559" w:rsidRDefault="00FF3559" w:rsidP="00E02144">
      <w:pPr>
        <w:spacing w:line="360" w:lineRule="auto"/>
        <w:jc w:val="center"/>
        <w:rPr>
          <w:rFonts w:ascii="Times New Roman" w:hAnsi="Times New Roman" w:cs="Times New Roman"/>
        </w:rPr>
      </w:pPr>
    </w:p>
    <w:p w14:paraId="7398EDE4" w14:textId="77777777" w:rsidR="00FF3559" w:rsidRDefault="00FF3559" w:rsidP="00E02144">
      <w:pPr>
        <w:spacing w:line="360" w:lineRule="auto"/>
        <w:jc w:val="center"/>
        <w:rPr>
          <w:rFonts w:ascii="Times New Roman" w:hAnsi="Times New Roman" w:cs="Times New Roman"/>
        </w:rPr>
      </w:pPr>
    </w:p>
    <w:p w14:paraId="4CEB3D10" w14:textId="77777777" w:rsidR="00FF3559" w:rsidRDefault="00FF3559" w:rsidP="00E02144">
      <w:pPr>
        <w:spacing w:line="360" w:lineRule="auto"/>
        <w:jc w:val="center"/>
        <w:rPr>
          <w:rFonts w:ascii="Times New Roman" w:hAnsi="Times New Roman" w:cs="Times New Roman"/>
        </w:rPr>
      </w:pPr>
    </w:p>
    <w:p w14:paraId="779264C1" w14:textId="77777777" w:rsidR="00FF3559" w:rsidRDefault="00FF3559" w:rsidP="00E02144">
      <w:pPr>
        <w:spacing w:line="360" w:lineRule="auto"/>
        <w:jc w:val="center"/>
        <w:rPr>
          <w:rFonts w:ascii="Times New Roman" w:hAnsi="Times New Roman" w:cs="Times New Roman"/>
        </w:rPr>
      </w:pPr>
    </w:p>
    <w:p w14:paraId="46302711" w14:textId="77777777" w:rsidR="00FF3559" w:rsidRDefault="00FF3559" w:rsidP="00E02144">
      <w:pPr>
        <w:spacing w:line="360" w:lineRule="auto"/>
        <w:jc w:val="center"/>
        <w:rPr>
          <w:rFonts w:ascii="Times New Roman" w:hAnsi="Times New Roman" w:cs="Times New Roman"/>
        </w:rPr>
      </w:pPr>
    </w:p>
    <w:p w14:paraId="29C595B5" w14:textId="77777777" w:rsidR="00FF3559" w:rsidRDefault="00FF3559" w:rsidP="00FF3559">
      <w:pPr>
        <w:spacing w:line="360" w:lineRule="auto"/>
        <w:ind w:left="1416" w:firstLine="708"/>
        <w:jc w:val="both"/>
        <w:rPr>
          <w:rFonts w:ascii="Times New Roman" w:hAnsi="Times New Roman" w:cs="Times New Roman"/>
        </w:rPr>
      </w:pPr>
    </w:p>
    <w:p w14:paraId="171F64DF" w14:textId="37295B95" w:rsidR="00800157" w:rsidRDefault="00FF3559" w:rsidP="00FF3559">
      <w:pPr>
        <w:spacing w:line="360" w:lineRule="auto"/>
        <w:ind w:left="1416" w:firstLine="708"/>
        <w:jc w:val="both"/>
        <w:rPr>
          <w:rFonts w:ascii="Times New Roman" w:hAnsi="Times New Roman" w:cs="Times New Roman"/>
        </w:rPr>
      </w:pPr>
      <w:r>
        <w:rPr>
          <w:rFonts w:ascii="Times New Roman" w:hAnsi="Times New Roman" w:cs="Times New Roman"/>
        </w:rPr>
        <w:t xml:space="preserve">      </w:t>
      </w:r>
      <w:r w:rsidR="00E101AA">
        <w:rPr>
          <w:rFonts w:ascii="Times New Roman" w:hAnsi="Times New Roman" w:cs="Times New Roman"/>
        </w:rPr>
        <w:t>F</w:t>
      </w:r>
      <w:r w:rsidR="00800157">
        <w:rPr>
          <w:rFonts w:ascii="Times New Roman" w:hAnsi="Times New Roman" w:cs="Times New Roman"/>
        </w:rPr>
        <w:t xml:space="preserve">uente: </w:t>
      </w:r>
      <w:r w:rsidR="00AA3649">
        <w:rPr>
          <w:rFonts w:ascii="Times New Roman" w:hAnsi="Times New Roman" w:cs="Times New Roman"/>
        </w:rPr>
        <w:t>elaboración propia</w:t>
      </w:r>
      <w:r w:rsidR="00E101AA">
        <w:rPr>
          <w:rFonts w:ascii="Times New Roman" w:hAnsi="Times New Roman" w:cs="Times New Roman"/>
        </w:rPr>
        <w:t>.</w:t>
      </w:r>
    </w:p>
    <w:p w14:paraId="3BD73401" w14:textId="77777777" w:rsidR="00800157" w:rsidRDefault="00800157" w:rsidP="0065661C">
      <w:pPr>
        <w:spacing w:line="360" w:lineRule="auto"/>
        <w:jc w:val="both"/>
        <w:rPr>
          <w:rFonts w:ascii="Times New Roman" w:hAnsi="Times New Roman" w:cs="Times New Roman"/>
        </w:rPr>
      </w:pPr>
    </w:p>
    <w:p w14:paraId="49F2CC4D" w14:textId="48AB35D9" w:rsidR="00800157" w:rsidRDefault="00800157" w:rsidP="0065661C">
      <w:pPr>
        <w:spacing w:line="360" w:lineRule="auto"/>
        <w:jc w:val="both"/>
        <w:rPr>
          <w:rFonts w:ascii="Times New Roman" w:hAnsi="Times New Roman" w:cs="Times New Roman"/>
        </w:rPr>
      </w:pPr>
      <w:r>
        <w:rPr>
          <w:rFonts w:ascii="Times New Roman" w:hAnsi="Times New Roman" w:cs="Times New Roman"/>
        </w:rPr>
        <w:t>De acuerdo a</w:t>
      </w:r>
      <w:r w:rsidR="00A646AF">
        <w:rPr>
          <w:rFonts w:ascii="Times New Roman" w:hAnsi="Times New Roman" w:cs="Times New Roman"/>
        </w:rPr>
        <w:t>l</w:t>
      </w:r>
      <w:r>
        <w:rPr>
          <w:rFonts w:ascii="Times New Roman" w:hAnsi="Times New Roman" w:cs="Times New Roman"/>
        </w:rPr>
        <w:t xml:space="preserve"> </w:t>
      </w:r>
      <w:r w:rsidR="00A646AF">
        <w:rPr>
          <w:rFonts w:ascii="Times New Roman" w:hAnsi="Times New Roman" w:cs="Times New Roman"/>
        </w:rPr>
        <w:t>gráfico</w:t>
      </w:r>
      <w:r>
        <w:rPr>
          <w:rFonts w:ascii="Times New Roman" w:hAnsi="Times New Roman" w:cs="Times New Roman"/>
        </w:rPr>
        <w:t xml:space="preserve"> anterior, el total de la población encuestada </w:t>
      </w:r>
      <w:r w:rsidR="00333252">
        <w:rPr>
          <w:rFonts w:ascii="Times New Roman" w:hAnsi="Times New Roman" w:cs="Times New Roman"/>
        </w:rPr>
        <w:t>piensa</w:t>
      </w:r>
      <w:r>
        <w:rPr>
          <w:rFonts w:ascii="Times New Roman" w:hAnsi="Times New Roman" w:cs="Times New Roman"/>
        </w:rPr>
        <w:t xml:space="preserve"> que las políticas actuales en el ramo de la seguridad social no </w:t>
      </w:r>
      <w:r w:rsidR="00333252">
        <w:rPr>
          <w:rFonts w:ascii="Times New Roman" w:hAnsi="Times New Roman" w:cs="Times New Roman"/>
        </w:rPr>
        <w:t>han</w:t>
      </w:r>
      <w:r>
        <w:rPr>
          <w:rFonts w:ascii="Times New Roman" w:hAnsi="Times New Roman" w:cs="Times New Roman"/>
        </w:rPr>
        <w:t xml:space="preserve"> logrado elevar el salario mínimo del trabajador </w:t>
      </w:r>
      <w:r w:rsidR="00333252">
        <w:rPr>
          <w:rFonts w:ascii="Times New Roman" w:hAnsi="Times New Roman" w:cs="Times New Roman"/>
        </w:rPr>
        <w:t>y así</w:t>
      </w:r>
      <w:r>
        <w:rPr>
          <w:rFonts w:ascii="Times New Roman" w:hAnsi="Times New Roman" w:cs="Times New Roman"/>
        </w:rPr>
        <w:t xml:space="preserve"> obtener una mejor pensión al momento de jubilarse.</w:t>
      </w:r>
    </w:p>
    <w:p w14:paraId="15122A95" w14:textId="77777777" w:rsidR="00800157" w:rsidRDefault="00800157" w:rsidP="0065661C">
      <w:pPr>
        <w:spacing w:line="360" w:lineRule="auto"/>
        <w:jc w:val="both"/>
        <w:rPr>
          <w:rFonts w:ascii="Times New Roman" w:hAnsi="Times New Roman" w:cs="Times New Roman"/>
        </w:rPr>
      </w:pPr>
    </w:p>
    <w:p w14:paraId="57EA85C9" w14:textId="6F46B27C" w:rsidR="00DE1D7C" w:rsidRDefault="006D6D9B" w:rsidP="0065661C">
      <w:pPr>
        <w:spacing w:line="360" w:lineRule="auto"/>
        <w:jc w:val="both"/>
        <w:rPr>
          <w:rFonts w:ascii="Times New Roman" w:hAnsi="Times New Roman" w:cs="Times New Roman"/>
        </w:rPr>
      </w:pPr>
      <w:r>
        <w:rPr>
          <w:rFonts w:ascii="Times New Roman" w:hAnsi="Times New Roman" w:cs="Times New Roman"/>
        </w:rPr>
        <w:t xml:space="preserve">Se preguntó a los encuestados sobre su manera de pensar acerca de la política antiinflacionaria dentro del sistema de seguridad social; las respuestas obtenidas se muestran </w:t>
      </w:r>
      <w:r w:rsidR="00A646AF">
        <w:rPr>
          <w:rFonts w:ascii="Times New Roman" w:hAnsi="Times New Roman" w:cs="Times New Roman"/>
        </w:rPr>
        <w:t>en el gráfico</w:t>
      </w:r>
      <w:r>
        <w:rPr>
          <w:rFonts w:ascii="Times New Roman" w:hAnsi="Times New Roman" w:cs="Times New Roman"/>
        </w:rPr>
        <w:t xml:space="preserve"> 5. </w:t>
      </w:r>
    </w:p>
    <w:p w14:paraId="5E5354F4" w14:textId="77777777" w:rsidR="000223D6" w:rsidRDefault="000223D6" w:rsidP="0065661C">
      <w:pPr>
        <w:spacing w:line="360" w:lineRule="auto"/>
        <w:jc w:val="both"/>
        <w:rPr>
          <w:rFonts w:ascii="Times New Roman" w:hAnsi="Times New Roman" w:cs="Times New Roman"/>
        </w:rPr>
      </w:pPr>
    </w:p>
    <w:p w14:paraId="3DEF0E06" w14:textId="77777777" w:rsidR="000223D6" w:rsidRDefault="000223D6" w:rsidP="0065661C">
      <w:pPr>
        <w:spacing w:line="360" w:lineRule="auto"/>
        <w:jc w:val="both"/>
        <w:rPr>
          <w:rFonts w:ascii="Times New Roman" w:hAnsi="Times New Roman" w:cs="Times New Roman"/>
        </w:rPr>
      </w:pPr>
    </w:p>
    <w:p w14:paraId="16F9DFE9" w14:textId="77777777" w:rsidR="000223D6" w:rsidRDefault="000223D6" w:rsidP="0065661C">
      <w:pPr>
        <w:spacing w:line="360" w:lineRule="auto"/>
        <w:jc w:val="both"/>
        <w:rPr>
          <w:rFonts w:ascii="Times New Roman" w:hAnsi="Times New Roman" w:cs="Times New Roman"/>
        </w:rPr>
      </w:pPr>
    </w:p>
    <w:p w14:paraId="0B0FBE6C" w14:textId="77777777" w:rsidR="000223D6" w:rsidRDefault="000223D6" w:rsidP="0065661C">
      <w:pPr>
        <w:spacing w:line="360" w:lineRule="auto"/>
        <w:jc w:val="both"/>
        <w:rPr>
          <w:rFonts w:ascii="Times New Roman" w:hAnsi="Times New Roman" w:cs="Times New Roman"/>
        </w:rPr>
      </w:pPr>
    </w:p>
    <w:p w14:paraId="7608E15D" w14:textId="77777777" w:rsidR="000223D6" w:rsidRDefault="000223D6" w:rsidP="0065661C">
      <w:pPr>
        <w:spacing w:line="360" w:lineRule="auto"/>
        <w:jc w:val="both"/>
        <w:rPr>
          <w:rFonts w:ascii="Times New Roman" w:hAnsi="Times New Roman" w:cs="Times New Roman"/>
        </w:rPr>
      </w:pPr>
    </w:p>
    <w:p w14:paraId="08513E68" w14:textId="77777777" w:rsidR="00AC30BD" w:rsidRDefault="00AC30BD" w:rsidP="0065661C">
      <w:pPr>
        <w:spacing w:line="360" w:lineRule="auto"/>
        <w:jc w:val="both"/>
        <w:rPr>
          <w:rFonts w:ascii="Times New Roman" w:hAnsi="Times New Roman" w:cs="Times New Roman"/>
        </w:rPr>
      </w:pPr>
    </w:p>
    <w:p w14:paraId="6E0C28D5" w14:textId="063A2DCB" w:rsidR="006D6D9B" w:rsidRDefault="00970764" w:rsidP="0065661C">
      <w:pPr>
        <w:spacing w:line="360" w:lineRule="auto"/>
        <w:jc w:val="both"/>
        <w:rPr>
          <w:rFonts w:ascii="Times New Roman" w:hAnsi="Times New Roman" w:cs="Times New Roman"/>
        </w:rPr>
      </w:pPr>
      <w:r>
        <w:rPr>
          <w:rFonts w:ascii="Times New Roman" w:hAnsi="Times New Roman" w:cs="Times New Roman"/>
          <w:noProof/>
          <w:lang w:val="es-MX" w:eastAsia="es-MX"/>
        </w:rPr>
        <w:drawing>
          <wp:anchor distT="0" distB="0" distL="114300" distR="114300" simplePos="0" relativeHeight="251662336" behindDoc="0" locked="0" layoutInCell="1" allowOverlap="1" wp14:anchorId="7CDCA0F5" wp14:editId="71D65C93">
            <wp:simplePos x="0" y="0"/>
            <wp:positionH relativeFrom="column">
              <wp:posOffset>1371600</wp:posOffset>
            </wp:positionH>
            <wp:positionV relativeFrom="paragraph">
              <wp:posOffset>240030</wp:posOffset>
            </wp:positionV>
            <wp:extent cx="3086100" cy="2057400"/>
            <wp:effectExtent l="0" t="0" r="12700" b="25400"/>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A646AF">
        <w:rPr>
          <w:rFonts w:ascii="Times New Roman" w:hAnsi="Times New Roman" w:cs="Times New Roman"/>
          <w:noProof/>
          <w:lang w:val="es-ES"/>
        </w:rPr>
        <w:t xml:space="preserve">                                      Gráfico</w:t>
      </w:r>
      <w:r w:rsidR="00AC30BD">
        <w:rPr>
          <w:rFonts w:ascii="Times New Roman" w:hAnsi="Times New Roman" w:cs="Times New Roman"/>
        </w:rPr>
        <w:t xml:space="preserve"> 5</w:t>
      </w:r>
      <w:r w:rsidR="00E101AA">
        <w:rPr>
          <w:rFonts w:ascii="Times New Roman" w:hAnsi="Times New Roman" w:cs="Times New Roman"/>
        </w:rPr>
        <w:t>.</w:t>
      </w:r>
      <w:r w:rsidR="00AC30BD">
        <w:rPr>
          <w:rFonts w:ascii="Times New Roman" w:hAnsi="Times New Roman" w:cs="Times New Roman"/>
        </w:rPr>
        <w:t xml:space="preserve"> </w:t>
      </w:r>
      <w:r>
        <w:rPr>
          <w:rFonts w:ascii="Times New Roman" w:hAnsi="Times New Roman" w:cs="Times New Roman"/>
        </w:rPr>
        <w:t xml:space="preserve">La inflación en las </w:t>
      </w:r>
      <w:r w:rsidR="00AC30BD" w:rsidRPr="00AC30BD">
        <w:rPr>
          <w:rFonts w:ascii="Times New Roman" w:hAnsi="Times New Roman" w:cs="Times New Roman"/>
        </w:rPr>
        <w:t xml:space="preserve">pensiones </w:t>
      </w:r>
      <w:r w:rsidR="00AC30BD">
        <w:rPr>
          <w:rFonts w:ascii="Times New Roman" w:hAnsi="Times New Roman" w:cs="Times New Roman"/>
        </w:rPr>
        <w:t>moneda</w:t>
      </w:r>
    </w:p>
    <w:p w14:paraId="63875AEE" w14:textId="36041241" w:rsidR="006D6D9B" w:rsidRDefault="006D6D9B" w:rsidP="0065661C">
      <w:pPr>
        <w:spacing w:line="360" w:lineRule="auto"/>
        <w:jc w:val="both"/>
        <w:rPr>
          <w:rFonts w:ascii="Times New Roman" w:hAnsi="Times New Roman" w:cs="Times New Roman"/>
        </w:rPr>
      </w:pPr>
    </w:p>
    <w:p w14:paraId="713004D9" w14:textId="77777777" w:rsidR="00970764" w:rsidRDefault="00970764" w:rsidP="00EE6B30">
      <w:pPr>
        <w:spacing w:line="360" w:lineRule="auto"/>
        <w:ind w:left="3540" w:firstLine="708"/>
        <w:jc w:val="both"/>
        <w:rPr>
          <w:rFonts w:ascii="Times New Roman" w:hAnsi="Times New Roman" w:cs="Times New Roman"/>
        </w:rPr>
      </w:pPr>
    </w:p>
    <w:p w14:paraId="5A36F1C4" w14:textId="77777777" w:rsidR="00970764" w:rsidRDefault="00970764" w:rsidP="00EE6B30">
      <w:pPr>
        <w:spacing w:line="360" w:lineRule="auto"/>
        <w:ind w:left="3540" w:firstLine="708"/>
        <w:jc w:val="both"/>
        <w:rPr>
          <w:rFonts w:ascii="Times New Roman" w:hAnsi="Times New Roman" w:cs="Times New Roman"/>
        </w:rPr>
      </w:pPr>
    </w:p>
    <w:p w14:paraId="6A97DD0D" w14:textId="77777777" w:rsidR="00970764" w:rsidRDefault="00970764" w:rsidP="00EE6B30">
      <w:pPr>
        <w:spacing w:line="360" w:lineRule="auto"/>
        <w:ind w:left="3540" w:firstLine="708"/>
        <w:jc w:val="both"/>
        <w:rPr>
          <w:rFonts w:ascii="Times New Roman" w:hAnsi="Times New Roman" w:cs="Times New Roman"/>
        </w:rPr>
      </w:pPr>
    </w:p>
    <w:p w14:paraId="5F082FCA" w14:textId="77777777" w:rsidR="00970764" w:rsidRDefault="00970764" w:rsidP="00EE6B30">
      <w:pPr>
        <w:spacing w:line="360" w:lineRule="auto"/>
        <w:ind w:left="3540" w:firstLine="708"/>
        <w:jc w:val="both"/>
        <w:rPr>
          <w:rFonts w:ascii="Times New Roman" w:hAnsi="Times New Roman" w:cs="Times New Roman"/>
        </w:rPr>
      </w:pPr>
    </w:p>
    <w:p w14:paraId="581E30B9" w14:textId="77777777" w:rsidR="00970764" w:rsidRDefault="00970764" w:rsidP="00EE6B30">
      <w:pPr>
        <w:spacing w:line="360" w:lineRule="auto"/>
        <w:ind w:left="3540" w:firstLine="708"/>
        <w:jc w:val="both"/>
        <w:rPr>
          <w:rFonts w:ascii="Times New Roman" w:hAnsi="Times New Roman" w:cs="Times New Roman"/>
        </w:rPr>
      </w:pPr>
    </w:p>
    <w:p w14:paraId="08E5CCA4" w14:textId="77777777" w:rsidR="00970764" w:rsidRDefault="00970764" w:rsidP="00EE6B30">
      <w:pPr>
        <w:spacing w:line="360" w:lineRule="auto"/>
        <w:ind w:left="3540" w:firstLine="708"/>
        <w:jc w:val="both"/>
        <w:rPr>
          <w:rFonts w:ascii="Times New Roman" w:hAnsi="Times New Roman" w:cs="Times New Roman"/>
        </w:rPr>
      </w:pPr>
    </w:p>
    <w:p w14:paraId="72E85A49" w14:textId="77777777" w:rsidR="00970764" w:rsidRDefault="00970764" w:rsidP="00EE6B30">
      <w:pPr>
        <w:spacing w:line="360" w:lineRule="auto"/>
        <w:ind w:left="3540" w:firstLine="708"/>
        <w:jc w:val="both"/>
        <w:rPr>
          <w:rFonts w:ascii="Times New Roman" w:hAnsi="Times New Roman" w:cs="Times New Roman"/>
        </w:rPr>
      </w:pPr>
    </w:p>
    <w:p w14:paraId="5B1B644F" w14:textId="1805789C" w:rsidR="00DE1D7C" w:rsidRDefault="00E101AA" w:rsidP="0068109A">
      <w:pPr>
        <w:spacing w:line="360" w:lineRule="auto"/>
        <w:ind w:left="2124"/>
        <w:jc w:val="both"/>
        <w:rPr>
          <w:rFonts w:ascii="Times New Roman" w:hAnsi="Times New Roman" w:cs="Times New Roman"/>
        </w:rPr>
      </w:pPr>
      <w:r>
        <w:rPr>
          <w:rFonts w:ascii="Times New Roman" w:hAnsi="Times New Roman" w:cs="Times New Roman"/>
        </w:rPr>
        <w:t>F</w:t>
      </w:r>
      <w:r w:rsidR="00EE6B30">
        <w:rPr>
          <w:rFonts w:ascii="Times New Roman" w:hAnsi="Times New Roman" w:cs="Times New Roman"/>
        </w:rPr>
        <w:t xml:space="preserve">uente: </w:t>
      </w:r>
      <w:r w:rsidR="00AA3649">
        <w:rPr>
          <w:rFonts w:ascii="Times New Roman" w:hAnsi="Times New Roman" w:cs="Times New Roman"/>
        </w:rPr>
        <w:t>elaboración propia</w:t>
      </w:r>
      <w:r>
        <w:rPr>
          <w:rFonts w:ascii="Times New Roman" w:hAnsi="Times New Roman" w:cs="Times New Roman"/>
        </w:rPr>
        <w:t>.</w:t>
      </w:r>
    </w:p>
    <w:p w14:paraId="2581E310" w14:textId="77777777" w:rsidR="0068109A" w:rsidRDefault="0068109A" w:rsidP="0068109A">
      <w:pPr>
        <w:spacing w:line="360" w:lineRule="auto"/>
        <w:ind w:left="2124"/>
        <w:jc w:val="both"/>
        <w:rPr>
          <w:rFonts w:ascii="Times New Roman" w:hAnsi="Times New Roman" w:cs="Times New Roman"/>
        </w:rPr>
      </w:pPr>
    </w:p>
    <w:p w14:paraId="4A3CD10B" w14:textId="5D93A998" w:rsidR="00AC30BD" w:rsidRDefault="00AC30BD" w:rsidP="0065661C">
      <w:pPr>
        <w:spacing w:line="360" w:lineRule="auto"/>
        <w:jc w:val="both"/>
        <w:rPr>
          <w:rFonts w:ascii="Times New Roman" w:hAnsi="Times New Roman" w:cs="Times New Roman"/>
        </w:rPr>
      </w:pPr>
      <w:r>
        <w:rPr>
          <w:rFonts w:ascii="Times New Roman" w:hAnsi="Times New Roman" w:cs="Times New Roman"/>
        </w:rPr>
        <w:t xml:space="preserve">Los resultados </w:t>
      </w:r>
      <w:r w:rsidR="00A646AF">
        <w:rPr>
          <w:rFonts w:ascii="Times New Roman" w:hAnsi="Times New Roman" w:cs="Times New Roman"/>
        </w:rPr>
        <w:t>del gráfico</w:t>
      </w:r>
      <w:r>
        <w:rPr>
          <w:rFonts w:ascii="Times New Roman" w:hAnsi="Times New Roman" w:cs="Times New Roman"/>
        </w:rPr>
        <w:t xml:space="preserve"> 5 muestran que existe un total desacuerdo por parte de los encuestados </w:t>
      </w:r>
      <w:r w:rsidR="00EE6B30">
        <w:rPr>
          <w:rFonts w:ascii="Times New Roman" w:hAnsi="Times New Roman" w:cs="Times New Roman"/>
        </w:rPr>
        <w:t>en que el salario mínimo está protegido</w:t>
      </w:r>
      <w:r>
        <w:rPr>
          <w:rFonts w:ascii="Times New Roman" w:hAnsi="Times New Roman" w:cs="Times New Roman"/>
        </w:rPr>
        <w:t xml:space="preserve"> </w:t>
      </w:r>
      <w:r w:rsidR="00EE6B30">
        <w:rPr>
          <w:rFonts w:ascii="Times New Roman" w:hAnsi="Times New Roman" w:cs="Times New Roman"/>
        </w:rPr>
        <w:t>conforme</w:t>
      </w:r>
      <w:r>
        <w:rPr>
          <w:rFonts w:ascii="Times New Roman" w:hAnsi="Times New Roman" w:cs="Times New Roman"/>
        </w:rPr>
        <w:t xml:space="preserve"> al aumento que se d</w:t>
      </w:r>
      <w:r w:rsidR="00E101AA">
        <w:rPr>
          <w:rFonts w:ascii="Times New Roman" w:hAnsi="Times New Roman" w:cs="Times New Roman"/>
        </w:rPr>
        <w:t>a</w:t>
      </w:r>
      <w:r>
        <w:rPr>
          <w:rFonts w:ascii="Times New Roman" w:hAnsi="Times New Roman" w:cs="Times New Roman"/>
        </w:rPr>
        <w:t xml:space="preserve"> cada año en los precios.</w:t>
      </w:r>
    </w:p>
    <w:p w14:paraId="0A3742A7" w14:textId="77777777" w:rsidR="00AC30BD" w:rsidRDefault="00AC30BD" w:rsidP="0065661C">
      <w:pPr>
        <w:spacing w:line="360" w:lineRule="auto"/>
        <w:jc w:val="both"/>
        <w:rPr>
          <w:rFonts w:ascii="Times New Roman" w:hAnsi="Times New Roman" w:cs="Times New Roman"/>
        </w:rPr>
      </w:pPr>
    </w:p>
    <w:p w14:paraId="1FC4E986" w14:textId="447FE9BD" w:rsidR="00AC30BD" w:rsidRDefault="00EE6B30" w:rsidP="0065661C">
      <w:pPr>
        <w:spacing w:line="360" w:lineRule="auto"/>
        <w:jc w:val="both"/>
        <w:rPr>
          <w:rFonts w:ascii="Times New Roman" w:hAnsi="Times New Roman" w:cs="Times New Roman"/>
        </w:rPr>
      </w:pPr>
      <w:r>
        <w:rPr>
          <w:rFonts w:ascii="Times New Roman" w:hAnsi="Times New Roman" w:cs="Times New Roman"/>
        </w:rPr>
        <w:t>Si a</w:t>
      </w:r>
      <w:r w:rsidR="00E101AA">
        <w:rPr>
          <w:rFonts w:ascii="Times New Roman" w:hAnsi="Times New Roman" w:cs="Times New Roman"/>
        </w:rPr>
        <w:t>l</w:t>
      </w:r>
      <w:r>
        <w:rPr>
          <w:rFonts w:ascii="Times New Roman" w:hAnsi="Times New Roman" w:cs="Times New Roman"/>
        </w:rPr>
        <w:t xml:space="preserve"> gráfic</w:t>
      </w:r>
      <w:r w:rsidR="00E101AA">
        <w:rPr>
          <w:rFonts w:ascii="Times New Roman" w:hAnsi="Times New Roman" w:cs="Times New Roman"/>
        </w:rPr>
        <w:t>o</w:t>
      </w:r>
      <w:r>
        <w:rPr>
          <w:rFonts w:ascii="Times New Roman" w:hAnsi="Times New Roman" w:cs="Times New Roman"/>
        </w:rPr>
        <w:t xml:space="preserve"> anterior se le añade que dentro del actual sistema de pensión el trabajador debe ahorrar para su futuro y</w:t>
      </w:r>
      <w:r w:rsidR="0007281C">
        <w:rPr>
          <w:rFonts w:ascii="Times New Roman" w:hAnsi="Times New Roman" w:cs="Times New Roman"/>
        </w:rPr>
        <w:t>,</w:t>
      </w:r>
      <w:r>
        <w:rPr>
          <w:rFonts w:ascii="Times New Roman" w:hAnsi="Times New Roman" w:cs="Times New Roman"/>
        </w:rPr>
        <w:t xml:space="preserve"> según los datos de las gráficas anteriores, se expone que no existe un aumento en el salario mínimo, este no est</w:t>
      </w:r>
      <w:r w:rsidR="006759DF">
        <w:rPr>
          <w:rFonts w:ascii="Times New Roman" w:hAnsi="Times New Roman" w:cs="Times New Roman"/>
        </w:rPr>
        <w:t>á protegido contra la inflación y sigue existiendo</w:t>
      </w:r>
      <w:r w:rsidR="006759DF" w:rsidRPr="006759DF">
        <w:rPr>
          <w:rFonts w:ascii="Times New Roman" w:hAnsi="Times New Roman" w:cs="Times New Roman"/>
        </w:rPr>
        <w:t xml:space="preserve"> </w:t>
      </w:r>
      <w:r w:rsidR="006759DF">
        <w:rPr>
          <w:rFonts w:ascii="Times New Roman" w:hAnsi="Times New Roman" w:cs="Times New Roman"/>
        </w:rPr>
        <w:t>la evasión fiscal por parte de las empresas,</w:t>
      </w:r>
      <w:r>
        <w:rPr>
          <w:rFonts w:ascii="Times New Roman" w:hAnsi="Times New Roman" w:cs="Times New Roman"/>
        </w:rPr>
        <w:t xml:space="preserve"> entonces será más difícil que el trabajador pueda ahorrar para su jubilación (</w:t>
      </w:r>
      <w:r w:rsidR="00E101AA">
        <w:rPr>
          <w:rFonts w:ascii="Times New Roman" w:hAnsi="Times New Roman" w:cs="Times New Roman"/>
        </w:rPr>
        <w:t>g</w:t>
      </w:r>
      <w:r w:rsidR="00A646AF">
        <w:rPr>
          <w:rFonts w:ascii="Times New Roman" w:hAnsi="Times New Roman" w:cs="Times New Roman"/>
        </w:rPr>
        <w:t>ráfico</w:t>
      </w:r>
      <w:r>
        <w:rPr>
          <w:rFonts w:ascii="Times New Roman" w:hAnsi="Times New Roman" w:cs="Times New Roman"/>
        </w:rPr>
        <w:t xml:space="preserve"> 6)</w:t>
      </w:r>
      <w:r w:rsidR="00E101AA">
        <w:rPr>
          <w:rFonts w:ascii="Times New Roman" w:hAnsi="Times New Roman" w:cs="Times New Roman"/>
        </w:rPr>
        <w:t>.</w:t>
      </w:r>
      <w:r>
        <w:rPr>
          <w:rFonts w:ascii="Times New Roman" w:hAnsi="Times New Roman" w:cs="Times New Roman"/>
        </w:rPr>
        <w:t xml:space="preserve"> </w:t>
      </w:r>
    </w:p>
    <w:p w14:paraId="57C4B8C4" w14:textId="77777777" w:rsidR="006759DF" w:rsidRDefault="006759DF" w:rsidP="0065661C">
      <w:pPr>
        <w:spacing w:line="360" w:lineRule="auto"/>
        <w:jc w:val="both"/>
        <w:rPr>
          <w:rFonts w:ascii="Times New Roman" w:hAnsi="Times New Roman" w:cs="Times New Roman"/>
        </w:rPr>
      </w:pPr>
    </w:p>
    <w:p w14:paraId="78298F83" w14:textId="219FE9EA" w:rsidR="005E1C5F" w:rsidRDefault="00AA3649" w:rsidP="0065661C">
      <w:pPr>
        <w:spacing w:line="360" w:lineRule="auto"/>
        <w:jc w:val="both"/>
        <w:rPr>
          <w:rFonts w:ascii="Times New Roman" w:hAnsi="Times New Roman" w:cs="Times New Roman"/>
        </w:rPr>
      </w:pPr>
      <w:r>
        <w:rPr>
          <w:rFonts w:ascii="Times New Roman" w:hAnsi="Times New Roman" w:cs="Times New Roman"/>
          <w:noProof/>
          <w:lang w:val="es-MX" w:eastAsia="es-MX"/>
        </w:rPr>
        <w:drawing>
          <wp:anchor distT="0" distB="0" distL="114300" distR="114300" simplePos="0" relativeHeight="251663360" behindDoc="0" locked="0" layoutInCell="1" allowOverlap="1" wp14:anchorId="020F3331" wp14:editId="19700870">
            <wp:simplePos x="0" y="0"/>
            <wp:positionH relativeFrom="column">
              <wp:posOffset>1371600</wp:posOffset>
            </wp:positionH>
            <wp:positionV relativeFrom="paragraph">
              <wp:posOffset>240665</wp:posOffset>
            </wp:positionV>
            <wp:extent cx="3200400" cy="1828800"/>
            <wp:effectExtent l="0" t="0" r="19050" b="19050"/>
            <wp:wrapNone/>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                                      </w:t>
      </w:r>
      <w:r w:rsidR="00A646AF">
        <w:rPr>
          <w:rFonts w:ascii="Times New Roman" w:hAnsi="Times New Roman" w:cs="Times New Roman"/>
        </w:rPr>
        <w:t xml:space="preserve">Gráfico </w:t>
      </w:r>
      <w:r w:rsidR="00777D11">
        <w:rPr>
          <w:rFonts w:ascii="Times New Roman" w:hAnsi="Times New Roman" w:cs="Times New Roman"/>
        </w:rPr>
        <w:t>6. Sistema de pensión y el ahorro privado</w:t>
      </w:r>
    </w:p>
    <w:p w14:paraId="7C204B24" w14:textId="31220AB0" w:rsidR="00AC30BD" w:rsidRDefault="00AC30BD" w:rsidP="0065661C">
      <w:pPr>
        <w:spacing w:line="360" w:lineRule="auto"/>
        <w:jc w:val="both"/>
        <w:rPr>
          <w:rFonts w:ascii="Times New Roman" w:hAnsi="Times New Roman" w:cs="Times New Roman"/>
        </w:rPr>
      </w:pPr>
    </w:p>
    <w:p w14:paraId="2F4E81C7" w14:textId="77777777" w:rsidR="006759DF" w:rsidRDefault="006759DF" w:rsidP="006759DF">
      <w:pPr>
        <w:spacing w:line="360" w:lineRule="auto"/>
        <w:ind w:left="3540" w:firstLine="708"/>
        <w:jc w:val="both"/>
        <w:rPr>
          <w:rFonts w:ascii="Times New Roman" w:hAnsi="Times New Roman" w:cs="Times New Roman"/>
        </w:rPr>
      </w:pPr>
      <w:r>
        <w:rPr>
          <w:rFonts w:ascii="Times New Roman" w:hAnsi="Times New Roman" w:cs="Times New Roman"/>
        </w:rPr>
        <w:t>fuente: el propio autor</w:t>
      </w:r>
    </w:p>
    <w:p w14:paraId="30F11DDB" w14:textId="77777777" w:rsidR="006759DF" w:rsidRDefault="006759DF" w:rsidP="0065661C">
      <w:pPr>
        <w:spacing w:line="360" w:lineRule="auto"/>
        <w:jc w:val="both"/>
        <w:rPr>
          <w:rFonts w:ascii="Times New Roman" w:hAnsi="Times New Roman" w:cs="Times New Roman"/>
        </w:rPr>
      </w:pPr>
    </w:p>
    <w:p w14:paraId="2D132E8E" w14:textId="77777777" w:rsidR="006759DF" w:rsidRDefault="006759DF" w:rsidP="0065661C">
      <w:pPr>
        <w:spacing w:line="360" w:lineRule="auto"/>
        <w:jc w:val="both"/>
        <w:rPr>
          <w:rFonts w:ascii="Times New Roman" w:hAnsi="Times New Roman" w:cs="Times New Roman"/>
        </w:rPr>
      </w:pPr>
    </w:p>
    <w:p w14:paraId="6FA0F652" w14:textId="77777777" w:rsidR="00AA3649" w:rsidRDefault="00AA3649" w:rsidP="0065661C">
      <w:pPr>
        <w:spacing w:line="360" w:lineRule="auto"/>
        <w:jc w:val="both"/>
        <w:rPr>
          <w:rFonts w:ascii="Times New Roman" w:hAnsi="Times New Roman" w:cs="Times New Roman"/>
        </w:rPr>
      </w:pPr>
    </w:p>
    <w:p w14:paraId="0D169244" w14:textId="77777777" w:rsidR="00AA3649" w:rsidRDefault="00AA3649" w:rsidP="0065661C">
      <w:pPr>
        <w:spacing w:line="360" w:lineRule="auto"/>
        <w:jc w:val="both"/>
        <w:rPr>
          <w:rFonts w:ascii="Times New Roman" w:hAnsi="Times New Roman" w:cs="Times New Roman"/>
        </w:rPr>
      </w:pPr>
    </w:p>
    <w:p w14:paraId="5B7E3C9D" w14:textId="77777777" w:rsidR="00AA3649" w:rsidRDefault="00AA3649" w:rsidP="0065661C">
      <w:pPr>
        <w:spacing w:line="360" w:lineRule="auto"/>
        <w:jc w:val="both"/>
        <w:rPr>
          <w:rFonts w:ascii="Times New Roman" w:hAnsi="Times New Roman" w:cs="Times New Roman"/>
        </w:rPr>
      </w:pPr>
    </w:p>
    <w:p w14:paraId="34F8B670" w14:textId="0345C500" w:rsidR="00AA3649" w:rsidRDefault="00AA3649" w:rsidP="0065661C">
      <w:pPr>
        <w:spacing w:line="360" w:lineRule="auto"/>
        <w:jc w:val="both"/>
        <w:rPr>
          <w:rFonts w:ascii="Times New Roman" w:hAnsi="Times New Roman" w:cs="Times New Roman"/>
        </w:rPr>
      </w:pPr>
      <w:r>
        <w:rPr>
          <w:rFonts w:ascii="Times New Roman" w:hAnsi="Times New Roman" w:cs="Times New Roman"/>
        </w:rPr>
        <w:t xml:space="preserve">                                    </w:t>
      </w:r>
      <w:r w:rsidR="00747648">
        <w:rPr>
          <w:rFonts w:ascii="Times New Roman" w:hAnsi="Times New Roman" w:cs="Times New Roman"/>
        </w:rPr>
        <w:t>F</w:t>
      </w:r>
      <w:r>
        <w:rPr>
          <w:rFonts w:ascii="Times New Roman" w:hAnsi="Times New Roman" w:cs="Times New Roman"/>
        </w:rPr>
        <w:t>uente: elaboración propia.</w:t>
      </w:r>
    </w:p>
    <w:p w14:paraId="332F0C59" w14:textId="77777777" w:rsidR="00AA3649" w:rsidRDefault="00AA3649" w:rsidP="0065661C">
      <w:pPr>
        <w:spacing w:line="360" w:lineRule="auto"/>
        <w:jc w:val="both"/>
        <w:rPr>
          <w:rFonts w:ascii="Times New Roman" w:hAnsi="Times New Roman" w:cs="Times New Roman"/>
        </w:rPr>
      </w:pPr>
    </w:p>
    <w:p w14:paraId="420E2A54" w14:textId="45A191BC" w:rsidR="00275D2E" w:rsidRDefault="00777D11" w:rsidP="0065661C">
      <w:pPr>
        <w:spacing w:line="360" w:lineRule="auto"/>
        <w:jc w:val="both"/>
        <w:rPr>
          <w:rFonts w:ascii="Times New Roman" w:hAnsi="Times New Roman" w:cs="Times New Roman"/>
        </w:rPr>
      </w:pPr>
      <w:r>
        <w:rPr>
          <w:rFonts w:ascii="Times New Roman" w:hAnsi="Times New Roman" w:cs="Times New Roman"/>
        </w:rPr>
        <w:t xml:space="preserve">En relación a la pregunta realizada a los encuestados sobre si </w:t>
      </w:r>
      <w:r w:rsidRPr="00777D11">
        <w:rPr>
          <w:rFonts w:ascii="Times New Roman" w:hAnsi="Times New Roman" w:cs="Times New Roman"/>
        </w:rPr>
        <w:t>está</w:t>
      </w:r>
      <w:r w:rsidR="00747648">
        <w:rPr>
          <w:rFonts w:ascii="Times New Roman" w:hAnsi="Times New Roman" w:cs="Times New Roman"/>
        </w:rPr>
        <w:t>n</w:t>
      </w:r>
      <w:r w:rsidRPr="00777D11">
        <w:rPr>
          <w:rFonts w:ascii="Times New Roman" w:hAnsi="Times New Roman" w:cs="Times New Roman"/>
        </w:rPr>
        <w:t xml:space="preserve"> de acuerdo </w:t>
      </w:r>
      <w:r w:rsidR="00747648">
        <w:rPr>
          <w:rFonts w:ascii="Times New Roman" w:hAnsi="Times New Roman" w:cs="Times New Roman"/>
        </w:rPr>
        <w:t xml:space="preserve">en </w:t>
      </w:r>
      <w:r w:rsidRPr="00777D11">
        <w:rPr>
          <w:rFonts w:ascii="Times New Roman" w:hAnsi="Times New Roman" w:cs="Times New Roman"/>
        </w:rPr>
        <w:t>que el gobierno deb</w:t>
      </w:r>
      <w:r w:rsidR="00747648">
        <w:rPr>
          <w:rFonts w:ascii="Times New Roman" w:hAnsi="Times New Roman" w:cs="Times New Roman"/>
        </w:rPr>
        <w:t>a</w:t>
      </w:r>
      <w:r w:rsidRPr="00777D11">
        <w:rPr>
          <w:rFonts w:ascii="Times New Roman" w:hAnsi="Times New Roman" w:cs="Times New Roman"/>
        </w:rPr>
        <w:t xml:space="preserve"> ser el principal proveedor de las pensiones y no una administradora privada (Afore)</w:t>
      </w:r>
      <w:r w:rsidR="00747648">
        <w:rPr>
          <w:rFonts w:ascii="Times New Roman" w:hAnsi="Times New Roman" w:cs="Times New Roman"/>
        </w:rPr>
        <w:t>, l</w:t>
      </w:r>
      <w:r>
        <w:rPr>
          <w:rFonts w:ascii="Times New Roman" w:hAnsi="Times New Roman" w:cs="Times New Roman"/>
        </w:rPr>
        <w:t>os resultados fueron los siguientes:</w:t>
      </w:r>
    </w:p>
    <w:p w14:paraId="168B7E87" w14:textId="6B22BA0B" w:rsidR="00275D2E" w:rsidRDefault="00275D2E" w:rsidP="0065661C">
      <w:pPr>
        <w:spacing w:line="360" w:lineRule="auto"/>
        <w:jc w:val="both"/>
        <w:rPr>
          <w:rFonts w:ascii="Times New Roman" w:hAnsi="Times New Roman" w:cs="Times New Roman"/>
        </w:rPr>
      </w:pPr>
      <w:r>
        <w:rPr>
          <w:rFonts w:ascii="Times New Roman" w:hAnsi="Times New Roman" w:cs="Times New Roman"/>
        </w:rPr>
        <w:t xml:space="preserve">        </w:t>
      </w:r>
      <w:r w:rsidR="00844712">
        <w:rPr>
          <w:rFonts w:ascii="Times New Roman" w:hAnsi="Times New Roman" w:cs="Times New Roman"/>
        </w:rPr>
        <w:t xml:space="preserve">                  </w:t>
      </w:r>
      <w:r w:rsidR="00AA3649">
        <w:rPr>
          <w:rFonts w:ascii="Times New Roman" w:hAnsi="Times New Roman" w:cs="Times New Roman"/>
        </w:rPr>
        <w:t xml:space="preserve">           </w:t>
      </w:r>
      <w:r w:rsidR="00844712">
        <w:rPr>
          <w:rFonts w:ascii="Times New Roman" w:hAnsi="Times New Roman" w:cs="Times New Roman"/>
        </w:rPr>
        <w:t xml:space="preserve"> </w:t>
      </w:r>
      <w:r w:rsidR="00A646AF">
        <w:rPr>
          <w:rFonts w:ascii="Times New Roman" w:hAnsi="Times New Roman" w:cs="Times New Roman"/>
        </w:rPr>
        <w:t>Gráfico</w:t>
      </w:r>
      <w:r>
        <w:rPr>
          <w:rFonts w:ascii="Times New Roman" w:hAnsi="Times New Roman" w:cs="Times New Roman"/>
        </w:rPr>
        <w:t xml:space="preserve"> 7. </w:t>
      </w:r>
      <w:r w:rsidR="00844712">
        <w:rPr>
          <w:rFonts w:ascii="Times New Roman" w:hAnsi="Times New Roman" w:cs="Times New Roman"/>
        </w:rPr>
        <w:t xml:space="preserve">Gobierno: </w:t>
      </w:r>
      <w:r w:rsidR="00747648">
        <w:rPr>
          <w:rFonts w:ascii="Times New Roman" w:hAnsi="Times New Roman" w:cs="Times New Roman"/>
        </w:rPr>
        <w:t>p</w:t>
      </w:r>
      <w:r w:rsidR="00844712">
        <w:rPr>
          <w:rFonts w:ascii="Times New Roman" w:hAnsi="Times New Roman" w:cs="Times New Roman"/>
        </w:rPr>
        <w:t xml:space="preserve">roveedor de la </w:t>
      </w:r>
      <w:r w:rsidR="00747648">
        <w:rPr>
          <w:rFonts w:ascii="Times New Roman" w:hAnsi="Times New Roman" w:cs="Times New Roman"/>
        </w:rPr>
        <w:t>s</w:t>
      </w:r>
      <w:r w:rsidR="00844712">
        <w:rPr>
          <w:rFonts w:ascii="Times New Roman" w:hAnsi="Times New Roman" w:cs="Times New Roman"/>
        </w:rPr>
        <w:t xml:space="preserve">eguridad </w:t>
      </w:r>
      <w:r w:rsidR="00747648">
        <w:rPr>
          <w:rFonts w:ascii="Times New Roman" w:hAnsi="Times New Roman" w:cs="Times New Roman"/>
        </w:rPr>
        <w:t>s</w:t>
      </w:r>
      <w:r w:rsidR="00844712">
        <w:rPr>
          <w:rFonts w:ascii="Times New Roman" w:hAnsi="Times New Roman" w:cs="Times New Roman"/>
        </w:rPr>
        <w:t>ocial</w:t>
      </w:r>
      <w:r>
        <w:rPr>
          <w:rFonts w:ascii="Times New Roman" w:hAnsi="Times New Roman" w:cs="Times New Roman"/>
        </w:rPr>
        <w:t xml:space="preserve"> </w:t>
      </w:r>
    </w:p>
    <w:p w14:paraId="3047A3EE" w14:textId="673B853E" w:rsidR="00777D11" w:rsidRDefault="00275D2E" w:rsidP="00777D11">
      <w:pPr>
        <w:spacing w:line="360" w:lineRule="auto"/>
        <w:jc w:val="center"/>
        <w:rPr>
          <w:rFonts w:ascii="Times New Roman" w:hAnsi="Times New Roman" w:cs="Times New Roman"/>
        </w:rPr>
      </w:pPr>
      <w:r>
        <w:rPr>
          <w:rFonts w:ascii="Times New Roman" w:hAnsi="Times New Roman" w:cs="Times New Roman"/>
          <w:noProof/>
          <w:lang w:val="es-MX" w:eastAsia="es-MX"/>
        </w:rPr>
        <w:drawing>
          <wp:anchor distT="0" distB="0" distL="114300" distR="114300" simplePos="0" relativeHeight="251664384" behindDoc="0" locked="0" layoutInCell="1" allowOverlap="1" wp14:anchorId="6037E5F7" wp14:editId="4EBAECB3">
            <wp:simplePos x="0" y="0"/>
            <wp:positionH relativeFrom="column">
              <wp:posOffset>1402715</wp:posOffset>
            </wp:positionH>
            <wp:positionV relativeFrom="paragraph">
              <wp:posOffset>1905</wp:posOffset>
            </wp:positionV>
            <wp:extent cx="3283585" cy="1999615"/>
            <wp:effectExtent l="0" t="0" r="12065" b="19685"/>
            <wp:wrapNone/>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7E99BC77" w14:textId="77777777" w:rsidR="00AA3649" w:rsidRDefault="00AA3649" w:rsidP="00844712">
      <w:pPr>
        <w:spacing w:line="360" w:lineRule="auto"/>
        <w:ind w:left="3540" w:firstLine="708"/>
        <w:jc w:val="center"/>
        <w:rPr>
          <w:rFonts w:ascii="Times New Roman" w:hAnsi="Times New Roman" w:cs="Times New Roman"/>
        </w:rPr>
      </w:pPr>
    </w:p>
    <w:p w14:paraId="6AE0209B" w14:textId="77777777" w:rsidR="00AA3649" w:rsidRDefault="00AA3649" w:rsidP="00844712">
      <w:pPr>
        <w:spacing w:line="360" w:lineRule="auto"/>
        <w:ind w:left="3540" w:firstLine="708"/>
        <w:jc w:val="center"/>
        <w:rPr>
          <w:rFonts w:ascii="Times New Roman" w:hAnsi="Times New Roman" w:cs="Times New Roman"/>
        </w:rPr>
      </w:pPr>
    </w:p>
    <w:p w14:paraId="334FD26B" w14:textId="77777777" w:rsidR="00AA3649" w:rsidRDefault="00AA3649" w:rsidP="00844712">
      <w:pPr>
        <w:spacing w:line="360" w:lineRule="auto"/>
        <w:ind w:left="3540" w:firstLine="708"/>
        <w:jc w:val="center"/>
        <w:rPr>
          <w:rFonts w:ascii="Times New Roman" w:hAnsi="Times New Roman" w:cs="Times New Roman"/>
        </w:rPr>
      </w:pPr>
    </w:p>
    <w:p w14:paraId="1848334E" w14:textId="77777777" w:rsidR="00AA3649" w:rsidRDefault="00AA3649" w:rsidP="00844712">
      <w:pPr>
        <w:spacing w:line="360" w:lineRule="auto"/>
        <w:ind w:left="3540" w:firstLine="708"/>
        <w:jc w:val="center"/>
        <w:rPr>
          <w:rFonts w:ascii="Times New Roman" w:hAnsi="Times New Roman" w:cs="Times New Roman"/>
        </w:rPr>
      </w:pPr>
    </w:p>
    <w:p w14:paraId="24E50869" w14:textId="77777777" w:rsidR="00AA3649" w:rsidRDefault="00AA3649" w:rsidP="00844712">
      <w:pPr>
        <w:spacing w:line="360" w:lineRule="auto"/>
        <w:ind w:left="3540" w:firstLine="708"/>
        <w:jc w:val="center"/>
        <w:rPr>
          <w:rFonts w:ascii="Times New Roman" w:hAnsi="Times New Roman" w:cs="Times New Roman"/>
        </w:rPr>
      </w:pPr>
    </w:p>
    <w:p w14:paraId="55DE0CBA" w14:textId="77777777" w:rsidR="00AA3649" w:rsidRDefault="00AA3649" w:rsidP="00844712">
      <w:pPr>
        <w:spacing w:line="360" w:lineRule="auto"/>
        <w:ind w:left="3540" w:firstLine="708"/>
        <w:jc w:val="center"/>
        <w:rPr>
          <w:rFonts w:ascii="Times New Roman" w:hAnsi="Times New Roman" w:cs="Times New Roman"/>
        </w:rPr>
      </w:pPr>
    </w:p>
    <w:p w14:paraId="5420BCD7" w14:textId="77777777" w:rsidR="00AA3649" w:rsidRDefault="00AA3649" w:rsidP="00844712">
      <w:pPr>
        <w:spacing w:line="360" w:lineRule="auto"/>
        <w:ind w:left="3540" w:firstLine="708"/>
        <w:jc w:val="center"/>
        <w:rPr>
          <w:rFonts w:ascii="Times New Roman" w:hAnsi="Times New Roman" w:cs="Times New Roman"/>
        </w:rPr>
      </w:pPr>
    </w:p>
    <w:p w14:paraId="7740E896" w14:textId="22937103" w:rsidR="00777D11" w:rsidRDefault="00AA3649" w:rsidP="00AA3649">
      <w:pPr>
        <w:spacing w:line="360" w:lineRule="auto"/>
        <w:rPr>
          <w:rFonts w:ascii="Times New Roman" w:hAnsi="Times New Roman" w:cs="Times New Roman"/>
        </w:rPr>
      </w:pPr>
      <w:r>
        <w:rPr>
          <w:rFonts w:ascii="Times New Roman" w:hAnsi="Times New Roman" w:cs="Times New Roman"/>
        </w:rPr>
        <w:t xml:space="preserve">                                     F</w:t>
      </w:r>
      <w:r w:rsidR="00844712">
        <w:rPr>
          <w:rFonts w:ascii="Times New Roman" w:hAnsi="Times New Roman" w:cs="Times New Roman"/>
        </w:rPr>
        <w:t xml:space="preserve">uente: </w:t>
      </w:r>
      <w:r>
        <w:rPr>
          <w:rFonts w:ascii="Times New Roman" w:hAnsi="Times New Roman" w:cs="Times New Roman"/>
        </w:rPr>
        <w:t>elaboración propia</w:t>
      </w:r>
      <w:r w:rsidR="00176CD9">
        <w:rPr>
          <w:rFonts w:ascii="Times New Roman" w:hAnsi="Times New Roman" w:cs="Times New Roman"/>
        </w:rPr>
        <w:t>.</w:t>
      </w:r>
    </w:p>
    <w:p w14:paraId="154E4886" w14:textId="77777777" w:rsidR="00777D11" w:rsidRDefault="00777D11" w:rsidP="0065661C">
      <w:pPr>
        <w:spacing w:line="360" w:lineRule="auto"/>
        <w:jc w:val="both"/>
        <w:rPr>
          <w:rFonts w:ascii="Times New Roman" w:hAnsi="Times New Roman" w:cs="Times New Roman"/>
        </w:rPr>
      </w:pPr>
    </w:p>
    <w:p w14:paraId="1EF9D04D" w14:textId="53FDD529" w:rsidR="005E1C5F" w:rsidRDefault="00A646AF" w:rsidP="0065661C">
      <w:pPr>
        <w:spacing w:line="360" w:lineRule="auto"/>
        <w:jc w:val="both"/>
        <w:rPr>
          <w:rFonts w:ascii="Times New Roman" w:hAnsi="Times New Roman" w:cs="Times New Roman"/>
        </w:rPr>
      </w:pPr>
      <w:r>
        <w:rPr>
          <w:rFonts w:ascii="Times New Roman" w:hAnsi="Times New Roman" w:cs="Times New Roman"/>
        </w:rPr>
        <w:t>El gráfico</w:t>
      </w:r>
      <w:r w:rsidR="00844712">
        <w:rPr>
          <w:rFonts w:ascii="Times New Roman" w:hAnsi="Times New Roman" w:cs="Times New Roman"/>
        </w:rPr>
        <w:t xml:space="preserve"> 7 señala que solo una cuarta parte de los encuestados contestaron que no están seguros </w:t>
      </w:r>
      <w:r w:rsidR="00B442EC">
        <w:rPr>
          <w:rFonts w:ascii="Times New Roman" w:hAnsi="Times New Roman" w:cs="Times New Roman"/>
        </w:rPr>
        <w:t xml:space="preserve">de </w:t>
      </w:r>
      <w:r w:rsidR="00844712">
        <w:rPr>
          <w:rFonts w:ascii="Times New Roman" w:hAnsi="Times New Roman" w:cs="Times New Roman"/>
        </w:rPr>
        <w:t>que el gobierno deb</w:t>
      </w:r>
      <w:r w:rsidR="00B442EC">
        <w:rPr>
          <w:rFonts w:ascii="Times New Roman" w:hAnsi="Times New Roman" w:cs="Times New Roman"/>
        </w:rPr>
        <w:t>a</w:t>
      </w:r>
      <w:r w:rsidR="00844712">
        <w:rPr>
          <w:rFonts w:ascii="Times New Roman" w:hAnsi="Times New Roman" w:cs="Times New Roman"/>
        </w:rPr>
        <w:t xml:space="preserve"> ser el principal proveedor de las pensiones, mientras que la mayor parte </w:t>
      </w:r>
      <w:r w:rsidR="008A3E81">
        <w:rPr>
          <w:rFonts w:ascii="Times New Roman" w:hAnsi="Times New Roman" w:cs="Times New Roman"/>
        </w:rPr>
        <w:t>de los encuestados señalan que es responsabilidad del gobierno y no de la administración privada el otorgar se</w:t>
      </w:r>
      <w:r w:rsidR="006759DF">
        <w:rPr>
          <w:rFonts w:ascii="Times New Roman" w:hAnsi="Times New Roman" w:cs="Times New Roman"/>
        </w:rPr>
        <w:t>guridad social a sus ciudadanos, además de incentivar el empleo y</w:t>
      </w:r>
      <w:r w:rsidR="008A3E81">
        <w:rPr>
          <w:rFonts w:ascii="Times New Roman" w:hAnsi="Times New Roman" w:cs="Times New Roman"/>
        </w:rPr>
        <w:t xml:space="preserve"> mej</w:t>
      </w:r>
      <w:r w:rsidR="006759DF">
        <w:rPr>
          <w:rFonts w:ascii="Times New Roman" w:hAnsi="Times New Roman" w:cs="Times New Roman"/>
        </w:rPr>
        <w:t>orar la pensión mínima.</w:t>
      </w:r>
    </w:p>
    <w:p w14:paraId="2D6FC84D" w14:textId="77777777" w:rsidR="0068109A" w:rsidRDefault="0068109A" w:rsidP="0065661C">
      <w:pPr>
        <w:spacing w:line="360" w:lineRule="auto"/>
        <w:jc w:val="both"/>
        <w:rPr>
          <w:rFonts w:ascii="Times New Roman" w:hAnsi="Times New Roman" w:cs="Times New Roman"/>
        </w:rPr>
      </w:pPr>
    </w:p>
    <w:p w14:paraId="770ACED9" w14:textId="4C80F6A5" w:rsidR="0068109A" w:rsidRDefault="009C6C78" w:rsidP="0065661C">
      <w:pPr>
        <w:spacing w:line="360" w:lineRule="auto"/>
        <w:jc w:val="both"/>
        <w:rPr>
          <w:rFonts w:ascii="Times New Roman" w:hAnsi="Times New Roman" w:cs="Times New Roman"/>
        </w:rPr>
      </w:pPr>
      <w:r>
        <w:rPr>
          <w:rFonts w:ascii="Times New Roman" w:hAnsi="Times New Roman" w:cs="Times New Roman"/>
        </w:rPr>
        <w:t>El neoliberalismo se caracteriza por lograr una apertura comercial y financiera en todos los órdenes, a través de instituciones como el Banco Mundial y el Fon</w:t>
      </w:r>
      <w:r w:rsidR="00B442EC">
        <w:rPr>
          <w:rFonts w:ascii="Times New Roman" w:hAnsi="Times New Roman" w:cs="Times New Roman"/>
        </w:rPr>
        <w:t>d</w:t>
      </w:r>
      <w:r>
        <w:rPr>
          <w:rFonts w:ascii="Times New Roman" w:hAnsi="Times New Roman" w:cs="Times New Roman"/>
        </w:rPr>
        <w:t>o</w:t>
      </w:r>
      <w:r w:rsidR="0041738E">
        <w:rPr>
          <w:rFonts w:ascii="Times New Roman" w:hAnsi="Times New Roman" w:cs="Times New Roman"/>
        </w:rPr>
        <w:t xml:space="preserve"> Monetario Internacional (FMI</w:t>
      </w:r>
      <w:r>
        <w:rPr>
          <w:rFonts w:ascii="Times New Roman" w:hAnsi="Times New Roman" w:cs="Times New Roman"/>
        </w:rPr>
        <w:t>)</w:t>
      </w:r>
      <w:r w:rsidR="00B442EC">
        <w:rPr>
          <w:rFonts w:ascii="Times New Roman" w:hAnsi="Times New Roman" w:cs="Times New Roman"/>
        </w:rPr>
        <w:t>;</w:t>
      </w:r>
      <w:r w:rsidR="0041738E">
        <w:rPr>
          <w:rFonts w:ascii="Times New Roman" w:hAnsi="Times New Roman" w:cs="Times New Roman"/>
        </w:rPr>
        <w:t xml:space="preserve"> </w:t>
      </w:r>
      <w:r>
        <w:rPr>
          <w:rFonts w:ascii="Times New Roman" w:hAnsi="Times New Roman" w:cs="Times New Roman"/>
        </w:rPr>
        <w:t xml:space="preserve">por  tanto, </w:t>
      </w:r>
      <w:r w:rsidR="00A646AF">
        <w:rPr>
          <w:rFonts w:ascii="Times New Roman" w:hAnsi="Times New Roman" w:cs="Times New Roman"/>
        </w:rPr>
        <w:t>el</w:t>
      </w:r>
      <w:r>
        <w:rPr>
          <w:rFonts w:ascii="Times New Roman" w:hAnsi="Times New Roman" w:cs="Times New Roman"/>
        </w:rPr>
        <w:t xml:space="preserve"> siguiente </w:t>
      </w:r>
      <w:r w:rsidR="00A646AF">
        <w:rPr>
          <w:rFonts w:ascii="Times New Roman" w:hAnsi="Times New Roman" w:cs="Times New Roman"/>
        </w:rPr>
        <w:t>gráfico</w:t>
      </w:r>
      <w:r w:rsidR="00B414FB">
        <w:rPr>
          <w:rFonts w:ascii="Times New Roman" w:hAnsi="Times New Roman" w:cs="Times New Roman"/>
        </w:rPr>
        <w:t xml:space="preserve"> </w:t>
      </w:r>
      <w:r>
        <w:rPr>
          <w:rFonts w:ascii="Times New Roman" w:hAnsi="Times New Roman" w:cs="Times New Roman"/>
        </w:rPr>
        <w:t xml:space="preserve">hace referencia a </w:t>
      </w:r>
      <w:r w:rsidRPr="009C6C78">
        <w:rPr>
          <w:rFonts w:ascii="Times New Roman" w:hAnsi="Times New Roman" w:cs="Times New Roman"/>
        </w:rPr>
        <w:t xml:space="preserve">la falta de autonomía del gobierno con instituciones como el FMI, </w:t>
      </w:r>
      <w:r w:rsidR="0041738E">
        <w:rPr>
          <w:rFonts w:ascii="Times New Roman" w:hAnsi="Times New Roman" w:cs="Times New Roman"/>
        </w:rPr>
        <w:t>creando</w:t>
      </w:r>
      <w:r w:rsidRPr="009C6C78">
        <w:rPr>
          <w:rFonts w:ascii="Times New Roman" w:hAnsi="Times New Roman" w:cs="Times New Roman"/>
        </w:rPr>
        <w:t xml:space="preserve"> una dependencia estructural arreglada a optar por alternativas que están muy lejos de constituir una respuesta a las necesidades propias de ajuste, m</w:t>
      </w:r>
      <w:r w:rsidR="006D0E18">
        <w:rPr>
          <w:rFonts w:ascii="Times New Roman" w:hAnsi="Times New Roman" w:cs="Times New Roman"/>
        </w:rPr>
        <w:t>odernización y bienestar social</w:t>
      </w:r>
      <w:r w:rsidR="00B442EC">
        <w:rPr>
          <w:rFonts w:ascii="Times New Roman" w:hAnsi="Times New Roman" w:cs="Times New Roman"/>
        </w:rPr>
        <w:t>.</w:t>
      </w:r>
    </w:p>
    <w:p w14:paraId="6ECCC1BA" w14:textId="77777777" w:rsidR="0068109A" w:rsidRDefault="0068109A" w:rsidP="0065661C">
      <w:pPr>
        <w:spacing w:line="360" w:lineRule="auto"/>
        <w:jc w:val="both"/>
        <w:rPr>
          <w:rFonts w:ascii="Times New Roman" w:hAnsi="Times New Roman" w:cs="Times New Roman"/>
        </w:rPr>
      </w:pPr>
    </w:p>
    <w:p w14:paraId="403100E5" w14:textId="77777777" w:rsidR="0068109A" w:rsidRDefault="0068109A" w:rsidP="0065661C">
      <w:pPr>
        <w:spacing w:line="360" w:lineRule="auto"/>
        <w:jc w:val="both"/>
        <w:rPr>
          <w:rFonts w:ascii="Times New Roman" w:hAnsi="Times New Roman" w:cs="Times New Roman"/>
        </w:rPr>
      </w:pPr>
    </w:p>
    <w:p w14:paraId="32FC22A4" w14:textId="77777777" w:rsidR="0068109A" w:rsidRDefault="0068109A" w:rsidP="0065661C">
      <w:pPr>
        <w:spacing w:line="360" w:lineRule="auto"/>
        <w:jc w:val="both"/>
        <w:rPr>
          <w:rFonts w:ascii="Times New Roman" w:hAnsi="Times New Roman" w:cs="Times New Roman"/>
        </w:rPr>
      </w:pPr>
    </w:p>
    <w:p w14:paraId="0DC9B211" w14:textId="77777777" w:rsidR="0068109A" w:rsidRDefault="0068109A" w:rsidP="0065661C">
      <w:pPr>
        <w:spacing w:line="360" w:lineRule="auto"/>
        <w:jc w:val="both"/>
        <w:rPr>
          <w:rFonts w:ascii="Times New Roman" w:hAnsi="Times New Roman" w:cs="Times New Roman"/>
        </w:rPr>
      </w:pPr>
    </w:p>
    <w:p w14:paraId="4DBAAC76" w14:textId="77777777" w:rsidR="000223D6" w:rsidRDefault="000223D6" w:rsidP="0065661C">
      <w:pPr>
        <w:spacing w:line="360" w:lineRule="auto"/>
        <w:jc w:val="both"/>
        <w:rPr>
          <w:rFonts w:ascii="Times New Roman" w:hAnsi="Times New Roman" w:cs="Times New Roman"/>
        </w:rPr>
      </w:pPr>
    </w:p>
    <w:p w14:paraId="0D77187E" w14:textId="77777777" w:rsidR="000223D6" w:rsidRDefault="000223D6" w:rsidP="0065661C">
      <w:pPr>
        <w:spacing w:line="360" w:lineRule="auto"/>
        <w:jc w:val="both"/>
        <w:rPr>
          <w:rFonts w:ascii="Times New Roman" w:hAnsi="Times New Roman" w:cs="Times New Roman"/>
        </w:rPr>
      </w:pPr>
    </w:p>
    <w:p w14:paraId="209B6CC5" w14:textId="77777777" w:rsidR="0026074E" w:rsidRDefault="0026074E" w:rsidP="0065661C">
      <w:pPr>
        <w:spacing w:line="360" w:lineRule="auto"/>
        <w:jc w:val="both"/>
        <w:rPr>
          <w:rFonts w:ascii="Times New Roman" w:hAnsi="Times New Roman" w:cs="Times New Roman"/>
        </w:rPr>
      </w:pPr>
    </w:p>
    <w:p w14:paraId="4DD9E354" w14:textId="77777777" w:rsidR="0068109A" w:rsidRDefault="0068109A" w:rsidP="0071713D">
      <w:pPr>
        <w:spacing w:line="360" w:lineRule="auto"/>
        <w:jc w:val="center"/>
        <w:rPr>
          <w:rFonts w:ascii="Times New Roman" w:hAnsi="Times New Roman" w:cs="Times New Roman"/>
        </w:rPr>
      </w:pPr>
    </w:p>
    <w:p w14:paraId="48B95420" w14:textId="0A82F1B6" w:rsidR="0071713D" w:rsidRDefault="006D0E18" w:rsidP="0071713D">
      <w:pPr>
        <w:spacing w:line="360" w:lineRule="auto"/>
        <w:jc w:val="center"/>
        <w:rPr>
          <w:rFonts w:ascii="Times New Roman" w:hAnsi="Times New Roman" w:cs="Times New Roman"/>
          <w:noProof/>
          <w:lang w:val="es-ES"/>
        </w:rPr>
      </w:pPr>
      <w:r>
        <w:rPr>
          <w:rFonts w:ascii="Times New Roman" w:hAnsi="Times New Roman" w:cs="Times New Roman"/>
          <w:noProof/>
          <w:lang w:val="es-ES"/>
        </w:rPr>
        <w:t xml:space="preserve">        </w:t>
      </w:r>
      <w:r w:rsidR="00A646AF">
        <w:rPr>
          <w:rFonts w:ascii="Times New Roman" w:hAnsi="Times New Roman" w:cs="Times New Roman"/>
          <w:noProof/>
          <w:lang w:val="es-ES"/>
        </w:rPr>
        <w:t xml:space="preserve">Gráfico </w:t>
      </w:r>
      <w:r w:rsidR="0071713D">
        <w:rPr>
          <w:rFonts w:ascii="Times New Roman" w:hAnsi="Times New Roman" w:cs="Times New Roman"/>
          <w:noProof/>
          <w:lang w:val="es-ES"/>
        </w:rPr>
        <w:t xml:space="preserve">8. </w:t>
      </w:r>
      <w:r w:rsidR="0071713D" w:rsidRPr="0071713D">
        <w:rPr>
          <w:rFonts w:ascii="Times New Roman" w:hAnsi="Times New Roman" w:cs="Times New Roman"/>
          <w:noProof/>
          <w:lang w:val="es-ES"/>
        </w:rPr>
        <w:t xml:space="preserve">¿Está de acuerdo </w:t>
      </w:r>
      <w:r w:rsidR="00B442EC">
        <w:rPr>
          <w:rFonts w:ascii="Times New Roman" w:hAnsi="Times New Roman" w:cs="Times New Roman"/>
          <w:noProof/>
          <w:lang w:val="es-ES"/>
        </w:rPr>
        <w:t xml:space="preserve">en </w:t>
      </w:r>
      <w:r w:rsidR="0071713D" w:rsidRPr="0071713D">
        <w:rPr>
          <w:rFonts w:ascii="Times New Roman" w:hAnsi="Times New Roman" w:cs="Times New Roman"/>
          <w:noProof/>
          <w:lang w:val="es-ES"/>
        </w:rPr>
        <w:t>que el creciente endeudamiento</w:t>
      </w:r>
    </w:p>
    <w:p w14:paraId="2A6C6ACC" w14:textId="57BEE78C" w:rsidR="0071713D" w:rsidRDefault="006D0E18" w:rsidP="0071713D">
      <w:pPr>
        <w:spacing w:line="360" w:lineRule="auto"/>
        <w:jc w:val="center"/>
        <w:rPr>
          <w:rFonts w:ascii="Times New Roman" w:hAnsi="Times New Roman" w:cs="Times New Roman"/>
          <w:noProof/>
          <w:lang w:val="es-ES"/>
        </w:rPr>
      </w:pPr>
      <w:r>
        <w:rPr>
          <w:rFonts w:ascii="Times New Roman" w:hAnsi="Times New Roman" w:cs="Times New Roman"/>
          <w:noProof/>
          <w:lang w:val="es-ES"/>
        </w:rPr>
        <w:t xml:space="preserve">         </w:t>
      </w:r>
      <w:r w:rsidR="0071713D" w:rsidRPr="0071713D">
        <w:rPr>
          <w:rFonts w:ascii="Times New Roman" w:hAnsi="Times New Roman" w:cs="Times New Roman"/>
          <w:noProof/>
          <w:lang w:val="es-ES"/>
        </w:rPr>
        <w:t>externo de la mayoría de los países de América Latina, obligó</w:t>
      </w:r>
    </w:p>
    <w:p w14:paraId="584936D5" w14:textId="0A90AE8A" w:rsidR="0071713D" w:rsidRDefault="006D0E18" w:rsidP="0071713D">
      <w:pPr>
        <w:spacing w:line="360" w:lineRule="auto"/>
        <w:jc w:val="center"/>
        <w:rPr>
          <w:rFonts w:ascii="Times New Roman" w:hAnsi="Times New Roman" w:cs="Times New Roman"/>
          <w:noProof/>
          <w:lang w:val="es-ES"/>
        </w:rPr>
      </w:pPr>
      <w:r>
        <w:rPr>
          <w:rFonts w:ascii="Times New Roman" w:hAnsi="Times New Roman" w:cs="Times New Roman"/>
          <w:noProof/>
          <w:lang w:val="es-ES"/>
        </w:rPr>
        <w:t xml:space="preserve">            </w:t>
      </w:r>
      <w:r w:rsidR="0071713D" w:rsidRPr="0071713D">
        <w:rPr>
          <w:rFonts w:ascii="Times New Roman" w:hAnsi="Times New Roman" w:cs="Times New Roman"/>
          <w:noProof/>
          <w:lang w:val="es-ES"/>
        </w:rPr>
        <w:t xml:space="preserve">a que </w:t>
      </w:r>
      <w:r w:rsidR="00B442EC">
        <w:rPr>
          <w:rFonts w:ascii="Times New Roman" w:hAnsi="Times New Roman" w:cs="Times New Roman"/>
          <w:noProof/>
          <w:lang w:val="es-ES"/>
        </w:rPr>
        <w:t>e</w:t>
      </w:r>
      <w:r w:rsidR="0071713D" w:rsidRPr="0071713D">
        <w:rPr>
          <w:rFonts w:ascii="Times New Roman" w:hAnsi="Times New Roman" w:cs="Times New Roman"/>
          <w:noProof/>
          <w:lang w:val="es-ES"/>
        </w:rPr>
        <w:t xml:space="preserve">stos destinaran grandes recursos al pago de </w:t>
      </w:r>
      <w:r w:rsidR="00B442EC">
        <w:rPr>
          <w:rFonts w:ascii="Times New Roman" w:hAnsi="Times New Roman" w:cs="Times New Roman"/>
          <w:noProof/>
          <w:lang w:val="es-ES"/>
        </w:rPr>
        <w:t>su</w:t>
      </w:r>
      <w:r w:rsidR="0071713D" w:rsidRPr="0071713D">
        <w:rPr>
          <w:rFonts w:ascii="Times New Roman" w:hAnsi="Times New Roman" w:cs="Times New Roman"/>
          <w:noProof/>
          <w:lang w:val="es-ES"/>
        </w:rPr>
        <w:t xml:space="preserve"> deuda,</w:t>
      </w:r>
    </w:p>
    <w:p w14:paraId="3A23933C" w14:textId="2C661009" w:rsidR="00303E40" w:rsidRDefault="006D0E18" w:rsidP="006D0E18">
      <w:pPr>
        <w:spacing w:line="360" w:lineRule="auto"/>
        <w:rPr>
          <w:rFonts w:ascii="Times New Roman" w:hAnsi="Times New Roman" w:cs="Times New Roman"/>
          <w:noProof/>
          <w:lang w:val="es-ES"/>
        </w:rPr>
      </w:pPr>
      <w:r>
        <w:rPr>
          <w:rFonts w:ascii="Times New Roman" w:hAnsi="Times New Roman" w:cs="Times New Roman"/>
          <w:noProof/>
          <w:lang w:val="es-ES"/>
        </w:rPr>
        <w:t xml:space="preserve">                                                    e</w:t>
      </w:r>
      <w:r w:rsidR="0071713D">
        <w:rPr>
          <w:rFonts w:ascii="Times New Roman" w:hAnsi="Times New Roman" w:cs="Times New Roman"/>
          <w:noProof/>
          <w:lang w:val="es-ES"/>
        </w:rPr>
        <w:t>liminando recursos a la seguridad social?</w:t>
      </w:r>
    </w:p>
    <w:p w14:paraId="4F33C7F1" w14:textId="11AE0AE4" w:rsidR="007F2A3C" w:rsidRPr="00303E40" w:rsidRDefault="00B414FB" w:rsidP="00303E40">
      <w:pPr>
        <w:spacing w:line="360" w:lineRule="auto"/>
        <w:jc w:val="center"/>
        <w:rPr>
          <w:rFonts w:ascii="Times New Roman" w:hAnsi="Times New Roman" w:cs="Times New Roman"/>
          <w:noProof/>
          <w:lang w:val="es-ES"/>
        </w:rPr>
      </w:pPr>
      <w:r>
        <w:rPr>
          <w:rFonts w:ascii="Times New Roman" w:hAnsi="Times New Roman" w:cs="Times New Roman"/>
          <w:noProof/>
          <w:lang w:val="es-MX" w:eastAsia="es-MX"/>
        </w:rPr>
        <w:drawing>
          <wp:anchor distT="0" distB="0" distL="114300" distR="114300" simplePos="0" relativeHeight="251665408" behindDoc="0" locked="0" layoutInCell="1" allowOverlap="1" wp14:anchorId="6895F21F" wp14:editId="3C4A488F">
            <wp:simplePos x="0" y="0"/>
            <wp:positionH relativeFrom="column">
              <wp:posOffset>1600200</wp:posOffset>
            </wp:positionH>
            <wp:positionV relativeFrom="paragraph">
              <wp:posOffset>56515</wp:posOffset>
            </wp:positionV>
            <wp:extent cx="3314700" cy="1715135"/>
            <wp:effectExtent l="0" t="0" r="12700" b="37465"/>
            <wp:wrapNone/>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09B7550B" w14:textId="77777777" w:rsidR="005E1C5F" w:rsidRDefault="005E1C5F" w:rsidP="0065661C">
      <w:pPr>
        <w:spacing w:line="360" w:lineRule="auto"/>
        <w:jc w:val="both"/>
        <w:rPr>
          <w:rFonts w:ascii="Times New Roman" w:hAnsi="Times New Roman" w:cs="Times New Roman"/>
        </w:rPr>
      </w:pPr>
    </w:p>
    <w:p w14:paraId="7994724E" w14:textId="77777777" w:rsidR="00303E40" w:rsidRDefault="00303E40" w:rsidP="0065661C">
      <w:pPr>
        <w:spacing w:line="360" w:lineRule="auto"/>
        <w:jc w:val="both"/>
        <w:rPr>
          <w:rFonts w:ascii="Times New Roman" w:hAnsi="Times New Roman" w:cs="Times New Roman"/>
        </w:rPr>
      </w:pPr>
    </w:p>
    <w:p w14:paraId="4EF20CD3" w14:textId="77777777" w:rsidR="00303E40" w:rsidRDefault="00303E40" w:rsidP="0065661C">
      <w:pPr>
        <w:spacing w:line="360" w:lineRule="auto"/>
        <w:jc w:val="both"/>
        <w:rPr>
          <w:rFonts w:ascii="Times New Roman" w:hAnsi="Times New Roman" w:cs="Times New Roman"/>
        </w:rPr>
      </w:pPr>
    </w:p>
    <w:p w14:paraId="36E2E979" w14:textId="77777777" w:rsidR="00303E40" w:rsidRDefault="00303E40" w:rsidP="0065661C">
      <w:pPr>
        <w:spacing w:line="360" w:lineRule="auto"/>
        <w:jc w:val="both"/>
        <w:rPr>
          <w:rFonts w:ascii="Times New Roman" w:hAnsi="Times New Roman" w:cs="Times New Roman"/>
        </w:rPr>
      </w:pPr>
    </w:p>
    <w:p w14:paraId="4C630C82" w14:textId="77777777" w:rsidR="0071713D" w:rsidRDefault="0071713D" w:rsidP="0065661C">
      <w:pPr>
        <w:spacing w:line="360" w:lineRule="auto"/>
        <w:jc w:val="both"/>
        <w:rPr>
          <w:rFonts w:ascii="Times New Roman" w:hAnsi="Times New Roman" w:cs="Times New Roman"/>
        </w:rPr>
      </w:pPr>
    </w:p>
    <w:p w14:paraId="5AD0D659" w14:textId="77777777" w:rsidR="00303E40" w:rsidRDefault="00303E40" w:rsidP="0065661C">
      <w:pPr>
        <w:spacing w:line="360" w:lineRule="auto"/>
        <w:jc w:val="both"/>
        <w:rPr>
          <w:rFonts w:ascii="Times New Roman" w:hAnsi="Times New Roman" w:cs="Times New Roman"/>
        </w:rPr>
      </w:pPr>
    </w:p>
    <w:p w14:paraId="5963D2AA" w14:textId="59855730" w:rsidR="00303E40" w:rsidRDefault="00303E40" w:rsidP="0065661C">
      <w:pPr>
        <w:spacing w:line="360" w:lineRule="auto"/>
        <w:jc w:val="both"/>
        <w:rPr>
          <w:rFonts w:ascii="Times New Roman" w:hAnsi="Times New Roman" w:cs="Times New Roman"/>
        </w:rPr>
      </w:pPr>
      <w:r>
        <w:rPr>
          <w:rFonts w:ascii="Times New Roman" w:hAnsi="Times New Roman" w:cs="Times New Roman"/>
        </w:rPr>
        <w:tab/>
        <w:t xml:space="preserve">                               Fuente: elaboración propia.</w:t>
      </w:r>
    </w:p>
    <w:p w14:paraId="7F50CAE9" w14:textId="77777777" w:rsidR="00303E40" w:rsidRDefault="00303E40" w:rsidP="0065661C">
      <w:pPr>
        <w:spacing w:line="360" w:lineRule="auto"/>
        <w:jc w:val="both"/>
        <w:rPr>
          <w:rFonts w:ascii="Times New Roman" w:hAnsi="Times New Roman" w:cs="Times New Roman"/>
        </w:rPr>
      </w:pPr>
    </w:p>
    <w:p w14:paraId="59464749" w14:textId="190DA9A3" w:rsidR="005E1C5F" w:rsidRDefault="00A646AF" w:rsidP="0065661C">
      <w:pPr>
        <w:spacing w:line="360" w:lineRule="auto"/>
        <w:jc w:val="both"/>
        <w:rPr>
          <w:rFonts w:ascii="Times New Roman" w:hAnsi="Times New Roman" w:cs="Times New Roman"/>
        </w:rPr>
      </w:pPr>
      <w:r>
        <w:rPr>
          <w:rFonts w:ascii="Times New Roman" w:hAnsi="Times New Roman" w:cs="Times New Roman"/>
        </w:rPr>
        <w:t xml:space="preserve">De acuerdo al gráfico </w:t>
      </w:r>
      <w:r w:rsidR="00F2240B">
        <w:rPr>
          <w:rFonts w:ascii="Times New Roman" w:hAnsi="Times New Roman" w:cs="Times New Roman"/>
        </w:rPr>
        <w:t>anterior, casi la mitad de los encuestados desconocen el crecimiento de la deuda externa de los países latinoamericanos, pero lo sobresaliente es que la otra mitad de los encuestados se fueron a los extremos ya que una mitad está en total desacuerdo que no se destinen recursos a la seguridad social</w:t>
      </w:r>
      <w:r w:rsidR="00B442EC">
        <w:rPr>
          <w:rFonts w:ascii="Times New Roman" w:hAnsi="Times New Roman" w:cs="Times New Roman"/>
        </w:rPr>
        <w:t>,</w:t>
      </w:r>
      <w:r w:rsidR="00F2240B">
        <w:rPr>
          <w:rFonts w:ascii="Times New Roman" w:hAnsi="Times New Roman" w:cs="Times New Roman"/>
        </w:rPr>
        <w:t xml:space="preserve"> mientras que la otra mitad opina que se han eliminado dichos recursos a la seguridad social para poder pagar la deuda externa.</w:t>
      </w:r>
    </w:p>
    <w:p w14:paraId="4461C9CE" w14:textId="77777777" w:rsidR="00F2240B" w:rsidRDefault="00F2240B" w:rsidP="0065661C">
      <w:pPr>
        <w:spacing w:line="360" w:lineRule="auto"/>
        <w:jc w:val="both"/>
        <w:rPr>
          <w:rFonts w:ascii="Times New Roman" w:hAnsi="Times New Roman" w:cs="Times New Roman"/>
        </w:rPr>
      </w:pPr>
    </w:p>
    <w:p w14:paraId="0A99027D" w14:textId="77777777" w:rsidR="0068109A" w:rsidRDefault="0068109A" w:rsidP="0065661C">
      <w:pPr>
        <w:spacing w:line="360" w:lineRule="auto"/>
        <w:jc w:val="both"/>
        <w:rPr>
          <w:rFonts w:ascii="Times New Roman" w:hAnsi="Times New Roman" w:cs="Times New Roman"/>
        </w:rPr>
      </w:pPr>
    </w:p>
    <w:p w14:paraId="2B011AF3" w14:textId="77777777" w:rsidR="0068109A" w:rsidRDefault="0068109A" w:rsidP="0065661C">
      <w:pPr>
        <w:spacing w:line="360" w:lineRule="auto"/>
        <w:jc w:val="both"/>
        <w:rPr>
          <w:rFonts w:ascii="Times New Roman" w:hAnsi="Times New Roman" w:cs="Times New Roman"/>
        </w:rPr>
      </w:pPr>
    </w:p>
    <w:p w14:paraId="6473B630" w14:textId="77777777" w:rsidR="0068109A" w:rsidRDefault="0068109A" w:rsidP="0065661C">
      <w:pPr>
        <w:spacing w:line="360" w:lineRule="auto"/>
        <w:jc w:val="both"/>
        <w:rPr>
          <w:rFonts w:ascii="Times New Roman" w:hAnsi="Times New Roman" w:cs="Times New Roman"/>
        </w:rPr>
      </w:pPr>
    </w:p>
    <w:p w14:paraId="46214E71" w14:textId="77777777" w:rsidR="0068109A" w:rsidRDefault="0068109A" w:rsidP="0065661C">
      <w:pPr>
        <w:spacing w:line="360" w:lineRule="auto"/>
        <w:jc w:val="both"/>
        <w:rPr>
          <w:rFonts w:ascii="Times New Roman" w:hAnsi="Times New Roman" w:cs="Times New Roman"/>
        </w:rPr>
      </w:pPr>
    </w:p>
    <w:p w14:paraId="06CB1A53" w14:textId="77777777" w:rsidR="0068109A" w:rsidRDefault="0068109A" w:rsidP="0065661C">
      <w:pPr>
        <w:spacing w:line="360" w:lineRule="auto"/>
        <w:jc w:val="both"/>
        <w:rPr>
          <w:rFonts w:ascii="Times New Roman" w:hAnsi="Times New Roman" w:cs="Times New Roman"/>
        </w:rPr>
      </w:pPr>
    </w:p>
    <w:p w14:paraId="38BD8A64" w14:textId="77777777" w:rsidR="0068109A" w:rsidRDefault="0068109A" w:rsidP="0065661C">
      <w:pPr>
        <w:spacing w:line="360" w:lineRule="auto"/>
        <w:jc w:val="both"/>
        <w:rPr>
          <w:rFonts w:ascii="Times New Roman" w:hAnsi="Times New Roman" w:cs="Times New Roman"/>
        </w:rPr>
      </w:pPr>
    </w:p>
    <w:p w14:paraId="5A72E68F" w14:textId="77777777" w:rsidR="0068109A" w:rsidRDefault="0068109A" w:rsidP="0065661C">
      <w:pPr>
        <w:spacing w:line="360" w:lineRule="auto"/>
        <w:jc w:val="both"/>
        <w:rPr>
          <w:rFonts w:ascii="Times New Roman" w:hAnsi="Times New Roman" w:cs="Times New Roman"/>
        </w:rPr>
      </w:pPr>
    </w:p>
    <w:p w14:paraId="0503D9B0" w14:textId="77777777" w:rsidR="0068109A" w:rsidRDefault="0068109A" w:rsidP="0065661C">
      <w:pPr>
        <w:spacing w:line="360" w:lineRule="auto"/>
        <w:jc w:val="both"/>
        <w:rPr>
          <w:rFonts w:ascii="Times New Roman" w:hAnsi="Times New Roman" w:cs="Times New Roman"/>
        </w:rPr>
      </w:pPr>
    </w:p>
    <w:p w14:paraId="7FC2F153" w14:textId="77777777" w:rsidR="0068109A" w:rsidRDefault="0068109A" w:rsidP="0065661C">
      <w:pPr>
        <w:spacing w:line="360" w:lineRule="auto"/>
        <w:jc w:val="both"/>
        <w:rPr>
          <w:rFonts w:ascii="Times New Roman" w:hAnsi="Times New Roman" w:cs="Times New Roman"/>
        </w:rPr>
      </w:pPr>
    </w:p>
    <w:p w14:paraId="74B10CC9" w14:textId="77777777" w:rsidR="0068109A" w:rsidRDefault="0068109A" w:rsidP="0065661C">
      <w:pPr>
        <w:spacing w:line="360" w:lineRule="auto"/>
        <w:jc w:val="both"/>
        <w:rPr>
          <w:rFonts w:ascii="Times New Roman" w:hAnsi="Times New Roman" w:cs="Times New Roman"/>
        </w:rPr>
      </w:pPr>
    </w:p>
    <w:p w14:paraId="4744832A" w14:textId="77777777" w:rsidR="0068109A" w:rsidRDefault="0068109A" w:rsidP="0065661C">
      <w:pPr>
        <w:spacing w:line="360" w:lineRule="auto"/>
        <w:jc w:val="both"/>
        <w:rPr>
          <w:rFonts w:ascii="Times New Roman" w:hAnsi="Times New Roman" w:cs="Times New Roman"/>
        </w:rPr>
      </w:pPr>
    </w:p>
    <w:p w14:paraId="2A68BDBF" w14:textId="77777777" w:rsidR="0068109A" w:rsidRDefault="0068109A" w:rsidP="0065661C">
      <w:pPr>
        <w:spacing w:line="360" w:lineRule="auto"/>
        <w:jc w:val="both"/>
        <w:rPr>
          <w:rFonts w:ascii="Times New Roman" w:hAnsi="Times New Roman" w:cs="Times New Roman"/>
        </w:rPr>
      </w:pPr>
    </w:p>
    <w:p w14:paraId="1AAA801C" w14:textId="6B69760B" w:rsidR="0026074E" w:rsidRDefault="0009608C" w:rsidP="0065661C">
      <w:pPr>
        <w:spacing w:line="360" w:lineRule="auto"/>
        <w:jc w:val="both"/>
        <w:rPr>
          <w:rFonts w:ascii="Times New Roman" w:hAnsi="Times New Roman" w:cs="Times New Roman"/>
        </w:rPr>
      </w:pPr>
      <w:r>
        <w:rPr>
          <w:rFonts w:ascii="Times New Roman" w:hAnsi="Times New Roman" w:cs="Times New Roman"/>
        </w:rPr>
        <w:t>Con re</w:t>
      </w:r>
      <w:r w:rsidR="00B442EC">
        <w:rPr>
          <w:rFonts w:ascii="Times New Roman" w:hAnsi="Times New Roman" w:cs="Times New Roman"/>
        </w:rPr>
        <w:t>specto</w:t>
      </w:r>
      <w:r>
        <w:rPr>
          <w:rFonts w:ascii="Times New Roman" w:hAnsi="Times New Roman" w:cs="Times New Roman"/>
        </w:rPr>
        <w:t xml:space="preserve"> a la variable ahorro, las mayoría de los encuestados piensan que no existe una cultura de ahorro para el retiro, así como tampoco medios de comunicación que creen conciencia </w:t>
      </w:r>
      <w:r w:rsidR="00B442EC">
        <w:rPr>
          <w:rFonts w:ascii="Times New Roman" w:hAnsi="Times New Roman" w:cs="Times New Roman"/>
        </w:rPr>
        <w:t>sobre</w:t>
      </w:r>
      <w:r>
        <w:rPr>
          <w:rFonts w:ascii="Times New Roman" w:hAnsi="Times New Roman" w:cs="Times New Roman"/>
        </w:rPr>
        <w:t xml:space="preserve"> este problema (</w:t>
      </w:r>
      <w:r w:rsidR="00B442EC">
        <w:rPr>
          <w:rFonts w:ascii="Times New Roman" w:hAnsi="Times New Roman" w:cs="Times New Roman"/>
        </w:rPr>
        <w:t>g</w:t>
      </w:r>
      <w:r w:rsidR="00A646AF">
        <w:rPr>
          <w:rFonts w:ascii="Times New Roman" w:hAnsi="Times New Roman" w:cs="Times New Roman"/>
        </w:rPr>
        <w:t xml:space="preserve">ráfico </w:t>
      </w:r>
      <w:r>
        <w:rPr>
          <w:rFonts w:ascii="Times New Roman" w:hAnsi="Times New Roman" w:cs="Times New Roman"/>
        </w:rPr>
        <w:t>9</w:t>
      </w:r>
      <w:r w:rsidR="0026074E">
        <w:rPr>
          <w:rFonts w:ascii="Times New Roman" w:hAnsi="Times New Roman" w:cs="Times New Roman"/>
        </w:rPr>
        <w:t>)</w:t>
      </w:r>
      <w:r w:rsidR="00B442EC">
        <w:rPr>
          <w:rFonts w:ascii="Times New Roman" w:hAnsi="Times New Roman" w:cs="Times New Roman"/>
        </w:rPr>
        <w:t>.</w:t>
      </w:r>
    </w:p>
    <w:p w14:paraId="1D812298" w14:textId="262DB99C" w:rsidR="0009608C" w:rsidRDefault="0009608C" w:rsidP="0065661C">
      <w:pPr>
        <w:spacing w:line="360" w:lineRule="auto"/>
        <w:jc w:val="both"/>
        <w:rPr>
          <w:rFonts w:ascii="Times New Roman" w:hAnsi="Times New Roman" w:cs="Times New Roman"/>
        </w:rPr>
      </w:pPr>
    </w:p>
    <w:p w14:paraId="49602A2F" w14:textId="483488C1" w:rsidR="0028535B" w:rsidRDefault="006D0E18" w:rsidP="0065661C">
      <w:pPr>
        <w:spacing w:line="360" w:lineRule="auto"/>
        <w:jc w:val="both"/>
        <w:rPr>
          <w:rFonts w:ascii="Times New Roman" w:hAnsi="Times New Roman" w:cs="Times New Roman"/>
        </w:rPr>
      </w:pPr>
      <w:r>
        <w:rPr>
          <w:rFonts w:ascii="Times New Roman" w:hAnsi="Times New Roman" w:cs="Times New Roman"/>
        </w:rPr>
        <w:t xml:space="preserve">                                           </w:t>
      </w:r>
      <w:r w:rsidR="00A646AF">
        <w:rPr>
          <w:rFonts w:ascii="Times New Roman" w:hAnsi="Times New Roman" w:cs="Times New Roman"/>
        </w:rPr>
        <w:t>Gráfico</w:t>
      </w:r>
      <w:r w:rsidR="0028535B">
        <w:rPr>
          <w:rFonts w:ascii="Times New Roman" w:hAnsi="Times New Roman" w:cs="Times New Roman"/>
        </w:rPr>
        <w:t xml:space="preserve"> 9. Conciencia en el mexicano</w:t>
      </w:r>
      <w:r w:rsidR="00C9753F">
        <w:rPr>
          <w:rFonts w:ascii="Times New Roman" w:hAnsi="Times New Roman" w:cs="Times New Roman"/>
        </w:rPr>
        <w:t xml:space="preserve"> sobre su retiro</w:t>
      </w:r>
    </w:p>
    <w:p w14:paraId="2A3536C7" w14:textId="07BE2641" w:rsidR="006D0E18" w:rsidRDefault="006D0E18" w:rsidP="0065661C">
      <w:pPr>
        <w:spacing w:line="360" w:lineRule="auto"/>
        <w:jc w:val="both"/>
        <w:rPr>
          <w:rFonts w:ascii="Times New Roman" w:hAnsi="Times New Roman" w:cs="Times New Roman"/>
        </w:rPr>
      </w:pPr>
      <w:r>
        <w:rPr>
          <w:rFonts w:ascii="Times New Roman" w:hAnsi="Times New Roman" w:cs="Times New Roman"/>
          <w:noProof/>
          <w:lang w:val="es-MX" w:eastAsia="es-MX"/>
        </w:rPr>
        <w:drawing>
          <wp:anchor distT="0" distB="0" distL="114300" distR="114300" simplePos="0" relativeHeight="251666432" behindDoc="0" locked="0" layoutInCell="1" allowOverlap="1" wp14:anchorId="6281E968" wp14:editId="6C350C6C">
            <wp:simplePos x="0" y="0"/>
            <wp:positionH relativeFrom="column">
              <wp:posOffset>1485900</wp:posOffset>
            </wp:positionH>
            <wp:positionV relativeFrom="paragraph">
              <wp:posOffset>57150</wp:posOffset>
            </wp:positionV>
            <wp:extent cx="3543300" cy="2171065"/>
            <wp:effectExtent l="0" t="0" r="19050" b="19685"/>
            <wp:wrapNone/>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5189FBC0" w14:textId="2142773B" w:rsidR="00F2240B" w:rsidRDefault="00F2240B" w:rsidP="0065661C">
      <w:pPr>
        <w:spacing w:line="360" w:lineRule="auto"/>
        <w:jc w:val="both"/>
        <w:rPr>
          <w:rFonts w:ascii="Times New Roman" w:hAnsi="Times New Roman" w:cs="Times New Roman"/>
        </w:rPr>
      </w:pPr>
    </w:p>
    <w:p w14:paraId="4A00DB52" w14:textId="77777777" w:rsidR="006D0E18" w:rsidRDefault="006D0E18" w:rsidP="0065661C">
      <w:pPr>
        <w:spacing w:line="360" w:lineRule="auto"/>
        <w:jc w:val="both"/>
        <w:rPr>
          <w:rFonts w:ascii="Times New Roman" w:hAnsi="Times New Roman" w:cs="Times New Roman"/>
        </w:rPr>
      </w:pPr>
    </w:p>
    <w:p w14:paraId="1DEAAE49" w14:textId="77777777" w:rsidR="006D0E18" w:rsidRDefault="006D0E18" w:rsidP="0065661C">
      <w:pPr>
        <w:spacing w:line="360" w:lineRule="auto"/>
        <w:jc w:val="both"/>
        <w:rPr>
          <w:rFonts w:ascii="Times New Roman" w:hAnsi="Times New Roman" w:cs="Times New Roman"/>
        </w:rPr>
      </w:pPr>
    </w:p>
    <w:p w14:paraId="4F2CE3A9" w14:textId="77777777" w:rsidR="006D0E18" w:rsidRDefault="006D0E18" w:rsidP="0065661C">
      <w:pPr>
        <w:spacing w:line="360" w:lineRule="auto"/>
        <w:jc w:val="both"/>
        <w:rPr>
          <w:rFonts w:ascii="Times New Roman" w:hAnsi="Times New Roman" w:cs="Times New Roman"/>
        </w:rPr>
      </w:pPr>
    </w:p>
    <w:p w14:paraId="0826ACA1" w14:textId="77777777" w:rsidR="006D0E18" w:rsidRDefault="006D0E18" w:rsidP="0065661C">
      <w:pPr>
        <w:spacing w:line="360" w:lineRule="auto"/>
        <w:jc w:val="both"/>
        <w:rPr>
          <w:rFonts w:ascii="Times New Roman" w:hAnsi="Times New Roman" w:cs="Times New Roman"/>
        </w:rPr>
      </w:pPr>
    </w:p>
    <w:p w14:paraId="504E0566" w14:textId="77777777" w:rsidR="006D0E18" w:rsidRDefault="006D0E18" w:rsidP="0065661C">
      <w:pPr>
        <w:spacing w:line="360" w:lineRule="auto"/>
        <w:jc w:val="both"/>
        <w:rPr>
          <w:rFonts w:ascii="Times New Roman" w:hAnsi="Times New Roman" w:cs="Times New Roman"/>
        </w:rPr>
      </w:pPr>
    </w:p>
    <w:p w14:paraId="0F4419E9" w14:textId="77777777" w:rsidR="0068109A" w:rsidRDefault="0068109A" w:rsidP="0065661C">
      <w:pPr>
        <w:spacing w:line="360" w:lineRule="auto"/>
        <w:jc w:val="both"/>
        <w:rPr>
          <w:rFonts w:ascii="Times New Roman" w:hAnsi="Times New Roman" w:cs="Times New Roman"/>
        </w:rPr>
      </w:pPr>
    </w:p>
    <w:p w14:paraId="7151E023" w14:textId="77777777" w:rsidR="006D0E18" w:rsidRDefault="006D0E18" w:rsidP="006D0E18">
      <w:pPr>
        <w:spacing w:line="360" w:lineRule="auto"/>
        <w:rPr>
          <w:rFonts w:ascii="Times New Roman" w:hAnsi="Times New Roman" w:cs="Times New Roman"/>
        </w:rPr>
      </w:pPr>
    </w:p>
    <w:p w14:paraId="108A4E62" w14:textId="4B7ED74C" w:rsidR="007F2A3C" w:rsidRDefault="006D0E18" w:rsidP="006D0E18">
      <w:pPr>
        <w:spacing w:line="360" w:lineRule="auto"/>
        <w:rPr>
          <w:rFonts w:ascii="Times New Roman" w:hAnsi="Times New Roman" w:cs="Times New Roman"/>
        </w:rPr>
      </w:pPr>
      <w:r>
        <w:rPr>
          <w:rFonts w:ascii="Times New Roman" w:hAnsi="Times New Roman" w:cs="Times New Roman"/>
        </w:rPr>
        <w:t xml:space="preserve">                                   </w:t>
      </w:r>
      <w:r w:rsidR="00A646AF">
        <w:rPr>
          <w:rFonts w:ascii="Times New Roman" w:hAnsi="Times New Roman" w:cs="Times New Roman"/>
        </w:rPr>
        <w:t xml:space="preserve">  </w:t>
      </w:r>
      <w:r w:rsidR="00A20E14">
        <w:rPr>
          <w:rFonts w:ascii="Times New Roman" w:hAnsi="Times New Roman" w:cs="Times New Roman"/>
        </w:rPr>
        <w:t>F</w:t>
      </w:r>
      <w:r w:rsidR="007F2A3C">
        <w:rPr>
          <w:rFonts w:ascii="Times New Roman" w:hAnsi="Times New Roman" w:cs="Times New Roman"/>
        </w:rPr>
        <w:t xml:space="preserve">uente: </w:t>
      </w:r>
      <w:r>
        <w:rPr>
          <w:rFonts w:ascii="Times New Roman" w:hAnsi="Times New Roman" w:cs="Times New Roman"/>
        </w:rPr>
        <w:t>elaboración propia.</w:t>
      </w:r>
    </w:p>
    <w:p w14:paraId="7DCC387F" w14:textId="77777777" w:rsidR="004C4994" w:rsidRDefault="004C4994" w:rsidP="0065661C">
      <w:pPr>
        <w:spacing w:line="360" w:lineRule="auto"/>
        <w:jc w:val="both"/>
        <w:rPr>
          <w:rFonts w:ascii="Times New Roman" w:hAnsi="Times New Roman" w:cs="Times New Roman"/>
        </w:rPr>
      </w:pPr>
    </w:p>
    <w:p w14:paraId="7126B041" w14:textId="46E87EF9" w:rsidR="006D0E18" w:rsidRDefault="004C4994" w:rsidP="00A646AF">
      <w:pPr>
        <w:spacing w:line="360" w:lineRule="auto"/>
        <w:jc w:val="both"/>
        <w:rPr>
          <w:rFonts w:ascii="Times New Roman" w:hAnsi="Times New Roman" w:cs="Times New Roman"/>
        </w:rPr>
      </w:pPr>
      <w:r>
        <w:rPr>
          <w:rFonts w:ascii="Times New Roman" w:hAnsi="Times New Roman" w:cs="Times New Roman"/>
        </w:rPr>
        <w:t>Por último</w:t>
      </w:r>
      <w:r w:rsidR="00A20E14">
        <w:rPr>
          <w:rFonts w:ascii="Times New Roman" w:hAnsi="Times New Roman" w:cs="Times New Roman"/>
        </w:rPr>
        <w:t>,</w:t>
      </w:r>
      <w:r>
        <w:rPr>
          <w:rFonts w:ascii="Times New Roman" w:hAnsi="Times New Roman" w:cs="Times New Roman"/>
        </w:rPr>
        <w:t xml:space="preserve"> se puntualizó sobre si</w:t>
      </w:r>
      <w:r w:rsidRPr="004C4994">
        <w:rPr>
          <w:rFonts w:ascii="Times New Roman" w:hAnsi="Times New Roman" w:cs="Times New Roman"/>
        </w:rPr>
        <w:t xml:space="preserve"> el trabajador se convierte </w:t>
      </w:r>
      <w:r>
        <w:rPr>
          <w:rFonts w:ascii="Times New Roman" w:hAnsi="Times New Roman" w:cs="Times New Roman"/>
        </w:rPr>
        <w:t>e</w:t>
      </w:r>
      <w:r w:rsidRPr="004C4994">
        <w:rPr>
          <w:rFonts w:ascii="Times New Roman" w:hAnsi="Times New Roman" w:cs="Times New Roman"/>
        </w:rPr>
        <w:t>n la actualidad en un cliente de las instituciones financieras privadas, quienes administran sus recurso</w:t>
      </w:r>
      <w:r>
        <w:rPr>
          <w:rFonts w:ascii="Times New Roman" w:hAnsi="Times New Roman" w:cs="Times New Roman"/>
        </w:rPr>
        <w:t>s a lo largo de su vida laboral</w:t>
      </w:r>
      <w:r w:rsidRPr="004C4994">
        <w:rPr>
          <w:rFonts w:ascii="Times New Roman" w:hAnsi="Times New Roman" w:cs="Times New Roman"/>
        </w:rPr>
        <w:t xml:space="preserve"> cobrando una comisión por ese manejo e invirtiendo esos fondos acumulados en el mercado f</w:t>
      </w:r>
      <w:r>
        <w:rPr>
          <w:rFonts w:ascii="Times New Roman" w:hAnsi="Times New Roman" w:cs="Times New Roman"/>
        </w:rPr>
        <w:t>inanciero</w:t>
      </w:r>
      <w:r w:rsidRPr="004C4994">
        <w:rPr>
          <w:rFonts w:ascii="Times New Roman" w:hAnsi="Times New Roman" w:cs="Times New Roman"/>
        </w:rPr>
        <w:t xml:space="preserve"> </w:t>
      </w:r>
      <w:r>
        <w:rPr>
          <w:rFonts w:ascii="Times New Roman" w:hAnsi="Times New Roman" w:cs="Times New Roman"/>
        </w:rPr>
        <w:t xml:space="preserve">para </w:t>
      </w:r>
      <w:r w:rsidRPr="004C4994">
        <w:rPr>
          <w:rFonts w:ascii="Times New Roman" w:hAnsi="Times New Roman" w:cs="Times New Roman"/>
        </w:rPr>
        <w:t>otorga</w:t>
      </w:r>
      <w:r>
        <w:rPr>
          <w:rFonts w:ascii="Times New Roman" w:hAnsi="Times New Roman" w:cs="Times New Roman"/>
        </w:rPr>
        <w:t>rle</w:t>
      </w:r>
      <w:r w:rsidRPr="004C4994">
        <w:rPr>
          <w:rFonts w:ascii="Times New Roman" w:hAnsi="Times New Roman" w:cs="Times New Roman"/>
        </w:rPr>
        <w:t xml:space="preserve"> rendimientos </w:t>
      </w:r>
      <w:r>
        <w:rPr>
          <w:rFonts w:ascii="Times New Roman" w:hAnsi="Times New Roman" w:cs="Times New Roman"/>
        </w:rPr>
        <w:t>para el momento de su retiro (</w:t>
      </w:r>
      <w:r w:rsidR="00A20E14">
        <w:rPr>
          <w:rFonts w:ascii="Times New Roman" w:hAnsi="Times New Roman" w:cs="Times New Roman"/>
        </w:rPr>
        <w:t>g</w:t>
      </w:r>
      <w:r w:rsidR="00A646AF">
        <w:rPr>
          <w:rFonts w:ascii="Times New Roman" w:hAnsi="Times New Roman" w:cs="Times New Roman"/>
        </w:rPr>
        <w:t>ráfico</w:t>
      </w:r>
      <w:r>
        <w:rPr>
          <w:rFonts w:ascii="Times New Roman" w:hAnsi="Times New Roman" w:cs="Times New Roman"/>
        </w:rPr>
        <w:t xml:space="preserve"> 10)</w:t>
      </w:r>
      <w:r w:rsidR="00A20E14">
        <w:rPr>
          <w:rFonts w:ascii="Times New Roman" w:hAnsi="Times New Roman" w:cs="Times New Roman"/>
        </w:rPr>
        <w:t>.</w:t>
      </w:r>
    </w:p>
    <w:p w14:paraId="0A1D790E" w14:textId="77777777" w:rsidR="006D0E18" w:rsidRDefault="006D0E18" w:rsidP="007F2A3C">
      <w:pPr>
        <w:spacing w:line="360" w:lineRule="auto"/>
        <w:jc w:val="center"/>
        <w:rPr>
          <w:rFonts w:ascii="Times New Roman" w:hAnsi="Times New Roman" w:cs="Times New Roman"/>
        </w:rPr>
      </w:pPr>
    </w:p>
    <w:p w14:paraId="26B91751" w14:textId="53108E72" w:rsidR="007F2A3C" w:rsidRDefault="00A646AF" w:rsidP="007F2A3C">
      <w:pPr>
        <w:spacing w:line="360" w:lineRule="auto"/>
        <w:rPr>
          <w:rFonts w:ascii="Times New Roman" w:hAnsi="Times New Roman" w:cs="Times New Roman"/>
        </w:rPr>
      </w:pPr>
      <w:r>
        <w:rPr>
          <w:rFonts w:ascii="Times New Roman" w:hAnsi="Times New Roman" w:cs="Times New Roman"/>
        </w:rPr>
        <w:t xml:space="preserve">                                    Gráfico</w:t>
      </w:r>
      <w:r w:rsidR="007F2A3C">
        <w:rPr>
          <w:rFonts w:ascii="Times New Roman" w:hAnsi="Times New Roman" w:cs="Times New Roman"/>
        </w:rPr>
        <w:t xml:space="preserve"> 10. Rentabilidad del sistema actual de pensión en la</w:t>
      </w:r>
    </w:p>
    <w:p w14:paraId="0C13BEDE" w14:textId="15592979" w:rsidR="0009608C" w:rsidRDefault="007F2A3C" w:rsidP="007F2A3C">
      <w:pPr>
        <w:spacing w:line="360" w:lineRule="auto"/>
        <w:rPr>
          <w:rFonts w:ascii="Times New Roman" w:hAnsi="Times New Roman" w:cs="Times New Roman"/>
        </w:rPr>
      </w:pPr>
      <w:r>
        <w:rPr>
          <w:rFonts w:ascii="Times New Roman" w:hAnsi="Times New Roman" w:cs="Times New Roman"/>
        </w:rPr>
        <w:t xml:space="preserve">                 </w:t>
      </w:r>
      <w:r w:rsidR="006D0E18">
        <w:rPr>
          <w:rFonts w:ascii="Times New Roman" w:hAnsi="Times New Roman" w:cs="Times New Roman"/>
        </w:rPr>
        <w:t xml:space="preserve">                                    </w:t>
      </w:r>
      <w:r>
        <w:rPr>
          <w:rFonts w:ascii="Times New Roman" w:hAnsi="Times New Roman" w:cs="Times New Roman"/>
        </w:rPr>
        <w:t>cuenta del trabajador</w:t>
      </w:r>
    </w:p>
    <w:p w14:paraId="6C8DF7FA" w14:textId="02953ACF" w:rsidR="0009608C" w:rsidRDefault="007F2A3C" w:rsidP="0065661C">
      <w:pPr>
        <w:spacing w:line="360" w:lineRule="auto"/>
        <w:jc w:val="both"/>
        <w:rPr>
          <w:rFonts w:ascii="Times New Roman" w:hAnsi="Times New Roman" w:cs="Times New Roman"/>
        </w:rPr>
      </w:pPr>
      <w:r w:rsidRPr="006E759E">
        <w:rPr>
          <w:rFonts w:ascii="Times New Roman" w:hAnsi="Times New Roman" w:cs="Times New Roman"/>
          <w:noProof/>
          <w:lang w:val="es-MX" w:eastAsia="es-MX"/>
        </w:rPr>
        <w:drawing>
          <wp:anchor distT="0" distB="0" distL="114300" distR="114300" simplePos="0" relativeHeight="251667456" behindDoc="0" locked="0" layoutInCell="1" allowOverlap="1" wp14:anchorId="3EB60513" wp14:editId="44C2F444">
            <wp:simplePos x="0" y="0"/>
            <wp:positionH relativeFrom="column">
              <wp:posOffset>1371600</wp:posOffset>
            </wp:positionH>
            <wp:positionV relativeFrom="paragraph">
              <wp:posOffset>12065</wp:posOffset>
            </wp:positionV>
            <wp:extent cx="3623945" cy="1790700"/>
            <wp:effectExtent l="0" t="0" r="14605" b="19050"/>
            <wp:wrapNone/>
            <wp:docPr id="293" name="Gráfico 2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76090D58" w14:textId="77777777" w:rsidR="006D0E18" w:rsidRDefault="006D0E18" w:rsidP="007F2A3C">
      <w:pPr>
        <w:spacing w:line="360" w:lineRule="auto"/>
        <w:ind w:left="2832" w:firstLine="708"/>
        <w:rPr>
          <w:rFonts w:ascii="Times New Roman" w:hAnsi="Times New Roman" w:cs="Times New Roman"/>
        </w:rPr>
      </w:pPr>
    </w:p>
    <w:p w14:paraId="5451E43A" w14:textId="77777777" w:rsidR="006D0E18" w:rsidRDefault="006D0E18" w:rsidP="007F2A3C">
      <w:pPr>
        <w:spacing w:line="360" w:lineRule="auto"/>
        <w:ind w:left="2832" w:firstLine="708"/>
        <w:rPr>
          <w:rFonts w:ascii="Times New Roman" w:hAnsi="Times New Roman" w:cs="Times New Roman"/>
        </w:rPr>
      </w:pPr>
    </w:p>
    <w:p w14:paraId="45588EA0" w14:textId="77777777" w:rsidR="007F2A3C" w:rsidRDefault="007F2A3C" w:rsidP="007F2A3C">
      <w:pPr>
        <w:spacing w:line="360" w:lineRule="auto"/>
        <w:ind w:left="2832" w:firstLine="708"/>
        <w:rPr>
          <w:rFonts w:ascii="Times New Roman" w:hAnsi="Times New Roman" w:cs="Times New Roman"/>
        </w:rPr>
      </w:pPr>
      <w:r>
        <w:rPr>
          <w:rFonts w:ascii="Times New Roman" w:hAnsi="Times New Roman" w:cs="Times New Roman"/>
        </w:rPr>
        <w:t xml:space="preserve"> fuente: el propio autor</w:t>
      </w:r>
    </w:p>
    <w:p w14:paraId="27B9C7DC" w14:textId="77777777" w:rsidR="006D0E18" w:rsidRDefault="006D0E18" w:rsidP="007F2A3C">
      <w:pPr>
        <w:spacing w:line="360" w:lineRule="auto"/>
        <w:ind w:left="2832" w:firstLine="708"/>
        <w:rPr>
          <w:rFonts w:ascii="Times New Roman" w:hAnsi="Times New Roman" w:cs="Times New Roman"/>
        </w:rPr>
      </w:pPr>
    </w:p>
    <w:p w14:paraId="1AC0D473" w14:textId="77777777" w:rsidR="006D0E18" w:rsidRDefault="006D0E18" w:rsidP="007F2A3C">
      <w:pPr>
        <w:spacing w:line="360" w:lineRule="auto"/>
        <w:ind w:left="2832" w:firstLine="708"/>
        <w:rPr>
          <w:rFonts w:ascii="Times New Roman" w:hAnsi="Times New Roman" w:cs="Times New Roman"/>
        </w:rPr>
      </w:pPr>
    </w:p>
    <w:p w14:paraId="14E141F0" w14:textId="77777777" w:rsidR="007F2A3C" w:rsidRDefault="007F2A3C" w:rsidP="0065661C">
      <w:pPr>
        <w:spacing w:line="360" w:lineRule="auto"/>
        <w:jc w:val="both"/>
        <w:rPr>
          <w:rFonts w:ascii="Times New Roman" w:hAnsi="Times New Roman" w:cs="Times New Roman"/>
        </w:rPr>
      </w:pPr>
    </w:p>
    <w:p w14:paraId="71647AE5" w14:textId="6F82BB6C" w:rsidR="007F2A3C" w:rsidRDefault="006D0E18" w:rsidP="0065661C">
      <w:pPr>
        <w:spacing w:line="360" w:lineRule="auto"/>
        <w:jc w:val="both"/>
        <w:rPr>
          <w:rFonts w:ascii="Times New Roman" w:hAnsi="Times New Roman" w:cs="Times New Roman"/>
        </w:rPr>
      </w:pPr>
      <w:r>
        <w:rPr>
          <w:rFonts w:ascii="Times New Roman" w:hAnsi="Times New Roman" w:cs="Times New Roman"/>
        </w:rPr>
        <w:t xml:space="preserve">                                    Fuente: elaboración propia</w:t>
      </w:r>
      <w:r w:rsidR="00551B35">
        <w:rPr>
          <w:rFonts w:ascii="Times New Roman" w:hAnsi="Times New Roman" w:cs="Times New Roman"/>
        </w:rPr>
        <w:t>.</w:t>
      </w:r>
    </w:p>
    <w:p w14:paraId="36CB9D2D" w14:textId="77777777" w:rsidR="007F2A3C" w:rsidRDefault="007F2A3C" w:rsidP="0065661C">
      <w:pPr>
        <w:spacing w:line="360" w:lineRule="auto"/>
        <w:jc w:val="both"/>
        <w:rPr>
          <w:rFonts w:ascii="Times New Roman" w:hAnsi="Times New Roman" w:cs="Times New Roman"/>
        </w:rPr>
      </w:pPr>
    </w:p>
    <w:p w14:paraId="6910D216" w14:textId="77777777" w:rsidR="007F2A3C" w:rsidRDefault="007F2A3C" w:rsidP="0065661C">
      <w:pPr>
        <w:spacing w:line="360" w:lineRule="auto"/>
        <w:jc w:val="both"/>
        <w:rPr>
          <w:rFonts w:ascii="Times New Roman" w:hAnsi="Times New Roman" w:cs="Times New Roman"/>
        </w:rPr>
      </w:pPr>
    </w:p>
    <w:p w14:paraId="5B1C65E3" w14:textId="5DCFB8B3" w:rsidR="0068109A" w:rsidRDefault="006F32DC" w:rsidP="0065661C">
      <w:pPr>
        <w:spacing w:line="360" w:lineRule="auto"/>
        <w:jc w:val="both"/>
        <w:rPr>
          <w:rFonts w:ascii="Times New Roman" w:hAnsi="Times New Roman" w:cs="Times New Roman"/>
        </w:rPr>
      </w:pPr>
      <w:r>
        <w:rPr>
          <w:rFonts w:ascii="Times New Roman" w:hAnsi="Times New Roman" w:cs="Times New Roman"/>
        </w:rPr>
        <w:t>El gráfico</w:t>
      </w:r>
      <w:r w:rsidR="004E3C4C">
        <w:rPr>
          <w:rFonts w:ascii="Times New Roman" w:hAnsi="Times New Roman" w:cs="Times New Roman"/>
        </w:rPr>
        <w:t xml:space="preserve"> 10 muestra un equilibrio entre las respu</w:t>
      </w:r>
      <w:r w:rsidR="00834F3A">
        <w:rPr>
          <w:rFonts w:ascii="Times New Roman" w:hAnsi="Times New Roman" w:cs="Times New Roman"/>
        </w:rPr>
        <w:t>estas de los encuestados, concluyendo que una cuarta parte s</w:t>
      </w:r>
      <w:r w:rsidR="00551B35">
        <w:rPr>
          <w:rFonts w:ascii="Times New Roman" w:hAnsi="Times New Roman" w:cs="Times New Roman"/>
        </w:rPr>
        <w:t>í</w:t>
      </w:r>
      <w:r w:rsidR="00834F3A">
        <w:rPr>
          <w:rFonts w:ascii="Times New Roman" w:hAnsi="Times New Roman" w:cs="Times New Roman"/>
        </w:rPr>
        <w:t xml:space="preserve"> tiene conocimiento de</w:t>
      </w:r>
      <w:r w:rsidR="004E3C4C">
        <w:rPr>
          <w:rFonts w:ascii="Times New Roman" w:hAnsi="Times New Roman" w:cs="Times New Roman"/>
        </w:rPr>
        <w:t xml:space="preserve"> </w:t>
      </w:r>
      <w:r w:rsidR="00834F3A">
        <w:rPr>
          <w:rFonts w:ascii="Times New Roman" w:hAnsi="Times New Roman" w:cs="Times New Roman"/>
        </w:rPr>
        <w:t>que está recibiendo rendimientos en su cuenta individual. Por otra parte, una mayoría piensa que las instituciones financieras conocidas como Afore, cobran una comisión alta por sus servicios, por lo que el trabajador se convierte en un cliente de dichas instituciones.</w:t>
      </w:r>
    </w:p>
    <w:p w14:paraId="4F11456A" w14:textId="77777777" w:rsidR="0068109A" w:rsidRDefault="0068109A" w:rsidP="0065661C">
      <w:pPr>
        <w:spacing w:line="360" w:lineRule="auto"/>
        <w:jc w:val="both"/>
        <w:rPr>
          <w:rFonts w:ascii="Times New Roman" w:hAnsi="Times New Roman" w:cs="Times New Roman"/>
        </w:rPr>
      </w:pPr>
    </w:p>
    <w:p w14:paraId="421C7E28" w14:textId="2CD32355" w:rsidR="00780690" w:rsidRPr="0097354E" w:rsidRDefault="000223D6" w:rsidP="00780690">
      <w:pPr>
        <w:spacing w:line="360" w:lineRule="auto"/>
        <w:jc w:val="both"/>
        <w:rPr>
          <w:rFonts w:ascii="Times New Roman" w:hAnsi="Times New Roman" w:cs="Times New Roman"/>
          <w:b/>
        </w:rPr>
      </w:pPr>
      <w:r>
        <w:rPr>
          <w:rFonts w:ascii="Times New Roman" w:hAnsi="Times New Roman" w:cs="Times New Roman"/>
          <w:b/>
        </w:rPr>
        <w:t>Conclusión</w:t>
      </w:r>
    </w:p>
    <w:p w14:paraId="5A2098F9" w14:textId="77777777" w:rsidR="00780690" w:rsidRPr="00AE1C09" w:rsidRDefault="00780690" w:rsidP="00780690">
      <w:pPr>
        <w:spacing w:line="360" w:lineRule="auto"/>
        <w:jc w:val="both"/>
        <w:rPr>
          <w:rFonts w:ascii="Times New Roman" w:hAnsi="Times New Roman" w:cs="Times New Roman"/>
        </w:rPr>
      </w:pPr>
    </w:p>
    <w:p w14:paraId="651D074A" w14:textId="6B2DC837" w:rsidR="006D0E18" w:rsidRDefault="00780690" w:rsidP="00780690">
      <w:pPr>
        <w:spacing w:line="360" w:lineRule="auto"/>
        <w:jc w:val="both"/>
        <w:rPr>
          <w:rFonts w:ascii="Times New Roman" w:hAnsi="Times New Roman" w:cs="Times New Roman"/>
        </w:rPr>
      </w:pPr>
      <w:r w:rsidRPr="00AE1C09">
        <w:rPr>
          <w:rFonts w:ascii="Times New Roman" w:hAnsi="Times New Roman" w:cs="Times New Roman"/>
        </w:rPr>
        <w:t xml:space="preserve">Sobre la variable acerca de las </w:t>
      </w:r>
      <w:r w:rsidR="0097354E">
        <w:rPr>
          <w:rFonts w:ascii="Times New Roman" w:hAnsi="Times New Roman" w:cs="Times New Roman"/>
        </w:rPr>
        <w:t>políticas públicas sociales, el estudio muestra que aún no</w:t>
      </w:r>
      <w:r w:rsidRPr="00AE1C09">
        <w:rPr>
          <w:rFonts w:ascii="Times New Roman" w:hAnsi="Times New Roman" w:cs="Times New Roman"/>
        </w:rPr>
        <w:t xml:space="preserve"> se ha logrado elevar el nivel de protección en la seguridad social dentro del ramo de las pensiones</w:t>
      </w:r>
      <w:r w:rsidR="007759AB">
        <w:rPr>
          <w:rFonts w:ascii="Times New Roman" w:hAnsi="Times New Roman" w:cs="Times New Roman"/>
        </w:rPr>
        <w:t>, debido a que</w:t>
      </w:r>
      <w:r w:rsidRPr="00AE1C09">
        <w:rPr>
          <w:rFonts w:ascii="Times New Roman" w:hAnsi="Times New Roman" w:cs="Times New Roman"/>
        </w:rPr>
        <w:t xml:space="preserve"> la política económica y social </w:t>
      </w:r>
      <w:r w:rsidR="007759AB">
        <w:rPr>
          <w:rFonts w:ascii="Times New Roman" w:hAnsi="Times New Roman" w:cs="Times New Roman"/>
        </w:rPr>
        <w:t>no ha logrado</w:t>
      </w:r>
      <w:r w:rsidRPr="00AE1C09">
        <w:rPr>
          <w:rFonts w:ascii="Times New Roman" w:hAnsi="Times New Roman" w:cs="Times New Roman"/>
        </w:rPr>
        <w:t xml:space="preserve"> eliminar la informalidad en el ámbito laboral. Por otra parte la seguridad social demanda recursos de los sectores públicos para que se logren las garantías mínimas de un </w:t>
      </w:r>
      <w:r w:rsidR="0084107D">
        <w:rPr>
          <w:rFonts w:ascii="Times New Roman" w:hAnsi="Times New Roman" w:cs="Times New Roman"/>
        </w:rPr>
        <w:t>e</w:t>
      </w:r>
      <w:r w:rsidR="005C2E5A">
        <w:rPr>
          <w:rFonts w:ascii="Times New Roman" w:hAnsi="Times New Roman" w:cs="Times New Roman"/>
        </w:rPr>
        <w:t>stado de bienestar</w:t>
      </w:r>
      <w:r w:rsidRPr="00AE1C09">
        <w:rPr>
          <w:rFonts w:ascii="Times New Roman" w:hAnsi="Times New Roman" w:cs="Times New Roman"/>
        </w:rPr>
        <w:t>; para lograr esto se requieren políticas fiscales y económicas y de inclusión laboral.</w:t>
      </w:r>
      <w:r>
        <w:rPr>
          <w:rFonts w:ascii="Times New Roman" w:hAnsi="Times New Roman" w:cs="Times New Roman"/>
        </w:rPr>
        <w:t xml:space="preserve"> Por lo tanto, el desafío de la política pública será la de </w:t>
      </w:r>
      <w:r w:rsidRPr="00B660DE">
        <w:rPr>
          <w:rFonts w:ascii="Times New Roman" w:hAnsi="Times New Roman" w:cs="Times New Roman"/>
        </w:rPr>
        <w:t>ampliar la cobertura y lograr niveles de pensiones adecuados que permitan mantener niveles de consumo y evitar la pobreza durante la vejez.</w:t>
      </w:r>
    </w:p>
    <w:p w14:paraId="25AD8A43" w14:textId="77777777" w:rsidR="006D0E18" w:rsidRDefault="006D0E18" w:rsidP="00780690">
      <w:pPr>
        <w:spacing w:line="360" w:lineRule="auto"/>
        <w:jc w:val="both"/>
        <w:rPr>
          <w:rFonts w:ascii="Times New Roman" w:hAnsi="Times New Roman" w:cs="Times New Roman"/>
        </w:rPr>
      </w:pPr>
    </w:p>
    <w:p w14:paraId="2360FCDC" w14:textId="1C5454AB" w:rsidR="00780690" w:rsidRDefault="00780690" w:rsidP="00780690">
      <w:pPr>
        <w:spacing w:line="360" w:lineRule="auto"/>
        <w:jc w:val="both"/>
        <w:rPr>
          <w:rFonts w:ascii="Times New Roman" w:hAnsi="Times New Roman" w:cs="Times New Roman"/>
        </w:rPr>
      </w:pPr>
      <w:r>
        <w:rPr>
          <w:rFonts w:ascii="Times New Roman" w:hAnsi="Times New Roman" w:cs="Times New Roman"/>
        </w:rPr>
        <w:t>Existe actualmente un buen control en la política antiinflacionaria, conservándola en un dígito, pero como se mencion</w:t>
      </w:r>
      <w:r w:rsidR="00551B35">
        <w:rPr>
          <w:rFonts w:ascii="Times New Roman" w:hAnsi="Times New Roman" w:cs="Times New Roman"/>
        </w:rPr>
        <w:t>ó</w:t>
      </w:r>
      <w:r>
        <w:rPr>
          <w:rFonts w:ascii="Times New Roman" w:hAnsi="Times New Roman" w:cs="Times New Roman"/>
        </w:rPr>
        <w:t xml:space="preserve"> anteriormente, esto no ha logrado mayores recursos a las pensiones, además de que los salarios de los trabajadores no son lo suficientemente fuertes para </w:t>
      </w:r>
      <w:r w:rsidR="00551B35">
        <w:rPr>
          <w:rFonts w:ascii="Times New Roman" w:hAnsi="Times New Roman" w:cs="Times New Roman"/>
        </w:rPr>
        <w:t>q</w:t>
      </w:r>
      <w:r>
        <w:rPr>
          <w:rFonts w:ascii="Times New Roman" w:hAnsi="Times New Roman" w:cs="Times New Roman"/>
        </w:rPr>
        <w:t>ue el trabajador logre un ahorro para su jubilación.</w:t>
      </w:r>
    </w:p>
    <w:p w14:paraId="5AD140B0" w14:textId="77777777" w:rsidR="00780690" w:rsidRDefault="00780690" w:rsidP="00780690">
      <w:pPr>
        <w:spacing w:line="360" w:lineRule="auto"/>
        <w:jc w:val="both"/>
        <w:rPr>
          <w:rFonts w:ascii="Times New Roman" w:hAnsi="Times New Roman" w:cs="Times New Roman"/>
        </w:rPr>
      </w:pPr>
    </w:p>
    <w:p w14:paraId="28AB85B1" w14:textId="38A0E28B" w:rsidR="00780690" w:rsidRDefault="00780690" w:rsidP="00780690">
      <w:pPr>
        <w:spacing w:line="360" w:lineRule="auto"/>
        <w:jc w:val="both"/>
        <w:rPr>
          <w:rFonts w:ascii="Times New Roman" w:hAnsi="Times New Roman" w:cs="Times New Roman"/>
        </w:rPr>
      </w:pPr>
      <w:r>
        <w:rPr>
          <w:rFonts w:ascii="Times New Roman" w:hAnsi="Times New Roman" w:cs="Times New Roman"/>
        </w:rPr>
        <w:t>El sistema neoliberal busca que se logre una mayor apertura fiscal y comercial</w:t>
      </w:r>
      <w:r w:rsidR="00551B35">
        <w:rPr>
          <w:rFonts w:ascii="Times New Roman" w:hAnsi="Times New Roman" w:cs="Times New Roman"/>
        </w:rPr>
        <w:t>,</w:t>
      </w:r>
      <w:r>
        <w:rPr>
          <w:rFonts w:ascii="Times New Roman" w:hAnsi="Times New Roman" w:cs="Times New Roman"/>
        </w:rPr>
        <w:t xml:space="preserve"> y la acumulación de los recursos monetarios del sistema pensionario se invierte dentro del mercado bursátil para obtener mayores ganancias para las administradoras privadas, más que aumentar la cuenta individual de ahorro del trabajador.</w:t>
      </w:r>
    </w:p>
    <w:p w14:paraId="326EF0EA" w14:textId="77777777" w:rsidR="006D0E18" w:rsidRPr="0065661C" w:rsidRDefault="006D0E18" w:rsidP="0065661C">
      <w:pPr>
        <w:spacing w:line="360" w:lineRule="auto"/>
        <w:jc w:val="both"/>
        <w:rPr>
          <w:rFonts w:ascii="Times New Roman" w:hAnsi="Times New Roman" w:cs="Times New Roman"/>
        </w:rPr>
      </w:pPr>
    </w:p>
    <w:p w14:paraId="1F36FAEC" w14:textId="77777777" w:rsidR="00E04BEE" w:rsidRDefault="00E04BEE" w:rsidP="00E04BEE">
      <w:pPr>
        <w:spacing w:line="360" w:lineRule="auto"/>
        <w:jc w:val="both"/>
        <w:rPr>
          <w:rFonts w:ascii="Times New Roman" w:hAnsi="Times New Roman" w:cs="Times New Roman"/>
        </w:rPr>
      </w:pPr>
    </w:p>
    <w:p w14:paraId="2CF34349" w14:textId="77777777" w:rsidR="000223D6" w:rsidRDefault="000223D6" w:rsidP="00E04BEE">
      <w:pPr>
        <w:spacing w:line="360" w:lineRule="auto"/>
        <w:jc w:val="both"/>
        <w:rPr>
          <w:rFonts w:ascii="Times New Roman" w:hAnsi="Times New Roman" w:cs="Times New Roman"/>
        </w:rPr>
      </w:pPr>
    </w:p>
    <w:p w14:paraId="0B691320" w14:textId="77777777" w:rsidR="000223D6" w:rsidRDefault="000223D6" w:rsidP="00E04BEE">
      <w:pPr>
        <w:spacing w:line="360" w:lineRule="auto"/>
        <w:jc w:val="both"/>
        <w:rPr>
          <w:rFonts w:ascii="Times New Roman" w:hAnsi="Times New Roman" w:cs="Times New Roman"/>
        </w:rPr>
      </w:pPr>
    </w:p>
    <w:p w14:paraId="590F70AA" w14:textId="77777777" w:rsidR="000223D6" w:rsidRDefault="000223D6" w:rsidP="00E04BEE">
      <w:pPr>
        <w:spacing w:line="360" w:lineRule="auto"/>
        <w:jc w:val="both"/>
        <w:rPr>
          <w:rFonts w:ascii="Times New Roman" w:hAnsi="Times New Roman" w:cs="Times New Roman"/>
        </w:rPr>
      </w:pPr>
    </w:p>
    <w:p w14:paraId="0F9B871F" w14:textId="07FBD4EE" w:rsidR="00EA19D8" w:rsidRPr="001B40C4" w:rsidRDefault="000223D6" w:rsidP="00E04BEE">
      <w:pPr>
        <w:spacing w:line="360" w:lineRule="auto"/>
        <w:jc w:val="both"/>
        <w:rPr>
          <w:rFonts w:ascii="Times New Roman" w:hAnsi="Times New Roman" w:cs="Times New Roman"/>
          <w:b/>
        </w:rPr>
      </w:pPr>
      <w:r w:rsidRPr="000223D6">
        <w:rPr>
          <w:rFonts w:ascii="Calibri" w:eastAsia="Times New Roman" w:hAnsi="Calibri" w:cs="Calibri"/>
          <w:color w:val="7030A0"/>
          <w:sz w:val="28"/>
          <w:szCs w:val="28"/>
          <w:lang w:val="es-ES"/>
        </w:rPr>
        <w:t>Bibliografía</w:t>
      </w:r>
    </w:p>
    <w:p w14:paraId="5C9B6875" w14:textId="710F9A3D" w:rsidR="00EA19D8" w:rsidRPr="00005B17" w:rsidRDefault="00EA19D8" w:rsidP="00E04BEE">
      <w:pPr>
        <w:spacing w:line="360" w:lineRule="auto"/>
        <w:jc w:val="both"/>
        <w:rPr>
          <w:rFonts w:ascii="Times New Roman" w:hAnsi="Times New Roman" w:cs="Times New Roman"/>
        </w:rPr>
      </w:pPr>
    </w:p>
    <w:p w14:paraId="0CC3A6A2" w14:textId="398266A1" w:rsidR="0026074E" w:rsidRPr="000223D6" w:rsidRDefault="0026074E" w:rsidP="000223D6">
      <w:pPr>
        <w:pStyle w:val="Bibliografa"/>
        <w:ind w:left="720" w:hanging="720"/>
        <w:jc w:val="both"/>
        <w:rPr>
          <w:rFonts w:ascii="Times New Roman" w:hAnsi="Times New Roman"/>
          <w:noProof/>
          <w:sz w:val="24"/>
          <w:szCs w:val="24"/>
          <w:lang w:val="es-ES"/>
        </w:rPr>
      </w:pPr>
      <w:r w:rsidRPr="000223D6">
        <w:rPr>
          <w:rFonts w:ascii="Times New Roman" w:hAnsi="Times New Roman"/>
          <w:noProof/>
          <w:sz w:val="24"/>
          <w:szCs w:val="24"/>
          <w:lang w:val="es-ES"/>
        </w:rPr>
        <w:t>Barr, Nicholas (1993). The Economics of the Welfare State</w:t>
      </w:r>
      <w:r w:rsidR="00C44882" w:rsidRPr="000223D6">
        <w:rPr>
          <w:rFonts w:ascii="Times New Roman" w:hAnsi="Times New Roman"/>
          <w:noProof/>
          <w:sz w:val="24"/>
          <w:szCs w:val="24"/>
          <w:lang w:val="es-ES"/>
        </w:rPr>
        <w:t xml:space="preserve">, </w:t>
      </w:r>
      <w:r w:rsidRPr="000223D6">
        <w:rPr>
          <w:rFonts w:ascii="Times New Roman" w:hAnsi="Times New Roman"/>
          <w:noProof/>
          <w:sz w:val="24"/>
          <w:szCs w:val="24"/>
          <w:lang w:val="es-ES"/>
        </w:rPr>
        <w:t>2</w:t>
      </w:r>
      <w:r w:rsidR="00C44882" w:rsidRPr="000223D6">
        <w:rPr>
          <w:rFonts w:ascii="Times New Roman" w:hAnsi="Times New Roman"/>
          <w:noProof/>
          <w:sz w:val="24"/>
          <w:szCs w:val="24"/>
          <w:lang w:val="es-ES"/>
        </w:rPr>
        <w:t>nd</w:t>
      </w:r>
      <w:r w:rsidRPr="000223D6">
        <w:rPr>
          <w:rFonts w:ascii="Times New Roman" w:hAnsi="Times New Roman"/>
          <w:noProof/>
          <w:sz w:val="24"/>
          <w:szCs w:val="24"/>
          <w:lang w:val="es-ES"/>
        </w:rPr>
        <w:t xml:space="preserve"> </w:t>
      </w:r>
      <w:r w:rsidR="00C44882" w:rsidRPr="000223D6">
        <w:rPr>
          <w:rFonts w:ascii="Times New Roman" w:hAnsi="Times New Roman"/>
          <w:noProof/>
          <w:sz w:val="24"/>
          <w:szCs w:val="24"/>
          <w:lang w:val="es-ES"/>
        </w:rPr>
        <w:t>e</w:t>
      </w:r>
      <w:r w:rsidRPr="000223D6">
        <w:rPr>
          <w:rFonts w:ascii="Times New Roman" w:hAnsi="Times New Roman"/>
          <w:noProof/>
          <w:sz w:val="24"/>
          <w:szCs w:val="24"/>
          <w:lang w:val="es-ES"/>
        </w:rPr>
        <w:t>d.</w:t>
      </w:r>
      <w:r w:rsidR="00C44882" w:rsidRPr="000223D6">
        <w:rPr>
          <w:rFonts w:ascii="Times New Roman" w:hAnsi="Times New Roman"/>
          <w:noProof/>
          <w:sz w:val="24"/>
          <w:szCs w:val="24"/>
          <w:lang w:val="es-ES"/>
        </w:rPr>
        <w:t>,</w:t>
      </w:r>
      <w:r w:rsidRPr="000223D6">
        <w:rPr>
          <w:rFonts w:ascii="Times New Roman" w:hAnsi="Times New Roman"/>
          <w:noProof/>
          <w:sz w:val="24"/>
          <w:szCs w:val="24"/>
          <w:lang w:val="es-ES"/>
        </w:rPr>
        <w:t xml:space="preserve"> Oxford</w:t>
      </w:r>
      <w:r w:rsidR="00C44882" w:rsidRPr="000223D6">
        <w:rPr>
          <w:rFonts w:ascii="Times New Roman" w:hAnsi="Times New Roman"/>
          <w:noProof/>
          <w:sz w:val="24"/>
          <w:szCs w:val="24"/>
          <w:lang w:val="es-ES"/>
        </w:rPr>
        <w:t>:</w:t>
      </w:r>
      <w:r w:rsidRPr="000223D6">
        <w:rPr>
          <w:rFonts w:ascii="Times New Roman" w:hAnsi="Times New Roman"/>
          <w:noProof/>
          <w:sz w:val="24"/>
          <w:szCs w:val="24"/>
          <w:lang w:val="es-ES"/>
        </w:rPr>
        <w:t xml:space="preserve"> Oxford University Press.</w:t>
      </w:r>
    </w:p>
    <w:p w14:paraId="47BDF9F1" w14:textId="46BB0C81" w:rsidR="0026074E" w:rsidRPr="000223D6" w:rsidRDefault="0026074E" w:rsidP="000223D6">
      <w:pPr>
        <w:pStyle w:val="Bibliografa"/>
        <w:ind w:left="720" w:hanging="720"/>
        <w:jc w:val="both"/>
        <w:rPr>
          <w:rFonts w:ascii="Times New Roman" w:hAnsi="Times New Roman"/>
          <w:noProof/>
          <w:sz w:val="24"/>
          <w:szCs w:val="24"/>
          <w:lang w:val="es-ES"/>
        </w:rPr>
      </w:pPr>
      <w:r w:rsidRPr="000223D6">
        <w:rPr>
          <w:rFonts w:ascii="Times New Roman" w:hAnsi="Times New Roman"/>
          <w:noProof/>
          <w:sz w:val="24"/>
          <w:szCs w:val="24"/>
          <w:lang w:val="es-ES"/>
        </w:rPr>
        <w:t>Bobbio Norberto</w:t>
      </w:r>
      <w:r w:rsidR="00C44882" w:rsidRPr="000223D6">
        <w:rPr>
          <w:rFonts w:ascii="Times New Roman" w:hAnsi="Times New Roman"/>
          <w:noProof/>
          <w:sz w:val="24"/>
          <w:szCs w:val="24"/>
          <w:lang w:val="es-ES"/>
        </w:rPr>
        <w:t>,</w:t>
      </w:r>
      <w:r w:rsidRPr="000223D6">
        <w:rPr>
          <w:rFonts w:ascii="Times New Roman" w:hAnsi="Times New Roman"/>
          <w:noProof/>
          <w:sz w:val="24"/>
          <w:szCs w:val="24"/>
          <w:lang w:val="es-ES"/>
        </w:rPr>
        <w:t xml:space="preserve"> Matteucci Nicola y Gianfranco Pasquino (2005).</w:t>
      </w:r>
      <w:r w:rsidR="00C44882" w:rsidRPr="000223D6">
        <w:rPr>
          <w:rFonts w:ascii="Times New Roman" w:hAnsi="Times New Roman"/>
          <w:noProof/>
          <w:sz w:val="24"/>
          <w:szCs w:val="24"/>
          <w:lang w:val="es-ES"/>
        </w:rPr>
        <w:t xml:space="preserve"> </w:t>
      </w:r>
      <w:r w:rsidRPr="000223D6">
        <w:rPr>
          <w:rFonts w:ascii="Times New Roman" w:hAnsi="Times New Roman"/>
          <w:noProof/>
          <w:sz w:val="24"/>
          <w:szCs w:val="24"/>
          <w:lang w:val="es-ES"/>
        </w:rPr>
        <w:t>Diccionario de Política</w:t>
      </w:r>
      <w:r w:rsidR="00C44882" w:rsidRPr="000223D6">
        <w:rPr>
          <w:rFonts w:ascii="Times New Roman" w:hAnsi="Times New Roman"/>
          <w:noProof/>
          <w:sz w:val="24"/>
          <w:szCs w:val="24"/>
          <w:lang w:val="es-ES"/>
        </w:rPr>
        <w:t xml:space="preserve">, </w:t>
      </w:r>
      <w:r w:rsidRPr="000223D6">
        <w:rPr>
          <w:rFonts w:ascii="Times New Roman" w:hAnsi="Times New Roman"/>
          <w:noProof/>
          <w:sz w:val="24"/>
          <w:szCs w:val="24"/>
          <w:lang w:val="es-ES"/>
        </w:rPr>
        <w:t>14 ª ed.</w:t>
      </w:r>
      <w:r w:rsidR="00C44882" w:rsidRPr="000223D6">
        <w:rPr>
          <w:rFonts w:ascii="Times New Roman" w:hAnsi="Times New Roman"/>
          <w:noProof/>
          <w:sz w:val="24"/>
          <w:szCs w:val="24"/>
          <w:lang w:val="es-ES"/>
        </w:rPr>
        <w:t>,</w:t>
      </w:r>
      <w:r w:rsidRPr="000223D6">
        <w:rPr>
          <w:rFonts w:ascii="Times New Roman" w:hAnsi="Times New Roman"/>
          <w:noProof/>
          <w:sz w:val="24"/>
          <w:szCs w:val="24"/>
          <w:lang w:val="es-ES"/>
        </w:rPr>
        <w:t xml:space="preserve"> México: Siglo XXI</w:t>
      </w:r>
      <w:r w:rsidR="00C44882" w:rsidRPr="000223D6">
        <w:rPr>
          <w:rFonts w:ascii="Times New Roman" w:hAnsi="Times New Roman"/>
          <w:noProof/>
          <w:sz w:val="24"/>
          <w:szCs w:val="24"/>
          <w:lang w:val="es-ES"/>
        </w:rPr>
        <w:t>.</w:t>
      </w:r>
    </w:p>
    <w:p w14:paraId="1F7E281E" w14:textId="77777777" w:rsidR="0026074E" w:rsidRPr="000223D6" w:rsidRDefault="0026074E" w:rsidP="000223D6">
      <w:pPr>
        <w:pStyle w:val="Bibliografa"/>
        <w:ind w:left="720" w:hanging="720"/>
        <w:jc w:val="both"/>
        <w:rPr>
          <w:rFonts w:ascii="Times New Roman" w:hAnsi="Times New Roman"/>
          <w:noProof/>
          <w:sz w:val="24"/>
          <w:szCs w:val="24"/>
          <w:lang w:val="es-ES"/>
        </w:rPr>
      </w:pPr>
      <w:r w:rsidRPr="000223D6">
        <w:rPr>
          <w:rFonts w:ascii="Times New Roman" w:hAnsi="Times New Roman"/>
          <w:noProof/>
          <w:sz w:val="24"/>
          <w:szCs w:val="24"/>
          <w:lang w:val="es-ES"/>
        </w:rPr>
        <w:t>Brown, Robert L. (2008). Diseño de un régimen de pensiones de seguridad social. Revista Internacional de Seguridad Social, 61(1), 71-92.</w:t>
      </w:r>
    </w:p>
    <w:p w14:paraId="38358EAE" w14:textId="41B6ABFC" w:rsidR="0026074E" w:rsidRPr="000223D6" w:rsidRDefault="0026074E" w:rsidP="000223D6">
      <w:pPr>
        <w:pStyle w:val="Bibliografa"/>
        <w:ind w:left="720" w:hanging="720"/>
        <w:jc w:val="both"/>
        <w:rPr>
          <w:rFonts w:ascii="Times New Roman" w:hAnsi="Times New Roman"/>
          <w:noProof/>
          <w:sz w:val="24"/>
          <w:szCs w:val="24"/>
          <w:lang w:val="es-ES"/>
        </w:rPr>
      </w:pPr>
      <w:r w:rsidRPr="000223D6">
        <w:rPr>
          <w:rFonts w:ascii="Times New Roman" w:hAnsi="Times New Roman"/>
          <w:noProof/>
          <w:sz w:val="24"/>
          <w:szCs w:val="24"/>
          <w:lang w:val="es-ES"/>
        </w:rPr>
        <w:t xml:space="preserve">Esping-Andersen, Gösta (1993). Los Tres Mundos del </w:t>
      </w:r>
      <w:r w:rsidR="0084107D" w:rsidRPr="000223D6">
        <w:rPr>
          <w:rFonts w:ascii="Times New Roman" w:hAnsi="Times New Roman"/>
          <w:noProof/>
          <w:sz w:val="24"/>
          <w:szCs w:val="24"/>
          <w:lang w:val="es-ES"/>
        </w:rPr>
        <w:t>e</w:t>
      </w:r>
      <w:r w:rsidR="005C2E5A" w:rsidRPr="000223D6">
        <w:rPr>
          <w:rFonts w:ascii="Times New Roman" w:hAnsi="Times New Roman"/>
          <w:noProof/>
          <w:sz w:val="24"/>
          <w:szCs w:val="24"/>
          <w:lang w:val="es-ES"/>
        </w:rPr>
        <w:t>stado de bienestar</w:t>
      </w:r>
      <w:r w:rsidRPr="000223D6">
        <w:rPr>
          <w:rFonts w:ascii="Times New Roman" w:hAnsi="Times New Roman"/>
          <w:noProof/>
          <w:sz w:val="24"/>
          <w:szCs w:val="24"/>
          <w:lang w:val="es-ES"/>
        </w:rPr>
        <w:t>. Valencia: Edicions Alfons el Magananim</w:t>
      </w:r>
      <w:r w:rsidR="008A61F4" w:rsidRPr="000223D6">
        <w:rPr>
          <w:rFonts w:ascii="Times New Roman" w:hAnsi="Times New Roman"/>
          <w:noProof/>
          <w:sz w:val="24"/>
          <w:szCs w:val="24"/>
          <w:lang w:val="es-ES"/>
        </w:rPr>
        <w:t>.</w:t>
      </w:r>
    </w:p>
    <w:p w14:paraId="79AF7303" w14:textId="77777777" w:rsidR="0026074E" w:rsidRPr="000223D6" w:rsidRDefault="0026074E" w:rsidP="000223D6">
      <w:pPr>
        <w:pStyle w:val="Bibliografa"/>
        <w:ind w:left="720" w:hanging="720"/>
        <w:jc w:val="both"/>
        <w:rPr>
          <w:rFonts w:ascii="Times New Roman" w:hAnsi="Times New Roman"/>
          <w:noProof/>
          <w:sz w:val="24"/>
          <w:szCs w:val="24"/>
          <w:lang w:val="es-ES"/>
        </w:rPr>
      </w:pPr>
    </w:p>
    <w:p w14:paraId="5ADC3712" w14:textId="1EA131F1" w:rsidR="0026074E" w:rsidRPr="000223D6" w:rsidRDefault="0026074E" w:rsidP="000223D6">
      <w:pPr>
        <w:pStyle w:val="Bibliografa"/>
        <w:ind w:left="720" w:hanging="720"/>
        <w:jc w:val="both"/>
        <w:rPr>
          <w:rFonts w:ascii="Times New Roman" w:hAnsi="Times New Roman"/>
          <w:noProof/>
          <w:sz w:val="24"/>
          <w:szCs w:val="24"/>
          <w:lang w:val="es-ES"/>
        </w:rPr>
      </w:pPr>
      <w:r w:rsidRPr="000223D6">
        <w:rPr>
          <w:rFonts w:ascii="Times New Roman" w:hAnsi="Times New Roman"/>
          <w:noProof/>
          <w:sz w:val="24"/>
          <w:szCs w:val="24"/>
          <w:lang w:val="es-ES"/>
        </w:rPr>
        <w:t xml:space="preserve">Estruch, Alejandro (1996). Ciudadanía, libertad y pluralismo: hacia una redefinición del </w:t>
      </w:r>
      <w:r w:rsidR="005C2E5A" w:rsidRPr="000223D6">
        <w:rPr>
          <w:rFonts w:ascii="Times New Roman" w:hAnsi="Times New Roman"/>
          <w:noProof/>
          <w:sz w:val="24"/>
          <w:szCs w:val="24"/>
          <w:lang w:val="es-ES"/>
        </w:rPr>
        <w:t>estado de bienestar</w:t>
      </w:r>
      <w:r w:rsidRPr="000223D6">
        <w:rPr>
          <w:rFonts w:ascii="Times New Roman" w:hAnsi="Times New Roman"/>
          <w:noProof/>
          <w:sz w:val="24"/>
          <w:szCs w:val="24"/>
          <w:lang w:val="es-ES"/>
        </w:rPr>
        <w:t>. Asturias: Fundación Asturias.</w:t>
      </w:r>
    </w:p>
    <w:p w14:paraId="2C047E59" w14:textId="52E2CC28" w:rsidR="0026074E" w:rsidRPr="000223D6" w:rsidRDefault="000223D6" w:rsidP="000223D6">
      <w:pPr>
        <w:pStyle w:val="Bibliografa"/>
        <w:ind w:left="720" w:hanging="720"/>
        <w:jc w:val="both"/>
        <w:rPr>
          <w:rFonts w:ascii="Times New Roman" w:hAnsi="Times New Roman"/>
          <w:noProof/>
          <w:sz w:val="24"/>
          <w:szCs w:val="24"/>
          <w:lang w:val="es-ES"/>
        </w:rPr>
      </w:pPr>
      <w:r w:rsidRPr="000223D6">
        <w:rPr>
          <w:rFonts w:ascii="Times New Roman" w:hAnsi="Times New Roman"/>
          <w:noProof/>
          <w:sz w:val="24"/>
          <w:szCs w:val="24"/>
          <w:lang w:val="es-ES"/>
        </w:rPr>
        <w:t>Girondella, L. (2008). Estado de bienestar: Una Definición [artículo en línea]. México: Contrapeso. Recuperado en &lt; http://contrapeso.info/2008/estado_de_bienestar_una_definicion/&gt; [26 de Marzo de 2011].</w:t>
      </w:r>
    </w:p>
    <w:p w14:paraId="436FE610" w14:textId="22572E6A" w:rsidR="0026074E" w:rsidRPr="000223D6" w:rsidRDefault="0026074E" w:rsidP="000223D6">
      <w:pPr>
        <w:pStyle w:val="Bibliografa"/>
        <w:ind w:left="720" w:hanging="720"/>
        <w:jc w:val="both"/>
        <w:rPr>
          <w:rFonts w:ascii="Times New Roman" w:hAnsi="Times New Roman"/>
          <w:noProof/>
          <w:sz w:val="24"/>
          <w:szCs w:val="24"/>
          <w:lang w:val="es-ES"/>
        </w:rPr>
      </w:pPr>
      <w:r w:rsidRPr="000223D6">
        <w:rPr>
          <w:rFonts w:ascii="Times New Roman" w:hAnsi="Times New Roman"/>
          <w:noProof/>
          <w:sz w:val="24"/>
          <w:szCs w:val="24"/>
          <w:lang w:val="es-ES"/>
        </w:rPr>
        <w:t>Hayek, Friedrich (1978). New Studies in Philosophy, Politics, Economics and the History of Ideas. Londres: Ed. Taylor &amp; Francis</w:t>
      </w:r>
      <w:r w:rsidR="008A61F4" w:rsidRPr="000223D6">
        <w:rPr>
          <w:rFonts w:ascii="Times New Roman" w:hAnsi="Times New Roman"/>
          <w:noProof/>
          <w:sz w:val="24"/>
          <w:szCs w:val="24"/>
          <w:lang w:val="es-ES"/>
        </w:rPr>
        <w:t>.</w:t>
      </w:r>
    </w:p>
    <w:p w14:paraId="5B2C62ED" w14:textId="7F9831CC" w:rsidR="0026074E" w:rsidRPr="000223D6" w:rsidRDefault="0026074E" w:rsidP="000223D6">
      <w:pPr>
        <w:pStyle w:val="Bibliografa"/>
        <w:ind w:left="720" w:hanging="720"/>
        <w:jc w:val="both"/>
        <w:rPr>
          <w:rFonts w:ascii="Times New Roman" w:hAnsi="Times New Roman"/>
          <w:noProof/>
          <w:sz w:val="24"/>
          <w:szCs w:val="24"/>
          <w:lang w:val="es-ES"/>
        </w:rPr>
      </w:pPr>
      <w:r w:rsidRPr="000223D6">
        <w:rPr>
          <w:rFonts w:ascii="Times New Roman" w:hAnsi="Times New Roman"/>
          <w:noProof/>
          <w:sz w:val="24"/>
          <w:szCs w:val="24"/>
          <w:lang w:val="es-ES"/>
        </w:rPr>
        <w:t>Hume, David (2005). Tratado de la Naturaleza Humana</w:t>
      </w:r>
      <w:r w:rsidR="008A61F4" w:rsidRPr="000223D6">
        <w:rPr>
          <w:rFonts w:ascii="Times New Roman" w:hAnsi="Times New Roman"/>
          <w:noProof/>
          <w:sz w:val="24"/>
          <w:szCs w:val="24"/>
          <w:lang w:val="es-ES"/>
        </w:rPr>
        <w:t xml:space="preserve">, </w:t>
      </w:r>
      <w:r w:rsidRPr="000223D6">
        <w:rPr>
          <w:rFonts w:ascii="Times New Roman" w:hAnsi="Times New Roman"/>
          <w:noProof/>
          <w:sz w:val="24"/>
          <w:szCs w:val="24"/>
          <w:lang w:val="es-ES"/>
        </w:rPr>
        <w:t>5</w:t>
      </w:r>
      <w:r w:rsidR="008A61F4" w:rsidRPr="000223D6">
        <w:rPr>
          <w:rFonts w:ascii="Times New Roman" w:hAnsi="Times New Roman"/>
          <w:noProof/>
          <w:sz w:val="24"/>
          <w:szCs w:val="24"/>
          <w:lang w:val="es-ES"/>
        </w:rPr>
        <w:t xml:space="preserve">ª </w:t>
      </w:r>
      <w:r w:rsidRPr="000223D6">
        <w:rPr>
          <w:rFonts w:ascii="Times New Roman" w:hAnsi="Times New Roman"/>
          <w:noProof/>
          <w:sz w:val="24"/>
          <w:szCs w:val="24"/>
          <w:lang w:val="es-ES"/>
        </w:rPr>
        <w:t>ed.</w:t>
      </w:r>
      <w:r w:rsidR="008A61F4" w:rsidRPr="000223D6">
        <w:rPr>
          <w:rFonts w:ascii="Times New Roman" w:hAnsi="Times New Roman"/>
          <w:noProof/>
          <w:sz w:val="24"/>
          <w:szCs w:val="24"/>
          <w:lang w:val="es-ES"/>
        </w:rPr>
        <w:t>,</w:t>
      </w:r>
      <w:r w:rsidRPr="000223D6">
        <w:rPr>
          <w:rFonts w:ascii="Times New Roman" w:hAnsi="Times New Roman"/>
          <w:noProof/>
          <w:sz w:val="24"/>
          <w:szCs w:val="24"/>
          <w:lang w:val="es-ES"/>
        </w:rPr>
        <w:t xml:space="preserve"> México: Ed. Porrúa.</w:t>
      </w:r>
    </w:p>
    <w:p w14:paraId="25331C4A" w14:textId="77777777" w:rsidR="0026074E" w:rsidRPr="000223D6" w:rsidRDefault="0026074E" w:rsidP="000223D6">
      <w:pPr>
        <w:pStyle w:val="Bibliografa"/>
        <w:ind w:left="720" w:hanging="720"/>
        <w:jc w:val="both"/>
        <w:rPr>
          <w:rFonts w:ascii="Times New Roman" w:hAnsi="Times New Roman"/>
          <w:noProof/>
          <w:sz w:val="24"/>
          <w:szCs w:val="24"/>
          <w:lang w:val="es-ES"/>
        </w:rPr>
      </w:pPr>
      <w:r w:rsidRPr="000223D6">
        <w:rPr>
          <w:rFonts w:ascii="Times New Roman" w:hAnsi="Times New Roman"/>
          <w:noProof/>
          <w:sz w:val="24"/>
          <w:szCs w:val="24"/>
          <w:lang w:val="es-ES"/>
        </w:rPr>
        <w:t>Laurell, A. (1992). Estado y Políticas sociales en el Neoliberalismo. México: Friedrich-Ebert-Stiftung.</w:t>
      </w:r>
    </w:p>
    <w:p w14:paraId="50347155" w14:textId="46A6C805" w:rsidR="0026074E" w:rsidRPr="000223D6" w:rsidRDefault="0026074E" w:rsidP="000223D6">
      <w:pPr>
        <w:pStyle w:val="Bibliografa"/>
        <w:ind w:left="720" w:hanging="720"/>
        <w:jc w:val="both"/>
        <w:rPr>
          <w:rFonts w:ascii="Times New Roman" w:hAnsi="Times New Roman"/>
          <w:noProof/>
          <w:sz w:val="24"/>
          <w:szCs w:val="24"/>
          <w:lang w:val="es-ES"/>
        </w:rPr>
      </w:pPr>
      <w:r w:rsidRPr="000223D6">
        <w:rPr>
          <w:rFonts w:ascii="Times New Roman" w:hAnsi="Times New Roman"/>
          <w:noProof/>
          <w:sz w:val="24"/>
          <w:szCs w:val="24"/>
          <w:lang w:val="es-ES"/>
        </w:rPr>
        <w:t xml:space="preserve">Mesa-Lago, C. (2004). Evaluación de un cuarto de siglo de reformas estructurales de pensiones en América Latina. Revista de la Cepal, </w:t>
      </w:r>
      <w:r w:rsidR="008A61F4" w:rsidRPr="000223D6">
        <w:rPr>
          <w:rFonts w:ascii="Times New Roman" w:hAnsi="Times New Roman"/>
          <w:noProof/>
          <w:sz w:val="24"/>
          <w:szCs w:val="24"/>
          <w:lang w:val="es-ES"/>
        </w:rPr>
        <w:t>nú</w:t>
      </w:r>
      <w:r w:rsidRPr="000223D6">
        <w:rPr>
          <w:rFonts w:ascii="Times New Roman" w:hAnsi="Times New Roman"/>
          <w:noProof/>
          <w:sz w:val="24"/>
          <w:szCs w:val="24"/>
          <w:lang w:val="es-ES"/>
        </w:rPr>
        <w:t>m. 84, 59-82.</w:t>
      </w:r>
    </w:p>
    <w:p w14:paraId="793EEDF2" w14:textId="4882757A" w:rsidR="0026074E" w:rsidRPr="000223D6" w:rsidRDefault="0026074E" w:rsidP="000223D6">
      <w:pPr>
        <w:pStyle w:val="Bibliografa"/>
        <w:ind w:left="720" w:hanging="720"/>
        <w:jc w:val="both"/>
        <w:rPr>
          <w:rFonts w:ascii="Times New Roman" w:hAnsi="Times New Roman"/>
          <w:noProof/>
          <w:sz w:val="24"/>
          <w:szCs w:val="24"/>
          <w:lang w:val="es-ES"/>
        </w:rPr>
      </w:pPr>
      <w:r w:rsidRPr="000223D6">
        <w:rPr>
          <w:rFonts w:ascii="Times New Roman" w:hAnsi="Times New Roman"/>
          <w:noProof/>
          <w:sz w:val="24"/>
          <w:szCs w:val="24"/>
          <w:lang w:val="es-ES"/>
        </w:rPr>
        <w:t>Mesa-Lago, C. (2007). Social Security in Latin America: “Pension and Health Care Reforms in the Last Quarter Century. Latin American Research Review, 42 (2), 181-201</w:t>
      </w:r>
    </w:p>
    <w:p w14:paraId="430EE0A6" w14:textId="4FE19B37" w:rsidR="0026074E" w:rsidRDefault="0026074E" w:rsidP="000223D6">
      <w:pPr>
        <w:pStyle w:val="Bibliografa"/>
        <w:ind w:left="720" w:hanging="720"/>
        <w:jc w:val="both"/>
        <w:rPr>
          <w:rFonts w:ascii="Times New Roman" w:hAnsi="Times New Roman"/>
          <w:noProof/>
          <w:sz w:val="24"/>
          <w:szCs w:val="24"/>
          <w:lang w:val="es-ES"/>
        </w:rPr>
      </w:pPr>
      <w:r w:rsidRPr="000223D6">
        <w:rPr>
          <w:rFonts w:ascii="Times New Roman" w:hAnsi="Times New Roman"/>
          <w:noProof/>
          <w:sz w:val="24"/>
          <w:szCs w:val="24"/>
          <w:lang w:val="es-ES"/>
        </w:rPr>
        <w:t>OIT (2009). Seguridad social como respuesta a la crisis: Sociedades en envejecimiento. Revista de la Organización Internacional del Trabajo, nº 67, 4-16</w:t>
      </w:r>
      <w:r w:rsidR="00EE727F" w:rsidRPr="000223D6">
        <w:rPr>
          <w:rFonts w:ascii="Times New Roman" w:hAnsi="Times New Roman"/>
          <w:noProof/>
          <w:sz w:val="24"/>
          <w:szCs w:val="24"/>
          <w:lang w:val="es-ES"/>
        </w:rPr>
        <w:t>.</w:t>
      </w:r>
    </w:p>
    <w:p w14:paraId="41439FB0" w14:textId="5A51FECC" w:rsidR="000223D6" w:rsidRPr="000223D6" w:rsidRDefault="000223D6" w:rsidP="000223D6">
      <w:pPr>
        <w:pStyle w:val="Bibliografa"/>
        <w:ind w:left="720" w:hanging="720"/>
        <w:jc w:val="both"/>
        <w:rPr>
          <w:rFonts w:ascii="Times New Roman" w:hAnsi="Times New Roman"/>
          <w:noProof/>
          <w:sz w:val="24"/>
          <w:szCs w:val="24"/>
          <w:lang w:val="es-ES"/>
        </w:rPr>
      </w:pPr>
      <w:r w:rsidRPr="000223D6">
        <w:rPr>
          <w:rFonts w:ascii="Times New Roman" w:hAnsi="Times New Roman"/>
          <w:noProof/>
          <w:sz w:val="24"/>
          <w:szCs w:val="24"/>
          <w:lang w:val="es-ES"/>
        </w:rPr>
        <w:t>Ortiz, I. (2007). Política Social [Documento en línea]. Nueva York: Naciones Unidas DAES. Recuperado en &lt;http://esa.un.org/techcoop/documents/socialpolicy_spanish.pdf&gt;  [24 de Junio de 2011].</w:t>
      </w:r>
    </w:p>
    <w:p w14:paraId="2B6885E2" w14:textId="02E214A9" w:rsidR="0026074E" w:rsidRPr="000223D6" w:rsidRDefault="0026074E" w:rsidP="000223D6">
      <w:pPr>
        <w:pStyle w:val="Bibliografa"/>
        <w:ind w:left="720" w:hanging="720"/>
        <w:jc w:val="both"/>
        <w:rPr>
          <w:rFonts w:ascii="Times New Roman" w:hAnsi="Times New Roman"/>
          <w:noProof/>
          <w:sz w:val="24"/>
          <w:szCs w:val="24"/>
          <w:lang w:val="es-ES"/>
        </w:rPr>
      </w:pPr>
      <w:r w:rsidRPr="000223D6">
        <w:rPr>
          <w:rFonts w:ascii="Times New Roman" w:hAnsi="Times New Roman"/>
          <w:noProof/>
          <w:sz w:val="24"/>
          <w:szCs w:val="24"/>
          <w:lang w:val="es-ES"/>
        </w:rPr>
        <w:t>Rodríguez, Patricia (2002). Economía y género en Mujeres y Economía. México D</w:t>
      </w:r>
      <w:r w:rsidR="00EE727F" w:rsidRPr="000223D6">
        <w:rPr>
          <w:rFonts w:ascii="Times New Roman" w:hAnsi="Times New Roman"/>
          <w:noProof/>
          <w:sz w:val="24"/>
          <w:szCs w:val="24"/>
          <w:lang w:val="es-ES"/>
        </w:rPr>
        <w:t>.</w:t>
      </w:r>
      <w:r w:rsidRPr="000223D6">
        <w:rPr>
          <w:rFonts w:ascii="Times New Roman" w:hAnsi="Times New Roman"/>
          <w:noProof/>
          <w:sz w:val="24"/>
          <w:szCs w:val="24"/>
          <w:lang w:val="es-ES"/>
        </w:rPr>
        <w:t>F: Ed. Miguel Ángel Porrúa.</w:t>
      </w:r>
    </w:p>
    <w:p w14:paraId="60AC843A" w14:textId="77777777" w:rsidR="0026074E" w:rsidRPr="000223D6" w:rsidRDefault="0026074E" w:rsidP="000223D6">
      <w:pPr>
        <w:pStyle w:val="Bibliografa"/>
        <w:ind w:left="720" w:hanging="720"/>
        <w:jc w:val="both"/>
        <w:rPr>
          <w:rFonts w:ascii="Times New Roman" w:hAnsi="Times New Roman"/>
          <w:noProof/>
          <w:sz w:val="24"/>
          <w:szCs w:val="24"/>
          <w:lang w:val="es-ES"/>
        </w:rPr>
      </w:pPr>
      <w:r w:rsidRPr="000223D6">
        <w:rPr>
          <w:rFonts w:ascii="Times New Roman" w:hAnsi="Times New Roman"/>
          <w:noProof/>
          <w:sz w:val="24"/>
          <w:szCs w:val="24"/>
          <w:lang w:val="es-ES"/>
        </w:rPr>
        <w:t>Ruiz, Ángel G. (2009). Las AFORE. El Sistema de Ahorro y Pensiones Mexicano. México: Ed. Porrúa.</w:t>
      </w:r>
    </w:p>
    <w:p w14:paraId="6788A9BE" w14:textId="77777777" w:rsidR="0026074E" w:rsidRPr="000223D6" w:rsidRDefault="0026074E" w:rsidP="000223D6">
      <w:pPr>
        <w:pStyle w:val="Bibliografa"/>
        <w:ind w:left="720" w:hanging="720"/>
        <w:jc w:val="both"/>
        <w:rPr>
          <w:rFonts w:ascii="Times New Roman" w:hAnsi="Times New Roman"/>
          <w:noProof/>
          <w:sz w:val="24"/>
          <w:szCs w:val="24"/>
          <w:lang w:val="es-ES"/>
        </w:rPr>
      </w:pPr>
      <w:r w:rsidRPr="000223D6">
        <w:rPr>
          <w:rFonts w:ascii="Times New Roman" w:hAnsi="Times New Roman"/>
          <w:noProof/>
          <w:sz w:val="24"/>
          <w:szCs w:val="24"/>
          <w:lang w:val="es-ES"/>
        </w:rPr>
        <w:t>Ruiz, Ángel G. (2008). Nuevo Derecho de la Seguridad Social. México: Ed. Porrúa.</w:t>
      </w:r>
    </w:p>
    <w:p w14:paraId="64C144AD" w14:textId="3CD28FA8" w:rsidR="0026074E" w:rsidRPr="000223D6" w:rsidRDefault="0026074E" w:rsidP="000223D6">
      <w:pPr>
        <w:pStyle w:val="Bibliografa"/>
        <w:ind w:left="720" w:hanging="720"/>
        <w:jc w:val="both"/>
        <w:rPr>
          <w:rFonts w:ascii="Times New Roman" w:hAnsi="Times New Roman"/>
          <w:noProof/>
          <w:sz w:val="24"/>
          <w:szCs w:val="24"/>
          <w:lang w:val="es-ES"/>
        </w:rPr>
      </w:pPr>
      <w:r w:rsidRPr="000223D6">
        <w:rPr>
          <w:rFonts w:ascii="Times New Roman" w:hAnsi="Times New Roman"/>
          <w:noProof/>
          <w:sz w:val="24"/>
          <w:szCs w:val="24"/>
          <w:lang w:val="es-ES"/>
        </w:rPr>
        <w:t>Ruiz, Ángel G. (2004). Los Delitos en Materia de  Seguridad Social. México: Ed. Porrúa.</w:t>
      </w:r>
    </w:p>
    <w:p w14:paraId="41AD4266" w14:textId="17639D27" w:rsidR="0026074E" w:rsidRPr="000223D6" w:rsidRDefault="0026074E" w:rsidP="000223D6">
      <w:pPr>
        <w:pStyle w:val="Bibliografa"/>
        <w:ind w:left="720" w:hanging="720"/>
        <w:jc w:val="both"/>
        <w:rPr>
          <w:rFonts w:ascii="Times New Roman" w:hAnsi="Times New Roman"/>
          <w:noProof/>
          <w:sz w:val="24"/>
          <w:szCs w:val="24"/>
          <w:lang w:val="es-ES"/>
        </w:rPr>
      </w:pPr>
      <w:r w:rsidRPr="000223D6">
        <w:rPr>
          <w:rFonts w:ascii="Times New Roman" w:hAnsi="Times New Roman"/>
          <w:noProof/>
          <w:sz w:val="24"/>
          <w:szCs w:val="24"/>
          <w:lang w:val="es-ES"/>
        </w:rPr>
        <w:t>Rawls, J. (2006). Teoría de la Justicia</w:t>
      </w:r>
      <w:r w:rsidR="00900102" w:rsidRPr="000223D6">
        <w:rPr>
          <w:rFonts w:ascii="Times New Roman" w:hAnsi="Times New Roman"/>
          <w:noProof/>
          <w:sz w:val="24"/>
          <w:szCs w:val="24"/>
          <w:lang w:val="es-ES"/>
        </w:rPr>
        <w:t>.</w:t>
      </w:r>
      <w:r w:rsidRPr="000223D6">
        <w:rPr>
          <w:rFonts w:ascii="Times New Roman" w:hAnsi="Times New Roman"/>
          <w:noProof/>
          <w:sz w:val="24"/>
          <w:szCs w:val="24"/>
          <w:lang w:val="es-ES"/>
        </w:rPr>
        <w:t xml:space="preserve"> 2ª ed.</w:t>
      </w:r>
      <w:r w:rsidR="00900102" w:rsidRPr="000223D6">
        <w:rPr>
          <w:rFonts w:ascii="Times New Roman" w:hAnsi="Times New Roman"/>
          <w:noProof/>
          <w:sz w:val="24"/>
          <w:szCs w:val="24"/>
          <w:lang w:val="es-ES"/>
        </w:rPr>
        <w:t>,</w:t>
      </w:r>
      <w:r w:rsidRPr="000223D6">
        <w:rPr>
          <w:rFonts w:ascii="Times New Roman" w:hAnsi="Times New Roman"/>
          <w:noProof/>
          <w:sz w:val="24"/>
          <w:szCs w:val="24"/>
          <w:lang w:val="es-ES"/>
        </w:rPr>
        <w:t xml:space="preserve"> México: Fondo de Cultura Económica.</w:t>
      </w:r>
    </w:p>
    <w:p w14:paraId="5BA91E2E" w14:textId="3D8C2523" w:rsidR="0026074E" w:rsidRPr="000223D6" w:rsidRDefault="0026074E" w:rsidP="000223D6">
      <w:pPr>
        <w:pStyle w:val="Bibliografa"/>
        <w:ind w:left="720" w:hanging="720"/>
        <w:jc w:val="both"/>
        <w:rPr>
          <w:rFonts w:ascii="Times New Roman" w:hAnsi="Times New Roman"/>
          <w:noProof/>
          <w:sz w:val="24"/>
          <w:szCs w:val="24"/>
          <w:lang w:val="es-ES"/>
        </w:rPr>
      </w:pPr>
      <w:r w:rsidRPr="000223D6">
        <w:rPr>
          <w:rFonts w:ascii="Times New Roman" w:hAnsi="Times New Roman"/>
          <w:noProof/>
          <w:sz w:val="24"/>
          <w:szCs w:val="24"/>
          <w:lang w:val="es-ES"/>
        </w:rPr>
        <w:t xml:space="preserve">Uthoff, Andras y Szalachmann, R. (1991). Sistema de Pensiones de América Latina. Diagnóstico y alternativas de reforma. Santiago de Chile: </w:t>
      </w:r>
      <w:r w:rsidR="00900102" w:rsidRPr="000223D6">
        <w:rPr>
          <w:rFonts w:ascii="Times New Roman" w:hAnsi="Times New Roman"/>
          <w:noProof/>
          <w:sz w:val="24"/>
          <w:szCs w:val="24"/>
          <w:lang w:val="es-ES"/>
        </w:rPr>
        <w:t>a</w:t>
      </w:r>
      <w:r w:rsidRPr="000223D6">
        <w:rPr>
          <w:rFonts w:ascii="Times New Roman" w:hAnsi="Times New Roman"/>
          <w:noProof/>
          <w:sz w:val="24"/>
          <w:szCs w:val="24"/>
          <w:lang w:val="es-ES"/>
        </w:rPr>
        <w:t>utor.</w:t>
      </w:r>
    </w:p>
    <w:p w14:paraId="68A03A57" w14:textId="314F4914" w:rsidR="00C42E96" w:rsidRPr="00005B17" w:rsidRDefault="00C42E96" w:rsidP="000223D6">
      <w:pPr>
        <w:pStyle w:val="Bibliografa"/>
        <w:ind w:left="720" w:hanging="720"/>
        <w:jc w:val="both"/>
        <w:rPr>
          <w:rFonts w:ascii="Times New Roman" w:hAnsi="Times New Roman"/>
        </w:rPr>
      </w:pPr>
      <w:r w:rsidRPr="000223D6">
        <w:rPr>
          <w:rFonts w:ascii="Times New Roman" w:hAnsi="Times New Roman"/>
          <w:noProof/>
          <w:sz w:val="24"/>
          <w:szCs w:val="24"/>
          <w:lang w:val="es-ES"/>
        </w:rPr>
        <w:t>Yermo, J. (2008). Governance and investment of public pension reserve funds in selected OECD countries, [OECD Working papers on insurance and private pensions, no 15]. París: Organización para la Cooperación y el Desarrollo Económicos. Recuperado en &lt;http://www.oecd.org/ dataoecd/26/53/40194872.pdf&gt; [12 de enero de 2010].</w:t>
      </w:r>
    </w:p>
    <w:sectPr w:rsidR="00C42E96" w:rsidRPr="00005B17" w:rsidSect="009A1403">
      <w:headerReference w:type="default" r:id="rId20"/>
      <w:footerReference w:type="default" r:id="rId21"/>
      <w:pgSz w:w="12240" w:h="15840"/>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624CA" w14:textId="77777777" w:rsidR="00E93919" w:rsidRDefault="00E93919" w:rsidP="00B475C9">
      <w:r>
        <w:separator/>
      </w:r>
    </w:p>
  </w:endnote>
  <w:endnote w:type="continuationSeparator" w:id="0">
    <w:p w14:paraId="725E48E1" w14:textId="77777777" w:rsidR="00E93919" w:rsidRDefault="00E93919" w:rsidP="00B4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BA624" w14:textId="7A819421" w:rsidR="000223D6" w:rsidRDefault="000223D6" w:rsidP="000223D6">
    <w:pPr>
      <w:pStyle w:val="Piedepgina"/>
      <w:jc w:val="center"/>
    </w:pPr>
    <w:r w:rsidRPr="00776871">
      <w:rPr>
        <w:rFonts w:ascii="Calibri" w:hAnsi="Calibri" w:cs="Calibri"/>
        <w:b/>
        <w:sz w:val="22"/>
      </w:rPr>
      <w:t>Vol. 6, Núm. 12                  Enero – Junio  2016           RIDE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71340" w14:textId="77777777" w:rsidR="00E93919" w:rsidRDefault="00E93919" w:rsidP="00B475C9">
      <w:r>
        <w:separator/>
      </w:r>
    </w:p>
  </w:footnote>
  <w:footnote w:type="continuationSeparator" w:id="0">
    <w:p w14:paraId="66A0EC3F" w14:textId="77777777" w:rsidR="00E93919" w:rsidRDefault="00E93919" w:rsidP="00B47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772D0" w14:textId="10DC72D3" w:rsidR="000223D6" w:rsidRDefault="000223D6" w:rsidP="000223D6">
    <w:pPr>
      <w:pStyle w:val="Encabezado"/>
      <w:jc w:val="center"/>
    </w:pPr>
    <w:r w:rsidRPr="00776871">
      <w:rPr>
        <w:rFonts w:ascii="Calibri" w:hAnsi="Calibri" w:cs="Calibri"/>
        <w:b/>
        <w:i/>
        <w:sz w:val="22"/>
      </w:rPr>
      <w:t>Revista Iberoamericana para la Investigación y el Desarrollo Educativo</w:t>
    </w:r>
    <w:r w:rsidRPr="00776871">
      <w:rPr>
        <w:rFonts w:ascii="Calibri" w:hAnsi="Calibri"/>
        <w:b/>
        <w:sz w:val="22"/>
      </w:rPr>
      <w:t xml:space="preserve">  </w:t>
    </w:r>
    <w:r w:rsidRPr="00776871">
      <w:rPr>
        <w:rFonts w:ascii="Calibri" w:hAnsi="Calibri"/>
        <w:sz w:val="22"/>
      </w:rPr>
      <w:t xml:space="preserve">               </w:t>
    </w:r>
    <w:r w:rsidRPr="00776871">
      <w:rPr>
        <w:rFonts w:ascii="Calibri" w:hAnsi="Calibri" w:cs="Calibri"/>
        <w:b/>
        <w:sz w:val="22"/>
      </w:rPr>
      <w:t>ISSN 2007 - 7467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02BF3"/>
    <w:multiLevelType w:val="hybridMultilevel"/>
    <w:tmpl w:val="A440BF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61B"/>
    <w:rsid w:val="00005B17"/>
    <w:rsid w:val="0001341D"/>
    <w:rsid w:val="000223D6"/>
    <w:rsid w:val="00031F82"/>
    <w:rsid w:val="000322C6"/>
    <w:rsid w:val="0007281C"/>
    <w:rsid w:val="00073DF6"/>
    <w:rsid w:val="0009608C"/>
    <w:rsid w:val="000B17C5"/>
    <w:rsid w:val="000C5576"/>
    <w:rsid w:val="000C583F"/>
    <w:rsid w:val="000D750C"/>
    <w:rsid w:val="000F1853"/>
    <w:rsid w:val="000F2CB4"/>
    <w:rsid w:val="000F38F7"/>
    <w:rsid w:val="000F7BD3"/>
    <w:rsid w:val="00101A57"/>
    <w:rsid w:val="00102A8B"/>
    <w:rsid w:val="00114D35"/>
    <w:rsid w:val="00115401"/>
    <w:rsid w:val="00116C78"/>
    <w:rsid w:val="001677D7"/>
    <w:rsid w:val="00176CD9"/>
    <w:rsid w:val="00183E6A"/>
    <w:rsid w:val="001867C4"/>
    <w:rsid w:val="001A70A9"/>
    <w:rsid w:val="001B40C4"/>
    <w:rsid w:val="001D3735"/>
    <w:rsid w:val="001E1D65"/>
    <w:rsid w:val="001F0A7B"/>
    <w:rsid w:val="001F640A"/>
    <w:rsid w:val="00204C66"/>
    <w:rsid w:val="00230406"/>
    <w:rsid w:val="00247874"/>
    <w:rsid w:val="0026074E"/>
    <w:rsid w:val="00275D2E"/>
    <w:rsid w:val="002816A9"/>
    <w:rsid w:val="002823B5"/>
    <w:rsid w:val="0028535B"/>
    <w:rsid w:val="002C309A"/>
    <w:rsid w:val="002C65C5"/>
    <w:rsid w:val="002C7036"/>
    <w:rsid w:val="002E3AC6"/>
    <w:rsid w:val="002E5E14"/>
    <w:rsid w:val="00303E40"/>
    <w:rsid w:val="00333252"/>
    <w:rsid w:val="00361280"/>
    <w:rsid w:val="00362000"/>
    <w:rsid w:val="003A248E"/>
    <w:rsid w:val="003E661B"/>
    <w:rsid w:val="00401415"/>
    <w:rsid w:val="0040391F"/>
    <w:rsid w:val="00405FC0"/>
    <w:rsid w:val="00411557"/>
    <w:rsid w:val="0041275B"/>
    <w:rsid w:val="0041738E"/>
    <w:rsid w:val="00423E01"/>
    <w:rsid w:val="0044339E"/>
    <w:rsid w:val="00470272"/>
    <w:rsid w:val="004845AE"/>
    <w:rsid w:val="004858E3"/>
    <w:rsid w:val="00490A3C"/>
    <w:rsid w:val="004B34D7"/>
    <w:rsid w:val="004C4994"/>
    <w:rsid w:val="004C5875"/>
    <w:rsid w:val="004E3C4C"/>
    <w:rsid w:val="004F1589"/>
    <w:rsid w:val="004F22B4"/>
    <w:rsid w:val="00507629"/>
    <w:rsid w:val="00534C70"/>
    <w:rsid w:val="00540A41"/>
    <w:rsid w:val="00540B5B"/>
    <w:rsid w:val="00542778"/>
    <w:rsid w:val="0055190B"/>
    <w:rsid w:val="00551B35"/>
    <w:rsid w:val="005774CD"/>
    <w:rsid w:val="005B2893"/>
    <w:rsid w:val="005B30C8"/>
    <w:rsid w:val="005C2E5A"/>
    <w:rsid w:val="005C4A10"/>
    <w:rsid w:val="005D02C6"/>
    <w:rsid w:val="005D36EB"/>
    <w:rsid w:val="005E03FB"/>
    <w:rsid w:val="005E1C5F"/>
    <w:rsid w:val="00605B67"/>
    <w:rsid w:val="0064740F"/>
    <w:rsid w:val="00653D8D"/>
    <w:rsid w:val="0065661C"/>
    <w:rsid w:val="00656C88"/>
    <w:rsid w:val="00673333"/>
    <w:rsid w:val="006759DF"/>
    <w:rsid w:val="0068109A"/>
    <w:rsid w:val="006840D9"/>
    <w:rsid w:val="00691AD8"/>
    <w:rsid w:val="00692BAF"/>
    <w:rsid w:val="006B5DEC"/>
    <w:rsid w:val="006B5F59"/>
    <w:rsid w:val="006C11FE"/>
    <w:rsid w:val="006C3EB6"/>
    <w:rsid w:val="006C4E2F"/>
    <w:rsid w:val="006C79DE"/>
    <w:rsid w:val="006D0E18"/>
    <w:rsid w:val="006D6D9B"/>
    <w:rsid w:val="006E60BE"/>
    <w:rsid w:val="006F32DC"/>
    <w:rsid w:val="00705FA8"/>
    <w:rsid w:val="0071713D"/>
    <w:rsid w:val="00743DF4"/>
    <w:rsid w:val="00747648"/>
    <w:rsid w:val="007550D6"/>
    <w:rsid w:val="0077151B"/>
    <w:rsid w:val="007759AB"/>
    <w:rsid w:val="00776E63"/>
    <w:rsid w:val="00777D11"/>
    <w:rsid w:val="00780690"/>
    <w:rsid w:val="007E35B5"/>
    <w:rsid w:val="007E4E3A"/>
    <w:rsid w:val="007F2A3C"/>
    <w:rsid w:val="00800157"/>
    <w:rsid w:val="00805918"/>
    <w:rsid w:val="00814613"/>
    <w:rsid w:val="00834F3A"/>
    <w:rsid w:val="0083785C"/>
    <w:rsid w:val="00840C14"/>
    <w:rsid w:val="0084107D"/>
    <w:rsid w:val="00844712"/>
    <w:rsid w:val="0085263A"/>
    <w:rsid w:val="00855DB5"/>
    <w:rsid w:val="00896921"/>
    <w:rsid w:val="008970FF"/>
    <w:rsid w:val="0089711E"/>
    <w:rsid w:val="008A3E81"/>
    <w:rsid w:val="008A4F45"/>
    <w:rsid w:val="008A61F4"/>
    <w:rsid w:val="008B6275"/>
    <w:rsid w:val="008F6C24"/>
    <w:rsid w:val="00900102"/>
    <w:rsid w:val="009105D2"/>
    <w:rsid w:val="00914177"/>
    <w:rsid w:val="00927147"/>
    <w:rsid w:val="00937473"/>
    <w:rsid w:val="009377D7"/>
    <w:rsid w:val="0095227A"/>
    <w:rsid w:val="00966EE3"/>
    <w:rsid w:val="00966F38"/>
    <w:rsid w:val="00970764"/>
    <w:rsid w:val="0097354E"/>
    <w:rsid w:val="0099080D"/>
    <w:rsid w:val="009A1403"/>
    <w:rsid w:val="009A1F16"/>
    <w:rsid w:val="009A4945"/>
    <w:rsid w:val="009B7EF0"/>
    <w:rsid w:val="009C64E4"/>
    <w:rsid w:val="009C6C78"/>
    <w:rsid w:val="00A14587"/>
    <w:rsid w:val="00A20E14"/>
    <w:rsid w:val="00A40F61"/>
    <w:rsid w:val="00A57D22"/>
    <w:rsid w:val="00A620C9"/>
    <w:rsid w:val="00A6287A"/>
    <w:rsid w:val="00A646AF"/>
    <w:rsid w:val="00A74487"/>
    <w:rsid w:val="00A86558"/>
    <w:rsid w:val="00AA3649"/>
    <w:rsid w:val="00AC112C"/>
    <w:rsid w:val="00AC30BD"/>
    <w:rsid w:val="00AF759C"/>
    <w:rsid w:val="00B07EB5"/>
    <w:rsid w:val="00B10BAF"/>
    <w:rsid w:val="00B10ECD"/>
    <w:rsid w:val="00B414FB"/>
    <w:rsid w:val="00B442EC"/>
    <w:rsid w:val="00B475C9"/>
    <w:rsid w:val="00B5678C"/>
    <w:rsid w:val="00B57A0A"/>
    <w:rsid w:val="00B603A0"/>
    <w:rsid w:val="00B65181"/>
    <w:rsid w:val="00B80F30"/>
    <w:rsid w:val="00B8165C"/>
    <w:rsid w:val="00B94A7C"/>
    <w:rsid w:val="00BA00A9"/>
    <w:rsid w:val="00BB50FE"/>
    <w:rsid w:val="00BB52E2"/>
    <w:rsid w:val="00BB6E02"/>
    <w:rsid w:val="00BD2DE5"/>
    <w:rsid w:val="00BD6F39"/>
    <w:rsid w:val="00BE11EC"/>
    <w:rsid w:val="00BE17A6"/>
    <w:rsid w:val="00BE22E2"/>
    <w:rsid w:val="00C21519"/>
    <w:rsid w:val="00C224F7"/>
    <w:rsid w:val="00C42E96"/>
    <w:rsid w:val="00C44882"/>
    <w:rsid w:val="00C47033"/>
    <w:rsid w:val="00C70F8C"/>
    <w:rsid w:val="00C81BE4"/>
    <w:rsid w:val="00C866A5"/>
    <w:rsid w:val="00C971A4"/>
    <w:rsid w:val="00C9753F"/>
    <w:rsid w:val="00CA32F0"/>
    <w:rsid w:val="00CB15C1"/>
    <w:rsid w:val="00CB748A"/>
    <w:rsid w:val="00CD2BC5"/>
    <w:rsid w:val="00CF5D4B"/>
    <w:rsid w:val="00CF71EA"/>
    <w:rsid w:val="00D00B84"/>
    <w:rsid w:val="00D21C11"/>
    <w:rsid w:val="00D316F1"/>
    <w:rsid w:val="00D47537"/>
    <w:rsid w:val="00D67180"/>
    <w:rsid w:val="00D82731"/>
    <w:rsid w:val="00DB11F0"/>
    <w:rsid w:val="00DD666E"/>
    <w:rsid w:val="00DE1D7C"/>
    <w:rsid w:val="00DE586D"/>
    <w:rsid w:val="00DF3643"/>
    <w:rsid w:val="00E02144"/>
    <w:rsid w:val="00E04BEE"/>
    <w:rsid w:val="00E101AA"/>
    <w:rsid w:val="00E22090"/>
    <w:rsid w:val="00E23619"/>
    <w:rsid w:val="00E26FB7"/>
    <w:rsid w:val="00E2746B"/>
    <w:rsid w:val="00E536BD"/>
    <w:rsid w:val="00E649F6"/>
    <w:rsid w:val="00E77E09"/>
    <w:rsid w:val="00E93919"/>
    <w:rsid w:val="00E94413"/>
    <w:rsid w:val="00EA19D8"/>
    <w:rsid w:val="00EE20A4"/>
    <w:rsid w:val="00EE2425"/>
    <w:rsid w:val="00EE42CE"/>
    <w:rsid w:val="00EE6B30"/>
    <w:rsid w:val="00EE727F"/>
    <w:rsid w:val="00F176AA"/>
    <w:rsid w:val="00F2240B"/>
    <w:rsid w:val="00F65D9F"/>
    <w:rsid w:val="00F93B11"/>
    <w:rsid w:val="00FB3B4B"/>
    <w:rsid w:val="00FF31A8"/>
    <w:rsid w:val="00FF355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CF7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4E2F"/>
    <w:pPr>
      <w:ind w:left="720"/>
      <w:contextualSpacing/>
    </w:pPr>
  </w:style>
  <w:style w:type="paragraph" w:styleId="Textodeglobo">
    <w:name w:val="Balloon Text"/>
    <w:basedOn w:val="Normal"/>
    <w:link w:val="TextodegloboCar"/>
    <w:uiPriority w:val="99"/>
    <w:semiHidden/>
    <w:unhideWhenUsed/>
    <w:rsid w:val="005B28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B2893"/>
    <w:rPr>
      <w:rFonts w:ascii="Lucida Grande" w:hAnsi="Lucida Grande" w:cs="Lucida Grande"/>
      <w:sz w:val="18"/>
      <w:szCs w:val="18"/>
    </w:rPr>
  </w:style>
  <w:style w:type="paragraph" w:styleId="Sinespaciado">
    <w:name w:val="No Spacing"/>
    <w:uiPriority w:val="1"/>
    <w:qFormat/>
    <w:rsid w:val="003A248E"/>
  </w:style>
  <w:style w:type="paragraph" w:styleId="Encabezado">
    <w:name w:val="header"/>
    <w:basedOn w:val="Normal"/>
    <w:link w:val="EncabezadoCar"/>
    <w:uiPriority w:val="99"/>
    <w:unhideWhenUsed/>
    <w:rsid w:val="00B475C9"/>
    <w:pPr>
      <w:tabs>
        <w:tab w:val="center" w:pos="4252"/>
        <w:tab w:val="right" w:pos="8504"/>
      </w:tabs>
    </w:pPr>
  </w:style>
  <w:style w:type="character" w:customStyle="1" w:styleId="EncabezadoCar">
    <w:name w:val="Encabezado Car"/>
    <w:basedOn w:val="Fuentedeprrafopredeter"/>
    <w:link w:val="Encabezado"/>
    <w:uiPriority w:val="99"/>
    <w:rsid w:val="00B475C9"/>
  </w:style>
  <w:style w:type="paragraph" w:styleId="Piedepgina">
    <w:name w:val="footer"/>
    <w:basedOn w:val="Normal"/>
    <w:link w:val="PiedepginaCar"/>
    <w:uiPriority w:val="99"/>
    <w:unhideWhenUsed/>
    <w:rsid w:val="00B475C9"/>
    <w:pPr>
      <w:tabs>
        <w:tab w:val="center" w:pos="4252"/>
        <w:tab w:val="right" w:pos="8504"/>
      </w:tabs>
    </w:pPr>
  </w:style>
  <w:style w:type="character" w:customStyle="1" w:styleId="PiedepginaCar">
    <w:name w:val="Pie de página Car"/>
    <w:basedOn w:val="Fuentedeprrafopredeter"/>
    <w:link w:val="Piedepgina"/>
    <w:uiPriority w:val="99"/>
    <w:rsid w:val="00B475C9"/>
  </w:style>
  <w:style w:type="paragraph" w:styleId="HTMLconformatoprevio">
    <w:name w:val="HTML Preformatted"/>
    <w:basedOn w:val="Normal"/>
    <w:link w:val="HTMLconformatoprevioCar"/>
    <w:uiPriority w:val="99"/>
    <w:semiHidden/>
    <w:unhideWhenUsed/>
    <w:rsid w:val="00CA3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s-MX"/>
    </w:rPr>
  </w:style>
  <w:style w:type="character" w:customStyle="1" w:styleId="HTMLconformatoprevioCar">
    <w:name w:val="HTML con formato previo Car"/>
    <w:basedOn w:val="Fuentedeprrafopredeter"/>
    <w:link w:val="HTMLconformatoprevio"/>
    <w:uiPriority w:val="99"/>
    <w:semiHidden/>
    <w:rsid w:val="00CA32F0"/>
    <w:rPr>
      <w:rFonts w:ascii="Courier" w:hAnsi="Courier" w:cs="Courier"/>
      <w:sz w:val="20"/>
      <w:szCs w:val="20"/>
      <w:lang w:val="es-MX"/>
    </w:rPr>
  </w:style>
  <w:style w:type="character" w:styleId="Hipervnculo">
    <w:name w:val="Hyperlink"/>
    <w:basedOn w:val="Fuentedeprrafopredeter"/>
    <w:uiPriority w:val="99"/>
    <w:unhideWhenUsed/>
    <w:rsid w:val="00F176AA"/>
    <w:rPr>
      <w:color w:val="0000FF" w:themeColor="hyperlink"/>
      <w:u w:val="single"/>
    </w:rPr>
  </w:style>
  <w:style w:type="paragraph" w:styleId="Bibliografa">
    <w:name w:val="Bibliography"/>
    <w:basedOn w:val="Normal"/>
    <w:next w:val="Normal"/>
    <w:uiPriority w:val="37"/>
    <w:unhideWhenUsed/>
    <w:rsid w:val="000223D6"/>
    <w:pPr>
      <w:spacing w:after="200" w:line="276" w:lineRule="auto"/>
    </w:pPr>
    <w:rPr>
      <w:rFonts w:ascii="Calibri" w:eastAsia="Calibri" w:hAnsi="Calibri" w:cs="Times New Roman"/>
      <w:sz w:val="22"/>
      <w:szCs w:val="22"/>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4E2F"/>
    <w:pPr>
      <w:ind w:left="720"/>
      <w:contextualSpacing/>
    </w:pPr>
  </w:style>
  <w:style w:type="paragraph" w:styleId="Textodeglobo">
    <w:name w:val="Balloon Text"/>
    <w:basedOn w:val="Normal"/>
    <w:link w:val="TextodegloboCar"/>
    <w:uiPriority w:val="99"/>
    <w:semiHidden/>
    <w:unhideWhenUsed/>
    <w:rsid w:val="005B28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B2893"/>
    <w:rPr>
      <w:rFonts w:ascii="Lucida Grande" w:hAnsi="Lucida Grande" w:cs="Lucida Grande"/>
      <w:sz w:val="18"/>
      <w:szCs w:val="18"/>
    </w:rPr>
  </w:style>
  <w:style w:type="paragraph" w:styleId="Sinespaciado">
    <w:name w:val="No Spacing"/>
    <w:uiPriority w:val="1"/>
    <w:qFormat/>
    <w:rsid w:val="003A248E"/>
  </w:style>
  <w:style w:type="paragraph" w:styleId="Encabezado">
    <w:name w:val="header"/>
    <w:basedOn w:val="Normal"/>
    <w:link w:val="EncabezadoCar"/>
    <w:uiPriority w:val="99"/>
    <w:unhideWhenUsed/>
    <w:rsid w:val="00B475C9"/>
    <w:pPr>
      <w:tabs>
        <w:tab w:val="center" w:pos="4252"/>
        <w:tab w:val="right" w:pos="8504"/>
      </w:tabs>
    </w:pPr>
  </w:style>
  <w:style w:type="character" w:customStyle="1" w:styleId="EncabezadoCar">
    <w:name w:val="Encabezado Car"/>
    <w:basedOn w:val="Fuentedeprrafopredeter"/>
    <w:link w:val="Encabezado"/>
    <w:uiPriority w:val="99"/>
    <w:rsid w:val="00B475C9"/>
  </w:style>
  <w:style w:type="paragraph" w:styleId="Piedepgina">
    <w:name w:val="footer"/>
    <w:basedOn w:val="Normal"/>
    <w:link w:val="PiedepginaCar"/>
    <w:uiPriority w:val="99"/>
    <w:unhideWhenUsed/>
    <w:rsid w:val="00B475C9"/>
    <w:pPr>
      <w:tabs>
        <w:tab w:val="center" w:pos="4252"/>
        <w:tab w:val="right" w:pos="8504"/>
      </w:tabs>
    </w:pPr>
  </w:style>
  <w:style w:type="character" w:customStyle="1" w:styleId="PiedepginaCar">
    <w:name w:val="Pie de página Car"/>
    <w:basedOn w:val="Fuentedeprrafopredeter"/>
    <w:link w:val="Piedepgina"/>
    <w:uiPriority w:val="99"/>
    <w:rsid w:val="00B475C9"/>
  </w:style>
  <w:style w:type="paragraph" w:styleId="HTMLconformatoprevio">
    <w:name w:val="HTML Preformatted"/>
    <w:basedOn w:val="Normal"/>
    <w:link w:val="HTMLconformatoprevioCar"/>
    <w:uiPriority w:val="99"/>
    <w:semiHidden/>
    <w:unhideWhenUsed/>
    <w:rsid w:val="00CA3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s-MX"/>
    </w:rPr>
  </w:style>
  <w:style w:type="character" w:customStyle="1" w:styleId="HTMLconformatoprevioCar">
    <w:name w:val="HTML con formato previo Car"/>
    <w:basedOn w:val="Fuentedeprrafopredeter"/>
    <w:link w:val="HTMLconformatoprevio"/>
    <w:uiPriority w:val="99"/>
    <w:semiHidden/>
    <w:rsid w:val="00CA32F0"/>
    <w:rPr>
      <w:rFonts w:ascii="Courier" w:hAnsi="Courier" w:cs="Courier"/>
      <w:sz w:val="20"/>
      <w:szCs w:val="20"/>
      <w:lang w:val="es-MX"/>
    </w:rPr>
  </w:style>
  <w:style w:type="character" w:styleId="Hipervnculo">
    <w:name w:val="Hyperlink"/>
    <w:basedOn w:val="Fuentedeprrafopredeter"/>
    <w:uiPriority w:val="99"/>
    <w:unhideWhenUsed/>
    <w:rsid w:val="00F176AA"/>
    <w:rPr>
      <w:color w:val="0000FF" w:themeColor="hyperlink"/>
      <w:u w:val="single"/>
    </w:rPr>
  </w:style>
  <w:style w:type="paragraph" w:styleId="Bibliografa">
    <w:name w:val="Bibliography"/>
    <w:basedOn w:val="Normal"/>
    <w:next w:val="Normal"/>
    <w:uiPriority w:val="37"/>
    <w:unhideWhenUsed/>
    <w:rsid w:val="000223D6"/>
    <w:pPr>
      <w:spacing w:after="200" w:line="276" w:lineRule="auto"/>
    </w:pPr>
    <w:rPr>
      <w:rFonts w:ascii="Calibri" w:eastAsia="Calibri" w:hAnsi="Calibri" w:cs="Times New Roman"/>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16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hyperlink" Target="mailto:ecolmenares@hotmail.com" TargetMode="Externa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17"/>
    </mc:Choice>
    <mc:Fallback>
      <c:style val="17"/>
    </mc:Fallback>
  </mc:AlternateContent>
  <c:chart>
    <c:title>
      <c:tx>
        <c:rich>
          <a:bodyPr/>
          <a:lstStyle/>
          <a:p>
            <a:pPr>
              <a:defRPr sz="1200"/>
            </a:pPr>
            <a:r>
              <a:rPr lang="es-ES" sz="1200">
                <a:latin typeface="Times New Roman"/>
                <a:cs typeface="Times New Roman"/>
              </a:rPr>
              <a:t>Subsistencia con la pensión</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35666775710366699"/>
          <c:y val="0.21574642126789401"/>
          <c:w val="0.61087228662650295"/>
          <c:h val="0.68030046857639703"/>
        </c:manualLayout>
      </c:layout>
      <c:bar3DChart>
        <c:barDir val="bar"/>
        <c:grouping val="clustered"/>
        <c:varyColors val="0"/>
        <c:ser>
          <c:idx val="0"/>
          <c:order val="0"/>
          <c:tx>
            <c:strRef>
              <c:f>Hoja1!$B$1</c:f>
              <c:strCache>
                <c:ptCount val="1"/>
                <c:pt idx="0">
                  <c:v>Serie 1</c:v>
                </c:pt>
              </c:strCache>
            </c:strRef>
          </c:tx>
          <c:invertIfNegative val="0"/>
          <c:cat>
            <c:strRef>
              <c:f>Hoja1!$A$2:$A$6</c:f>
              <c:strCache>
                <c:ptCount val="5"/>
                <c:pt idx="0">
                  <c:v>totalmente desacuerdo</c:v>
                </c:pt>
                <c:pt idx="1">
                  <c:v>en desacuerdo</c:v>
                </c:pt>
                <c:pt idx="2">
                  <c:v>ni en acuerdo ni desacuerdo</c:v>
                </c:pt>
                <c:pt idx="3">
                  <c:v>de acuerdo</c:v>
                </c:pt>
                <c:pt idx="4">
                  <c:v>totalmente de acuerdo</c:v>
                </c:pt>
              </c:strCache>
            </c:strRef>
          </c:cat>
          <c:val>
            <c:numRef>
              <c:f>Hoja1!$B$2:$B$6</c:f>
              <c:numCache>
                <c:formatCode>0%</c:formatCode>
                <c:ptCount val="5"/>
                <c:pt idx="0">
                  <c:v>0.42</c:v>
                </c:pt>
                <c:pt idx="1">
                  <c:v>0.32</c:v>
                </c:pt>
                <c:pt idx="2">
                  <c:v>0.12</c:v>
                </c:pt>
                <c:pt idx="3">
                  <c:v>0.03</c:v>
                </c:pt>
                <c:pt idx="4">
                  <c:v>0.11</c:v>
                </c:pt>
              </c:numCache>
            </c:numRef>
          </c:val>
          <c:extLst xmlns:c16r2="http://schemas.microsoft.com/office/drawing/2015/06/chart">
            <c:ext xmlns:c16="http://schemas.microsoft.com/office/drawing/2014/chart" uri="{C3380CC4-5D6E-409C-BE32-E72D297353CC}">
              <c16:uniqueId val="{00000000-2D36-41D5-9C77-21C8400038DD}"/>
            </c:ext>
          </c:extLst>
        </c:ser>
        <c:dLbls>
          <c:showLegendKey val="0"/>
          <c:showVal val="0"/>
          <c:showCatName val="0"/>
          <c:showSerName val="0"/>
          <c:showPercent val="0"/>
          <c:showBubbleSize val="0"/>
        </c:dLbls>
        <c:gapWidth val="150"/>
        <c:shape val="cylinder"/>
        <c:axId val="192757120"/>
        <c:axId val="426306944"/>
        <c:axId val="0"/>
      </c:bar3DChart>
      <c:catAx>
        <c:axId val="192757120"/>
        <c:scaling>
          <c:orientation val="minMax"/>
        </c:scaling>
        <c:delete val="0"/>
        <c:axPos val="l"/>
        <c:numFmt formatCode="General" sourceLinked="0"/>
        <c:majorTickMark val="out"/>
        <c:minorTickMark val="none"/>
        <c:tickLblPos val="nextTo"/>
        <c:crossAx val="426306944"/>
        <c:crosses val="autoZero"/>
        <c:auto val="1"/>
        <c:lblAlgn val="ctr"/>
        <c:lblOffset val="100"/>
        <c:noMultiLvlLbl val="0"/>
      </c:catAx>
      <c:valAx>
        <c:axId val="426306944"/>
        <c:scaling>
          <c:orientation val="minMax"/>
        </c:scaling>
        <c:delete val="0"/>
        <c:axPos val="b"/>
        <c:majorGridlines/>
        <c:numFmt formatCode="0%" sourceLinked="1"/>
        <c:majorTickMark val="out"/>
        <c:minorTickMark val="none"/>
        <c:tickLblPos val="nextTo"/>
        <c:crossAx val="192757120"/>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bar"/>
        <c:grouping val="clustered"/>
        <c:varyColors val="0"/>
        <c:ser>
          <c:idx val="0"/>
          <c:order val="0"/>
          <c:tx>
            <c:strRef>
              <c:f>Hoja1!$B$1</c:f>
              <c:strCache>
                <c:ptCount val="1"/>
                <c:pt idx="0">
                  <c:v>¿Cree que su Afore le está otorgando rentabilidad (generando mayor rendimiento) en sus ahorros?</c:v>
                </c:pt>
              </c:strCache>
            </c:strRef>
          </c:tx>
          <c:invertIfNegative val="0"/>
          <c:dLbls>
            <c:dLbl>
              <c:idx val="1"/>
              <c:tx>
                <c:rich>
                  <a:bodyPr/>
                  <a:lstStyle/>
                  <a:p>
                    <a:r>
                      <a:rPr lang="en-US"/>
                      <a:t>38 %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C6B-40F6-BA64-16189F99D211}"/>
                </c:ext>
              </c:extLst>
            </c:dLbl>
            <c:dLbl>
              <c:idx val="2"/>
              <c:tx>
                <c:rich>
                  <a:bodyPr/>
                  <a:lstStyle/>
                  <a:p>
                    <a:r>
                      <a:rPr lang="en-US"/>
                      <a:t>32.70 %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C6B-40F6-BA64-16189F99D211}"/>
                </c:ext>
              </c:extLst>
            </c:dLbl>
            <c:dLbl>
              <c:idx val="3"/>
              <c:tx>
                <c:rich>
                  <a:bodyPr/>
                  <a:lstStyle/>
                  <a:p>
                    <a:r>
                      <a:rPr lang="en-US"/>
                      <a:t>29.30 %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C6B-40F6-BA64-16189F99D211}"/>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Hoja1!$A$2:$A$5</c:f>
              <c:strCache>
                <c:ptCount val="4"/>
                <c:pt idx="1">
                  <c:v>no lo sabe</c:v>
                </c:pt>
                <c:pt idx="2">
                  <c:v>no</c:v>
                </c:pt>
                <c:pt idx="3">
                  <c:v>si</c:v>
                </c:pt>
              </c:strCache>
            </c:strRef>
          </c:cat>
          <c:val>
            <c:numRef>
              <c:f>Hoja1!$B$2:$B$5</c:f>
              <c:numCache>
                <c:formatCode>0%</c:formatCode>
                <c:ptCount val="4"/>
                <c:pt idx="1">
                  <c:v>0.38</c:v>
                </c:pt>
                <c:pt idx="2" formatCode="0.00%">
                  <c:v>0.32700000000000001</c:v>
                </c:pt>
                <c:pt idx="3" formatCode="0.00%">
                  <c:v>0.29299999999999998</c:v>
                </c:pt>
              </c:numCache>
            </c:numRef>
          </c:val>
          <c:extLst xmlns:c16r2="http://schemas.microsoft.com/office/drawing/2015/06/chart">
            <c:ext xmlns:c16="http://schemas.microsoft.com/office/drawing/2014/chart" uri="{C3380CC4-5D6E-409C-BE32-E72D297353CC}">
              <c16:uniqueId val="{00000003-4C6B-40F6-BA64-16189F99D211}"/>
            </c:ext>
          </c:extLst>
        </c:ser>
        <c:dLbls>
          <c:showLegendKey val="0"/>
          <c:showVal val="1"/>
          <c:showCatName val="0"/>
          <c:showSerName val="0"/>
          <c:showPercent val="0"/>
          <c:showBubbleSize val="0"/>
        </c:dLbls>
        <c:gapWidth val="75"/>
        <c:axId val="184329728"/>
        <c:axId val="184336768"/>
      </c:barChart>
      <c:catAx>
        <c:axId val="184329728"/>
        <c:scaling>
          <c:orientation val="minMax"/>
        </c:scaling>
        <c:delete val="0"/>
        <c:axPos val="l"/>
        <c:numFmt formatCode="General" sourceLinked="0"/>
        <c:majorTickMark val="none"/>
        <c:minorTickMark val="none"/>
        <c:tickLblPos val="nextTo"/>
        <c:txPr>
          <a:bodyPr/>
          <a:lstStyle/>
          <a:p>
            <a:pPr>
              <a:defRPr>
                <a:latin typeface="Times New Roman"/>
                <a:cs typeface="Times New Roman"/>
              </a:defRPr>
            </a:pPr>
            <a:endParaRPr lang="es-MX"/>
          </a:p>
        </c:txPr>
        <c:crossAx val="184336768"/>
        <c:crosses val="autoZero"/>
        <c:auto val="1"/>
        <c:lblAlgn val="ctr"/>
        <c:lblOffset val="100"/>
        <c:noMultiLvlLbl val="0"/>
      </c:catAx>
      <c:valAx>
        <c:axId val="184336768"/>
        <c:scaling>
          <c:orientation val="minMax"/>
        </c:scaling>
        <c:delete val="0"/>
        <c:axPos val="b"/>
        <c:numFmt formatCode="0%" sourceLinked="1"/>
        <c:majorTickMark val="none"/>
        <c:minorTickMark val="none"/>
        <c:tickLblPos val="none"/>
        <c:crossAx val="184329728"/>
        <c:crosses val="autoZero"/>
        <c:crossBetween val="between"/>
      </c:valAx>
    </c:plotArea>
    <c:legend>
      <c:legendPos val="b"/>
      <c:overlay val="0"/>
      <c:txPr>
        <a:bodyPr/>
        <a:lstStyle/>
        <a:p>
          <a:pPr>
            <a:defRPr>
              <a:latin typeface="Times New Roman"/>
              <a:cs typeface="Times New Roman"/>
            </a:defRPr>
          </a:pPr>
          <a:endParaRPr lang="es-MX"/>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17"/>
    </mc:Choice>
    <mc:Fallback>
      <c:style val="17"/>
    </mc:Fallback>
  </mc:AlternateContent>
  <c:chart>
    <c:title>
      <c:tx>
        <c:rich>
          <a:bodyPr/>
          <a:lstStyle/>
          <a:p>
            <a:pPr>
              <a:defRPr/>
            </a:pPr>
            <a:r>
              <a:rPr lang="es-ES" sz="1200">
                <a:latin typeface="Times New Roman"/>
                <a:cs typeface="Times New Roman"/>
              </a:rPr>
              <a:t>estabilidad financiera</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Ventas</c:v>
                </c:pt>
              </c:strCache>
            </c:strRef>
          </c:tx>
          <c:explosion val="25"/>
          <c:dLbls>
            <c:dLbl>
              <c:idx val="0"/>
              <c:tx>
                <c:rich>
                  <a:bodyPr/>
                  <a:lstStyle/>
                  <a:p>
                    <a:r>
                      <a:rPr lang="en-US"/>
                      <a:t>45 %</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BF4-4F9F-9253-FBCC0ED9C231}"/>
                </c:ext>
              </c:extLst>
            </c:dLbl>
            <c:dLbl>
              <c:idx val="1"/>
              <c:tx>
                <c:rich>
                  <a:bodyPr/>
                  <a:lstStyle/>
                  <a:p>
                    <a:r>
                      <a:rPr lang="en-US"/>
                      <a:t>12 %</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BF4-4F9F-9253-FBCC0ED9C231}"/>
                </c:ext>
              </c:extLst>
            </c:dLbl>
            <c:dLbl>
              <c:idx val="2"/>
              <c:tx>
                <c:rich>
                  <a:bodyPr/>
                  <a:lstStyle/>
                  <a:p>
                    <a:r>
                      <a:rPr lang="en-US"/>
                      <a:t>43 %</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BF4-4F9F-9253-FBCC0ED9C231}"/>
                </c:ext>
              </c:extLst>
            </c:dLbl>
            <c:dLbl>
              <c:idx val="3"/>
              <c:tx>
                <c:rich>
                  <a:bodyPr/>
                  <a:lstStyle/>
                  <a:p>
                    <a:r>
                      <a:rPr lang="en-US"/>
                      <a:t>0 %</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BF4-4F9F-9253-FBCC0ED9C231}"/>
                </c:ext>
              </c:extLst>
            </c:dLbl>
            <c:dLbl>
              <c:idx val="4"/>
              <c:tx>
                <c:rich>
                  <a:bodyPr/>
                  <a:lstStyle/>
                  <a:p>
                    <a:r>
                      <a:rPr lang="en-US"/>
                      <a:t>0 %</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BF4-4F9F-9253-FBCC0ED9C231}"/>
                </c:ext>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Hoja1!$A$2:$A$6</c:f>
              <c:strCache>
                <c:ptCount val="5"/>
                <c:pt idx="0">
                  <c:v>totalmente desacuerdo</c:v>
                </c:pt>
                <c:pt idx="1">
                  <c:v>en desacuerdo</c:v>
                </c:pt>
                <c:pt idx="2">
                  <c:v>ni acuerdo ni desacuerdo</c:v>
                </c:pt>
                <c:pt idx="3">
                  <c:v>de acuerdo</c:v>
                </c:pt>
                <c:pt idx="4">
                  <c:v>totalmente de acuerdo</c:v>
                </c:pt>
              </c:strCache>
            </c:strRef>
          </c:cat>
          <c:val>
            <c:numRef>
              <c:f>Hoja1!$B$2:$B$6</c:f>
              <c:numCache>
                <c:formatCode>0%</c:formatCode>
                <c:ptCount val="5"/>
                <c:pt idx="0">
                  <c:v>0.45</c:v>
                </c:pt>
                <c:pt idx="1">
                  <c:v>0.12</c:v>
                </c:pt>
                <c:pt idx="2">
                  <c:v>0.43</c:v>
                </c:pt>
                <c:pt idx="3">
                  <c:v>0</c:v>
                </c:pt>
                <c:pt idx="4">
                  <c:v>0</c:v>
                </c:pt>
              </c:numCache>
            </c:numRef>
          </c:val>
          <c:extLst xmlns:c16r2="http://schemas.microsoft.com/office/drawing/2015/06/chart">
            <c:ext xmlns:c16="http://schemas.microsoft.com/office/drawing/2014/chart" uri="{C3380CC4-5D6E-409C-BE32-E72D297353CC}">
              <c16:uniqueId val="{00000005-CBF4-4F9F-9253-FBCC0ED9C231}"/>
            </c:ext>
          </c:extLst>
        </c:ser>
        <c:dLbls>
          <c:showLegendKey val="0"/>
          <c:showVal val="0"/>
          <c:showCatName val="0"/>
          <c:showSerName val="0"/>
          <c:showPercent val="1"/>
          <c:showBubbleSize val="0"/>
          <c:showLeaderLines val="1"/>
        </c:dLbls>
      </c:pie3DChart>
    </c:plotArea>
    <c:legend>
      <c:legendPos val="r"/>
      <c:legendEntry>
        <c:idx val="3"/>
        <c:delete val="1"/>
      </c:legendEntry>
      <c:legendEntry>
        <c:idx val="4"/>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17"/>
    </mc:Choice>
    <mc:Fallback>
      <c:style val="17"/>
    </mc:Fallback>
  </mc:AlternateContent>
  <c:chart>
    <c:title>
      <c:tx>
        <c:rich>
          <a:bodyPr/>
          <a:lstStyle/>
          <a:p>
            <a:pPr>
              <a:defRPr/>
            </a:pPr>
            <a:r>
              <a:rPr lang="es-ES_tradnl" sz="1200">
                <a:latin typeface="Times New Roman"/>
                <a:cs typeface="Times New Roman"/>
              </a:rPr>
              <a:t>Existen mayores recursos para la seguridad social?</a:t>
            </a:r>
            <a:endParaRPr lang="es-MX" sz="1200">
              <a:latin typeface="Times New Roman"/>
              <a:cs typeface="Times New Roman"/>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Hoja1!$B$1</c:f>
              <c:strCache>
                <c:ptCount val="1"/>
                <c:pt idx="0">
                  <c:v>Serie 1</c:v>
                </c:pt>
              </c:strCache>
            </c:strRef>
          </c:tx>
          <c:invertIfNegative val="0"/>
          <c:dLbls>
            <c:dLbl>
              <c:idx val="0"/>
              <c:tx>
                <c:rich>
                  <a:bodyPr/>
                  <a:lstStyle/>
                  <a:p>
                    <a:r>
                      <a:rPr lang="en-US"/>
                      <a:t>23 %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972-4494-B896-1F541C8A37D1}"/>
                </c:ext>
              </c:extLst>
            </c:dLbl>
            <c:dLbl>
              <c:idx val="2"/>
              <c:tx>
                <c:rich>
                  <a:bodyPr/>
                  <a:lstStyle/>
                  <a:p>
                    <a:r>
                      <a:rPr lang="en-US"/>
                      <a:t>21.50 %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972-4494-B896-1F541C8A37D1}"/>
                </c:ext>
              </c:extLst>
            </c:dLbl>
            <c:dLbl>
              <c:idx val="3"/>
              <c:tx>
                <c:rich>
                  <a:bodyPr/>
                  <a:lstStyle/>
                  <a:p>
                    <a:r>
                      <a:rPr lang="en-US"/>
                      <a:t>33 %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972-4494-B896-1F541C8A37D1}"/>
                </c:ext>
              </c:extLst>
            </c:dLbl>
            <c:dLbl>
              <c:idx val="4"/>
              <c:tx>
                <c:rich>
                  <a:bodyPr/>
                  <a:lstStyle/>
                  <a:p>
                    <a:r>
                      <a:rPr lang="en-US"/>
                      <a:t>21 %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972-4494-B896-1F541C8A37D1}"/>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Hoja1!$A$2:$A$6</c:f>
              <c:strCache>
                <c:ptCount val="5"/>
                <c:pt idx="0">
                  <c:v>total desacuerdo</c:v>
                </c:pt>
                <c:pt idx="1">
                  <c:v>desacuerdo</c:v>
                </c:pt>
                <c:pt idx="2">
                  <c:v>ni acuerdo ni en desacuerdo</c:v>
                </c:pt>
                <c:pt idx="3">
                  <c:v>de acuerdo</c:v>
                </c:pt>
                <c:pt idx="4">
                  <c:v>totalmente acuerdo</c:v>
                </c:pt>
              </c:strCache>
            </c:strRef>
          </c:cat>
          <c:val>
            <c:numRef>
              <c:f>Hoja1!$B$2:$B$6</c:f>
              <c:numCache>
                <c:formatCode>General</c:formatCode>
                <c:ptCount val="5"/>
                <c:pt idx="0" formatCode="0%">
                  <c:v>0.23</c:v>
                </c:pt>
                <c:pt idx="1">
                  <c:v>0</c:v>
                </c:pt>
                <c:pt idx="2" formatCode="0.00%">
                  <c:v>0.215</c:v>
                </c:pt>
                <c:pt idx="3" formatCode="0%">
                  <c:v>0.33</c:v>
                </c:pt>
                <c:pt idx="4" formatCode="0%">
                  <c:v>0.21</c:v>
                </c:pt>
              </c:numCache>
            </c:numRef>
          </c:val>
          <c:extLst xmlns:c16r2="http://schemas.microsoft.com/office/drawing/2015/06/chart">
            <c:ext xmlns:c16="http://schemas.microsoft.com/office/drawing/2014/chart" uri="{C3380CC4-5D6E-409C-BE32-E72D297353CC}">
              <c16:uniqueId val="{00000004-6972-4494-B896-1F541C8A37D1}"/>
            </c:ext>
          </c:extLst>
        </c:ser>
        <c:dLbls>
          <c:showLegendKey val="0"/>
          <c:showVal val="1"/>
          <c:showCatName val="0"/>
          <c:showSerName val="0"/>
          <c:showPercent val="0"/>
          <c:showBubbleSize val="0"/>
        </c:dLbls>
        <c:gapWidth val="150"/>
        <c:shape val="box"/>
        <c:axId val="184465664"/>
        <c:axId val="184468608"/>
        <c:axId val="0"/>
      </c:bar3DChart>
      <c:catAx>
        <c:axId val="184465664"/>
        <c:scaling>
          <c:orientation val="minMax"/>
        </c:scaling>
        <c:delete val="0"/>
        <c:axPos val="l"/>
        <c:numFmt formatCode="General" sourceLinked="0"/>
        <c:majorTickMark val="none"/>
        <c:minorTickMark val="none"/>
        <c:tickLblPos val="nextTo"/>
        <c:crossAx val="184468608"/>
        <c:crosses val="autoZero"/>
        <c:auto val="1"/>
        <c:lblAlgn val="ctr"/>
        <c:lblOffset val="100"/>
        <c:noMultiLvlLbl val="0"/>
      </c:catAx>
      <c:valAx>
        <c:axId val="184468608"/>
        <c:scaling>
          <c:orientation val="minMax"/>
        </c:scaling>
        <c:delete val="1"/>
        <c:axPos val="b"/>
        <c:numFmt formatCode="0%" sourceLinked="1"/>
        <c:majorTickMark val="none"/>
        <c:minorTickMark val="none"/>
        <c:tickLblPos val="nextTo"/>
        <c:crossAx val="18446566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17"/>
    </mc:Choice>
    <mc:Fallback>
      <c:style val="17"/>
    </mc:Fallback>
  </mc:AlternateContent>
  <c:chart>
    <c:title>
      <c:tx>
        <c:rich>
          <a:bodyPr/>
          <a:lstStyle/>
          <a:p>
            <a:pPr>
              <a:defRPr/>
            </a:pPr>
            <a:r>
              <a:rPr lang="es-ES" sz="1200">
                <a:latin typeface="Times New Roman"/>
                <a:cs typeface="Times New Roman"/>
              </a:rPr>
              <a:t>Mejoramiento en el salario mínimo</a:t>
            </a:r>
          </a:p>
        </c:rich>
      </c:tx>
      <c:overlay val="0"/>
    </c:title>
    <c:autoTitleDeleted val="0"/>
    <c:plotArea>
      <c:layout/>
      <c:lineChart>
        <c:grouping val="stacked"/>
        <c:varyColors val="0"/>
        <c:ser>
          <c:idx val="0"/>
          <c:order val="0"/>
          <c:tx>
            <c:strRef>
              <c:f>Hoja1!$B$1</c:f>
              <c:strCache>
                <c:ptCount val="1"/>
                <c:pt idx="0">
                  <c:v>Serie 1</c:v>
                </c:pt>
              </c:strCache>
            </c:strRef>
          </c:tx>
          <c:marker>
            <c:symbol val="none"/>
          </c:marker>
          <c:dLbls>
            <c:dLbl>
              <c:idx val="0"/>
              <c:tx>
                <c:rich>
                  <a:bodyPr/>
                  <a:lstStyle/>
                  <a:p>
                    <a:r>
                      <a:rPr lang="en-US"/>
                      <a:t>78 %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7E8-45ED-8FF4-BDC91EB656DC}"/>
                </c:ext>
              </c:extLst>
            </c:dLbl>
            <c:dLbl>
              <c:idx val="1"/>
              <c:layout>
                <c:manualLayout>
                  <c:x val="-6.4399275508150403E-2"/>
                  <c:y val="-0.104938271604938"/>
                </c:manualLayout>
              </c:layout>
              <c:tx>
                <c:rich>
                  <a:bodyPr/>
                  <a:lstStyle/>
                  <a:p>
                    <a:r>
                      <a:rPr lang="en-US"/>
                      <a:t>16.80 %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7E8-45ED-8FF4-BDC91EB656DC}"/>
                </c:ext>
              </c:extLst>
            </c:dLbl>
            <c:dLbl>
              <c:idx val="2"/>
              <c:layout>
                <c:manualLayout>
                  <c:x val="-3.6224909398903098E-2"/>
                  <c:y val="-9.2593564693302294E-2"/>
                </c:manualLayout>
              </c:layout>
              <c:tx>
                <c:rich>
                  <a:bodyPr/>
                  <a:lstStyle/>
                  <a:p>
                    <a:r>
                      <a:rPr lang="en-US"/>
                      <a:t>5.20 %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7E8-45ED-8FF4-BDC91EB656DC}"/>
                </c:ext>
              </c:extLst>
            </c:dLbl>
            <c:dLbl>
              <c:idx val="3"/>
              <c:layout>
                <c:manualLayout>
                  <c:x val="-4.8299456631112903E-2"/>
                  <c:y val="-5.5555555555555497E-2"/>
                </c:manualLayout>
              </c:layout>
              <c:tx>
                <c:rich>
                  <a:bodyPr/>
                  <a:lstStyle/>
                  <a:p>
                    <a:r>
                      <a:rPr lang="en-US"/>
                      <a:t>0 %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7E8-45ED-8FF4-BDC91EB656DC}"/>
                </c:ext>
              </c:extLst>
            </c:dLbl>
            <c:dLbl>
              <c:idx val="4"/>
              <c:layout>
                <c:manualLayout>
                  <c:x val="-2.4149728315556399E-2"/>
                  <c:y val="-5.5555555555555497E-2"/>
                </c:manualLayout>
              </c:layout>
              <c:tx>
                <c:rich>
                  <a:bodyPr/>
                  <a:lstStyle/>
                  <a:p>
                    <a:r>
                      <a:rPr lang="en-US"/>
                      <a:t>0 %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7E8-45ED-8FF4-BDC91EB656DC}"/>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Hoja1!$A$2:$A$6</c:f>
              <c:strCache>
                <c:ptCount val="5"/>
                <c:pt idx="0">
                  <c:v>total desacuerdo</c:v>
                </c:pt>
                <c:pt idx="1">
                  <c:v>desacuerdo</c:v>
                </c:pt>
                <c:pt idx="2">
                  <c:v>ni acuerdo ni desacuerdo</c:v>
                </c:pt>
                <c:pt idx="3">
                  <c:v>acuerdo</c:v>
                </c:pt>
                <c:pt idx="4">
                  <c:v>totalmente de acuerdo</c:v>
                </c:pt>
              </c:strCache>
            </c:strRef>
          </c:cat>
          <c:val>
            <c:numRef>
              <c:f>Hoja1!$B$2:$B$6</c:f>
              <c:numCache>
                <c:formatCode>0.00%</c:formatCode>
                <c:ptCount val="5"/>
                <c:pt idx="0" formatCode="0%">
                  <c:v>0.78</c:v>
                </c:pt>
                <c:pt idx="1">
                  <c:v>0.16800000000000001</c:v>
                </c:pt>
                <c:pt idx="2">
                  <c:v>5.1999999999999998E-2</c:v>
                </c:pt>
                <c:pt idx="3" formatCode="0%">
                  <c:v>0</c:v>
                </c:pt>
                <c:pt idx="4" formatCode="0%">
                  <c:v>0</c:v>
                </c:pt>
              </c:numCache>
            </c:numRef>
          </c:val>
          <c:smooth val="0"/>
          <c:extLst xmlns:c16r2="http://schemas.microsoft.com/office/drawing/2015/06/chart">
            <c:ext xmlns:c16="http://schemas.microsoft.com/office/drawing/2014/chart" uri="{C3380CC4-5D6E-409C-BE32-E72D297353CC}">
              <c16:uniqueId val="{00000005-97E8-45ED-8FF4-BDC91EB656DC}"/>
            </c:ext>
          </c:extLst>
        </c:ser>
        <c:dLbls>
          <c:showLegendKey val="0"/>
          <c:showVal val="1"/>
          <c:showCatName val="0"/>
          <c:showSerName val="0"/>
          <c:showPercent val="0"/>
          <c:showBubbleSize val="0"/>
        </c:dLbls>
        <c:marker val="1"/>
        <c:smooth val="0"/>
        <c:axId val="184518912"/>
        <c:axId val="184525952"/>
      </c:lineChart>
      <c:catAx>
        <c:axId val="184518912"/>
        <c:scaling>
          <c:orientation val="minMax"/>
        </c:scaling>
        <c:delete val="0"/>
        <c:axPos val="b"/>
        <c:numFmt formatCode="General" sourceLinked="0"/>
        <c:majorTickMark val="none"/>
        <c:minorTickMark val="none"/>
        <c:tickLblPos val="nextTo"/>
        <c:crossAx val="184525952"/>
        <c:crosses val="autoZero"/>
        <c:auto val="1"/>
        <c:lblAlgn val="ctr"/>
        <c:lblOffset val="100"/>
        <c:noMultiLvlLbl val="0"/>
      </c:catAx>
      <c:valAx>
        <c:axId val="184525952"/>
        <c:scaling>
          <c:orientation val="minMax"/>
        </c:scaling>
        <c:delete val="0"/>
        <c:axPos val="l"/>
        <c:majorGridlines/>
        <c:numFmt formatCode="0%" sourceLinked="1"/>
        <c:majorTickMark val="none"/>
        <c:minorTickMark val="none"/>
        <c:tickLblPos val="nextTo"/>
        <c:crossAx val="184518912"/>
        <c:crosses val="autoZero"/>
        <c:crossBetween val="between"/>
      </c:valAx>
    </c:plotArea>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17"/>
    </mc:Choice>
    <mc:Fallback>
      <c:style val="17"/>
    </mc:Fallback>
  </mc:AlternateContent>
  <c:chart>
    <c:title>
      <c:tx>
        <c:rich>
          <a:bodyPr/>
          <a:lstStyle/>
          <a:p>
            <a:pPr>
              <a:defRPr/>
            </a:pPr>
            <a:r>
              <a:rPr lang="es-ES" sz="1200">
                <a:latin typeface="Times New Roman"/>
                <a:cs typeface="Times New Roman"/>
              </a:rPr>
              <a:t>Las pensiones están protegidas contra la inflación</a:t>
            </a:r>
          </a:p>
        </c:rich>
      </c:tx>
      <c:overlay val="0"/>
    </c:title>
    <c:autoTitleDeleted val="0"/>
    <c:plotArea>
      <c:layout/>
      <c:barChart>
        <c:barDir val="col"/>
        <c:grouping val="percentStacked"/>
        <c:varyColors val="0"/>
        <c:ser>
          <c:idx val="0"/>
          <c:order val="0"/>
          <c:tx>
            <c:strRef>
              <c:f>Hoja1!$B$1</c:f>
              <c:strCache>
                <c:ptCount val="1"/>
                <c:pt idx="0">
                  <c:v>Serie 1</c:v>
                </c:pt>
              </c:strCache>
            </c:strRef>
          </c:tx>
          <c:invertIfNegative val="0"/>
          <c:cat>
            <c:strRef>
              <c:f>Hoja1!$A$2:$A$6</c:f>
              <c:strCache>
                <c:ptCount val="5"/>
                <c:pt idx="0">
                  <c:v>totalmente desacuerdo</c:v>
                </c:pt>
                <c:pt idx="1">
                  <c:v>en desacuerdo</c:v>
                </c:pt>
                <c:pt idx="2">
                  <c:v>ni acuerdo ni en desacuerdo</c:v>
                </c:pt>
                <c:pt idx="3">
                  <c:v>de acuerdo</c:v>
                </c:pt>
                <c:pt idx="4">
                  <c:v>totalmente de acuerdo</c:v>
                </c:pt>
              </c:strCache>
            </c:strRef>
          </c:cat>
          <c:val>
            <c:numRef>
              <c:f>Hoja1!$B$2:$B$6</c:f>
              <c:numCache>
                <c:formatCode>0%</c:formatCode>
                <c:ptCount val="5"/>
                <c:pt idx="0">
                  <c:v>0.65</c:v>
                </c:pt>
                <c:pt idx="1">
                  <c:v>0.23</c:v>
                </c:pt>
                <c:pt idx="2">
                  <c:v>0.12</c:v>
                </c:pt>
                <c:pt idx="3">
                  <c:v>0.01</c:v>
                </c:pt>
                <c:pt idx="4">
                  <c:v>0</c:v>
                </c:pt>
              </c:numCache>
            </c:numRef>
          </c:val>
          <c:extLst xmlns:c16r2="http://schemas.microsoft.com/office/drawing/2015/06/chart">
            <c:ext xmlns:c16="http://schemas.microsoft.com/office/drawing/2014/chart" uri="{C3380CC4-5D6E-409C-BE32-E72D297353CC}">
              <c16:uniqueId val="{00000000-8DA1-4FD1-99B5-D87E622723A2}"/>
            </c:ext>
          </c:extLst>
        </c:ser>
        <c:dLbls>
          <c:showLegendKey val="0"/>
          <c:showVal val="0"/>
          <c:showCatName val="0"/>
          <c:showSerName val="0"/>
          <c:showPercent val="0"/>
          <c:showBubbleSize val="0"/>
        </c:dLbls>
        <c:gapWidth val="95"/>
        <c:overlap val="100"/>
        <c:axId val="184198272"/>
        <c:axId val="184199808"/>
      </c:barChart>
      <c:catAx>
        <c:axId val="184198272"/>
        <c:scaling>
          <c:orientation val="minMax"/>
        </c:scaling>
        <c:delete val="0"/>
        <c:axPos val="b"/>
        <c:numFmt formatCode="General" sourceLinked="0"/>
        <c:majorTickMark val="none"/>
        <c:minorTickMark val="none"/>
        <c:tickLblPos val="nextTo"/>
        <c:crossAx val="184199808"/>
        <c:crosses val="autoZero"/>
        <c:auto val="1"/>
        <c:lblAlgn val="ctr"/>
        <c:lblOffset val="100"/>
        <c:noMultiLvlLbl val="0"/>
      </c:catAx>
      <c:valAx>
        <c:axId val="184199808"/>
        <c:scaling>
          <c:orientation val="minMax"/>
        </c:scaling>
        <c:delete val="0"/>
        <c:axPos val="l"/>
        <c:majorGridlines/>
        <c:numFmt formatCode="0%" sourceLinked="1"/>
        <c:majorTickMark val="none"/>
        <c:minorTickMark val="none"/>
        <c:tickLblPos val="nextTo"/>
        <c:crossAx val="18419827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a:pPr>
            <a:r>
              <a:rPr lang="es-ES" sz="1200">
                <a:latin typeface="Times New Roman"/>
                <a:cs typeface="Times New Roman"/>
              </a:rPr>
              <a:t>Incremento en la cuenta del trabajador</a:t>
            </a:r>
          </a:p>
        </c:rich>
      </c:tx>
      <c:layout>
        <c:manualLayout>
          <c:xMode val="edge"/>
          <c:yMode val="edge"/>
          <c:x val="0.211978190226222"/>
          <c:y val="2.7777777777777801E-2"/>
        </c:manualLayout>
      </c:layout>
      <c:overlay val="0"/>
    </c:title>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4.2490603039712402E-2"/>
          <c:y val="0.22713910761154901"/>
          <c:w val="0.887240969878765"/>
          <c:h val="0.305268482064742"/>
        </c:manualLayout>
      </c:layout>
      <c:bar3DChart>
        <c:barDir val="col"/>
        <c:grouping val="percentStacked"/>
        <c:varyColors val="0"/>
        <c:ser>
          <c:idx val="0"/>
          <c:order val="0"/>
          <c:tx>
            <c:strRef>
              <c:f>Hoja1!$B$1</c:f>
              <c:strCache>
                <c:ptCount val="1"/>
                <c:pt idx="0">
                  <c:v>Serie 1</c:v>
                </c:pt>
              </c:strCache>
            </c:strRef>
          </c:tx>
          <c:invertIfNegative val="0"/>
          <c:dLbls>
            <c:dLbl>
              <c:idx val="0"/>
              <c:layout>
                <c:manualLayout>
                  <c:x val="-6.8638666448766095E-2"/>
                  <c:y val="-2.96296296296296E-2"/>
                </c:manualLayout>
              </c:layout>
              <c:tx>
                <c:rich>
                  <a:bodyPr/>
                  <a:lstStyle/>
                  <a:p>
                    <a:r>
                      <a:rPr lang="es-ES"/>
                      <a:t>45 %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C17-4566-B338-3D1B9A499477}"/>
                </c:ext>
              </c:extLst>
            </c:dLbl>
            <c:dLbl>
              <c:idx val="1"/>
              <c:layout>
                <c:manualLayout>
                  <c:x val="8.8249714005556507E-2"/>
                  <c:y val="-9.6296296296296297E-2"/>
                </c:manualLayout>
              </c:layout>
              <c:tx>
                <c:rich>
                  <a:bodyPr/>
                  <a:lstStyle/>
                  <a:p>
                    <a:r>
                      <a:rPr lang="en-US"/>
                      <a:t>21 %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C17-4566-B338-3D1B9A499477}"/>
                </c:ext>
              </c:extLst>
            </c:dLbl>
            <c:dLbl>
              <c:idx val="2"/>
              <c:layout>
                <c:manualLayout>
                  <c:x val="4.5759110965844098E-2"/>
                  <c:y val="-9.6296296296296297E-2"/>
                </c:manualLayout>
              </c:layout>
              <c:tx>
                <c:rich>
                  <a:bodyPr/>
                  <a:lstStyle/>
                  <a:p>
                    <a:r>
                      <a:rPr lang="en-US"/>
                      <a:t>0 %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C17-4566-B338-3D1B9A499477}"/>
                </c:ext>
              </c:extLst>
            </c:dLbl>
            <c:dLbl>
              <c:idx val="3"/>
              <c:layout>
                <c:manualLayout>
                  <c:x val="9.4786729857819801E-2"/>
                  <c:y val="-1.48148148148148E-2"/>
                </c:manualLayout>
              </c:layout>
              <c:tx>
                <c:rich>
                  <a:bodyPr/>
                  <a:lstStyle/>
                  <a:p>
                    <a:r>
                      <a:rPr lang="en-US"/>
                      <a:t>34 %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C17-4566-B338-3D1B9A499477}"/>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Hoja1!$A$2:$A$5</c:f>
              <c:strCache>
                <c:ptCount val="4"/>
                <c:pt idx="0">
                  <c:v>total desacuerdo</c:v>
                </c:pt>
                <c:pt idx="1">
                  <c:v>en desacuerdo</c:v>
                </c:pt>
                <c:pt idx="2">
                  <c:v>ni acuerdo ni desacuerdo</c:v>
                </c:pt>
                <c:pt idx="3">
                  <c:v>toat acuerdo</c:v>
                </c:pt>
              </c:strCache>
            </c:strRef>
          </c:cat>
          <c:val>
            <c:numRef>
              <c:f>Hoja1!$B$2:$B$5</c:f>
              <c:numCache>
                <c:formatCode>0%</c:formatCode>
                <c:ptCount val="4"/>
                <c:pt idx="0">
                  <c:v>4.55</c:v>
                </c:pt>
                <c:pt idx="1">
                  <c:v>0.21</c:v>
                </c:pt>
                <c:pt idx="2">
                  <c:v>0</c:v>
                </c:pt>
                <c:pt idx="3">
                  <c:v>0.34</c:v>
                </c:pt>
              </c:numCache>
            </c:numRef>
          </c:val>
          <c:extLst xmlns:c16r2="http://schemas.microsoft.com/office/drawing/2015/06/chart">
            <c:ext xmlns:c16="http://schemas.microsoft.com/office/drawing/2014/chart" uri="{C3380CC4-5D6E-409C-BE32-E72D297353CC}">
              <c16:uniqueId val="{00000004-4C17-4566-B338-3D1B9A499477}"/>
            </c:ext>
          </c:extLst>
        </c:ser>
        <c:dLbls>
          <c:showLegendKey val="0"/>
          <c:showVal val="1"/>
          <c:showCatName val="0"/>
          <c:showSerName val="0"/>
          <c:showPercent val="0"/>
          <c:showBubbleSize val="0"/>
        </c:dLbls>
        <c:gapWidth val="150"/>
        <c:shape val="box"/>
        <c:axId val="184669696"/>
        <c:axId val="184672640"/>
        <c:axId val="0"/>
      </c:bar3DChart>
      <c:catAx>
        <c:axId val="184669696"/>
        <c:scaling>
          <c:orientation val="minMax"/>
        </c:scaling>
        <c:delete val="0"/>
        <c:axPos val="b"/>
        <c:numFmt formatCode="General" sourceLinked="0"/>
        <c:majorTickMark val="none"/>
        <c:minorTickMark val="none"/>
        <c:tickLblPos val="nextTo"/>
        <c:crossAx val="184672640"/>
        <c:crosses val="autoZero"/>
        <c:auto val="1"/>
        <c:lblAlgn val="ctr"/>
        <c:lblOffset val="100"/>
        <c:noMultiLvlLbl val="0"/>
      </c:catAx>
      <c:valAx>
        <c:axId val="184672640"/>
        <c:scaling>
          <c:orientation val="minMax"/>
        </c:scaling>
        <c:delete val="1"/>
        <c:axPos val="l"/>
        <c:numFmt formatCode="0%" sourceLinked="1"/>
        <c:majorTickMark val="none"/>
        <c:minorTickMark val="none"/>
        <c:tickLblPos val="nextTo"/>
        <c:crossAx val="18466969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17"/>
    </mc:Choice>
    <mc:Fallback>
      <c:style val="17"/>
    </mc:Fallback>
  </mc:AlternateContent>
  <c:chart>
    <c:autoTitleDeleted val="1"/>
    <c:view3D>
      <c:rotX val="15"/>
      <c:rotY val="20"/>
      <c:rAngAx val="0"/>
      <c:perspective val="30"/>
    </c:view3D>
    <c:floor>
      <c:thickness val="0"/>
    </c:floor>
    <c:sideWall>
      <c:thickness val="0"/>
    </c:sideWall>
    <c:backWall>
      <c:thickness val="0"/>
    </c:backWall>
    <c:plotArea>
      <c:layout/>
      <c:line3DChart>
        <c:grouping val="standard"/>
        <c:varyColors val="0"/>
        <c:ser>
          <c:idx val="0"/>
          <c:order val="0"/>
          <c:tx>
            <c:strRef>
              <c:f>Hoja1!$B$1</c:f>
              <c:strCache>
                <c:ptCount val="1"/>
                <c:pt idx="0">
                  <c:v>Serie 1</c:v>
                </c:pt>
              </c:strCache>
            </c:strRef>
          </c:tx>
          <c:dLbls>
            <c:dLbl>
              <c:idx val="0"/>
              <c:layout>
                <c:manualLayout>
                  <c:x val="-1.5175998724090501E-2"/>
                  <c:y val="-0.174633616971267"/>
                </c:manualLayout>
              </c:layout>
              <c:tx>
                <c:rich>
                  <a:bodyPr/>
                  <a:lstStyle/>
                  <a:p>
                    <a:r>
                      <a:rPr lang="en-US"/>
                      <a:t>0,00 %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AE6-45AD-9FA2-3BAD459FC866}"/>
                </c:ext>
              </c:extLst>
            </c:dLbl>
            <c:dLbl>
              <c:idx val="1"/>
              <c:layout>
                <c:manualLayout>
                  <c:x val="9.9452422160657694E-3"/>
                  <c:y val="-0.119875576048389"/>
                </c:manualLayout>
              </c:layout>
              <c:tx>
                <c:rich>
                  <a:bodyPr/>
                  <a:lstStyle/>
                  <a:p>
                    <a:r>
                      <a:rPr lang="en-US"/>
                      <a:t>26.00 %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AE6-45AD-9FA2-3BAD459FC866}"/>
                </c:ext>
              </c:extLst>
            </c:dLbl>
            <c:dLbl>
              <c:idx val="2"/>
              <c:layout>
                <c:manualLayout>
                  <c:x val="2.5462962962963E-2"/>
                  <c:y val="-7.5396825396825407E-2"/>
                </c:manualLayout>
              </c:layout>
              <c:tx>
                <c:rich>
                  <a:bodyPr/>
                  <a:lstStyle/>
                  <a:p>
                    <a:r>
                      <a:rPr lang="en-US"/>
                      <a:t>33 %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AE6-45AD-9FA2-3BAD459FC866}"/>
                </c:ext>
              </c:extLst>
            </c:dLbl>
            <c:dLbl>
              <c:idx val="3"/>
              <c:layout>
                <c:manualLayout>
                  <c:x val="-1.20030007501875E-2"/>
                  <c:y val="-0.17305831372539199"/>
                </c:manualLayout>
              </c:layout>
              <c:tx>
                <c:rich>
                  <a:bodyPr/>
                  <a:lstStyle/>
                  <a:p>
                    <a:r>
                      <a:rPr lang="en-US"/>
                      <a:t>12.90 %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AE6-45AD-9FA2-3BAD459FC866}"/>
                </c:ext>
              </c:extLst>
            </c:dLbl>
            <c:dLbl>
              <c:idx val="4"/>
              <c:layout>
                <c:manualLayout>
                  <c:x val="9.0022505626405503E-3"/>
                  <c:y val="-1.2702445220705001E-2"/>
                </c:manualLayout>
              </c:layout>
              <c:tx>
                <c:rich>
                  <a:bodyPr/>
                  <a:lstStyle/>
                  <a:p>
                    <a:r>
                      <a:rPr lang="en-US"/>
                      <a:t>28 %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AE6-45AD-9FA2-3BAD459FC866}"/>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Hoja1!$A$2:$A$6</c:f>
              <c:strCache>
                <c:ptCount val="5"/>
                <c:pt idx="0">
                  <c:v>total desacuerdo</c:v>
                </c:pt>
                <c:pt idx="1">
                  <c:v>desacuerdo</c:v>
                </c:pt>
                <c:pt idx="2">
                  <c:v>ni acuerdo ni desacuerdo</c:v>
                </c:pt>
                <c:pt idx="3">
                  <c:v>acuerdo</c:v>
                </c:pt>
                <c:pt idx="4">
                  <c:v>total acuerdo</c:v>
                </c:pt>
              </c:strCache>
            </c:strRef>
          </c:cat>
          <c:val>
            <c:numRef>
              <c:f>Hoja1!$B$2:$B$6</c:f>
              <c:numCache>
                <c:formatCode>0.00%</c:formatCode>
                <c:ptCount val="5"/>
                <c:pt idx="0">
                  <c:v>0</c:v>
                </c:pt>
                <c:pt idx="1">
                  <c:v>0.26</c:v>
                </c:pt>
                <c:pt idx="2" formatCode="0%">
                  <c:v>0.32500000000000001</c:v>
                </c:pt>
                <c:pt idx="3">
                  <c:v>0.129</c:v>
                </c:pt>
                <c:pt idx="4" formatCode="0%">
                  <c:v>0.28100000000000003</c:v>
                </c:pt>
              </c:numCache>
            </c:numRef>
          </c:val>
          <c:smooth val="0"/>
          <c:extLst xmlns:c16r2="http://schemas.microsoft.com/office/drawing/2015/06/chart">
            <c:ext xmlns:c16="http://schemas.microsoft.com/office/drawing/2014/chart" uri="{C3380CC4-5D6E-409C-BE32-E72D297353CC}">
              <c16:uniqueId val="{00000005-BAE6-45AD-9FA2-3BAD459FC866}"/>
            </c:ext>
          </c:extLst>
        </c:ser>
        <c:dLbls>
          <c:showLegendKey val="0"/>
          <c:showVal val="1"/>
          <c:showCatName val="0"/>
          <c:showSerName val="0"/>
          <c:showPercent val="0"/>
          <c:showBubbleSize val="0"/>
        </c:dLbls>
        <c:axId val="184612736"/>
        <c:axId val="184615680"/>
        <c:axId val="426031296"/>
      </c:line3DChart>
      <c:catAx>
        <c:axId val="184612736"/>
        <c:scaling>
          <c:orientation val="minMax"/>
        </c:scaling>
        <c:delete val="0"/>
        <c:axPos val="b"/>
        <c:numFmt formatCode="General" sourceLinked="0"/>
        <c:majorTickMark val="none"/>
        <c:minorTickMark val="none"/>
        <c:tickLblPos val="nextTo"/>
        <c:txPr>
          <a:bodyPr/>
          <a:lstStyle/>
          <a:p>
            <a:pPr>
              <a:defRPr>
                <a:latin typeface="Times New Roman"/>
                <a:cs typeface="Times New Roman"/>
              </a:defRPr>
            </a:pPr>
            <a:endParaRPr lang="es-MX"/>
          </a:p>
        </c:txPr>
        <c:crossAx val="184615680"/>
        <c:crosses val="autoZero"/>
        <c:auto val="1"/>
        <c:lblAlgn val="ctr"/>
        <c:lblOffset val="100"/>
        <c:noMultiLvlLbl val="0"/>
      </c:catAx>
      <c:valAx>
        <c:axId val="184615680"/>
        <c:scaling>
          <c:orientation val="minMax"/>
        </c:scaling>
        <c:delete val="1"/>
        <c:axPos val="l"/>
        <c:majorGridlines/>
        <c:numFmt formatCode="0.00%" sourceLinked="1"/>
        <c:majorTickMark val="none"/>
        <c:minorTickMark val="none"/>
        <c:tickLblPos val="nextTo"/>
        <c:crossAx val="184612736"/>
        <c:crosses val="autoZero"/>
        <c:crossBetween val="between"/>
      </c:valAx>
      <c:serAx>
        <c:axId val="426031296"/>
        <c:scaling>
          <c:orientation val="minMax"/>
        </c:scaling>
        <c:delete val="1"/>
        <c:axPos val="b"/>
        <c:majorTickMark val="out"/>
        <c:minorTickMark val="none"/>
        <c:tickLblPos val="nextTo"/>
        <c:crossAx val="184615680"/>
        <c:crosses val="autoZero"/>
      </c:ser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17"/>
    </mc:Choice>
    <mc:Fallback>
      <c:style val="17"/>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Hoja1!$B$1</c:f>
              <c:strCache>
                <c:ptCount val="1"/>
                <c:pt idx="0">
                  <c:v>Serie 1</c:v>
                </c:pt>
              </c:strCache>
            </c:strRef>
          </c:tx>
          <c:invertIfNegative val="0"/>
          <c:cat>
            <c:strRef>
              <c:f>Hoja1!$A$2:$A$6</c:f>
              <c:strCache>
                <c:ptCount val="5"/>
                <c:pt idx="0">
                  <c:v>total desacuerdo</c:v>
                </c:pt>
                <c:pt idx="1">
                  <c:v>desacuerdo</c:v>
                </c:pt>
                <c:pt idx="2">
                  <c:v>ni acuerdo ni desacuerdo</c:v>
                </c:pt>
                <c:pt idx="3">
                  <c:v>de acuerdo</c:v>
                </c:pt>
                <c:pt idx="4">
                  <c:v>totalmente de acuerdo</c:v>
                </c:pt>
              </c:strCache>
            </c:strRef>
          </c:cat>
          <c:val>
            <c:numRef>
              <c:f>Hoja1!$B$2:$B$6</c:f>
              <c:numCache>
                <c:formatCode>0.00%</c:formatCode>
                <c:ptCount val="5"/>
                <c:pt idx="0" formatCode="0%">
                  <c:v>0.18</c:v>
                </c:pt>
                <c:pt idx="1">
                  <c:v>5.5E-2</c:v>
                </c:pt>
                <c:pt idx="2">
                  <c:v>0.46500000000000002</c:v>
                </c:pt>
                <c:pt idx="3" formatCode="0%">
                  <c:v>0.2</c:v>
                </c:pt>
                <c:pt idx="4" formatCode="0%">
                  <c:v>0.1</c:v>
                </c:pt>
              </c:numCache>
            </c:numRef>
          </c:val>
          <c:extLst xmlns:c16r2="http://schemas.microsoft.com/office/drawing/2015/06/chart">
            <c:ext xmlns:c16="http://schemas.microsoft.com/office/drawing/2014/chart" uri="{C3380CC4-5D6E-409C-BE32-E72D297353CC}">
              <c16:uniqueId val="{00000000-24EE-4B36-BBA8-CCBF4E365EAF}"/>
            </c:ext>
          </c:extLst>
        </c:ser>
        <c:dLbls>
          <c:showLegendKey val="0"/>
          <c:showVal val="0"/>
          <c:showCatName val="0"/>
          <c:showSerName val="0"/>
          <c:showPercent val="0"/>
          <c:showBubbleSize val="0"/>
        </c:dLbls>
        <c:gapWidth val="150"/>
        <c:shape val="cylinder"/>
        <c:axId val="185247616"/>
        <c:axId val="185249152"/>
        <c:axId val="0"/>
      </c:bar3DChart>
      <c:catAx>
        <c:axId val="185247616"/>
        <c:scaling>
          <c:orientation val="minMax"/>
        </c:scaling>
        <c:delete val="0"/>
        <c:axPos val="l"/>
        <c:numFmt formatCode="General" sourceLinked="0"/>
        <c:majorTickMark val="out"/>
        <c:minorTickMark val="none"/>
        <c:tickLblPos val="nextTo"/>
        <c:txPr>
          <a:bodyPr/>
          <a:lstStyle/>
          <a:p>
            <a:pPr>
              <a:defRPr>
                <a:latin typeface="Times New Roman"/>
                <a:cs typeface="Times New Roman"/>
              </a:defRPr>
            </a:pPr>
            <a:endParaRPr lang="es-MX"/>
          </a:p>
        </c:txPr>
        <c:crossAx val="185249152"/>
        <c:crosses val="autoZero"/>
        <c:auto val="1"/>
        <c:lblAlgn val="ctr"/>
        <c:lblOffset val="100"/>
        <c:noMultiLvlLbl val="0"/>
      </c:catAx>
      <c:valAx>
        <c:axId val="185249152"/>
        <c:scaling>
          <c:orientation val="minMax"/>
        </c:scaling>
        <c:delete val="0"/>
        <c:axPos val="b"/>
        <c:majorGridlines/>
        <c:numFmt formatCode="0%" sourceLinked="1"/>
        <c:majorTickMark val="out"/>
        <c:minorTickMark val="none"/>
        <c:tickLblPos val="nextTo"/>
        <c:crossAx val="185247616"/>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17"/>
    </mc:Choice>
    <mc:Fallback>
      <c:style val="17"/>
    </mc:Fallback>
  </mc:AlternateContent>
  <c:chart>
    <c:title>
      <c:tx>
        <c:rich>
          <a:bodyPr/>
          <a:lstStyle/>
          <a:p>
            <a:pPr>
              <a:defRPr>
                <a:latin typeface="Times New Roman"/>
                <a:cs typeface="Times New Roman"/>
              </a:defRPr>
            </a:pPr>
            <a:r>
              <a:rPr lang="es-ES" sz="1200">
                <a:latin typeface="Times New Roman"/>
                <a:cs typeface="Times New Roman"/>
              </a:rPr>
              <a:t>Falta de cultura hacia el ahorro para el momento de su jubilación</a:t>
            </a:r>
          </a:p>
        </c:rich>
      </c:tx>
      <c:overlay val="0"/>
    </c:title>
    <c:autoTitleDeleted val="0"/>
    <c:plotArea>
      <c:layout/>
      <c:ofPieChart>
        <c:ofPieType val="bar"/>
        <c:varyColors val="1"/>
        <c:ser>
          <c:idx val="0"/>
          <c:order val="0"/>
          <c:tx>
            <c:strRef>
              <c:f>Hoja1!$B$1</c:f>
              <c:strCache>
                <c:ptCount val="1"/>
                <c:pt idx="0">
                  <c:v>Ventas</c:v>
                </c:pt>
              </c:strCache>
            </c:strRef>
          </c:tx>
          <c:explosion val="53"/>
          <c:dLbls>
            <c:dLbl>
              <c:idx val="0"/>
              <c:layout>
                <c:manualLayout>
                  <c:x val="1.48396033829105E-2"/>
                  <c:y val="8.0277777777777795E-2"/>
                </c:manualLayout>
              </c:layout>
              <c:tx>
                <c:rich>
                  <a:bodyPr/>
                  <a:lstStyle/>
                  <a:p>
                    <a:r>
                      <a:rPr lang="en-US"/>
                      <a:t>en total desacuerdo
13 %</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B3D-49D3-92BE-54C50DB7FB53}"/>
                </c:ext>
              </c:extLst>
            </c:dLbl>
            <c:dLbl>
              <c:idx val="1"/>
              <c:layout>
                <c:manualLayout>
                  <c:x val="5.0891112569262202E-2"/>
                  <c:y val="5.2324709411323599E-3"/>
                </c:manualLayout>
              </c:layout>
              <c:tx>
                <c:rich>
                  <a:bodyPr/>
                  <a:lstStyle/>
                  <a:p>
                    <a:r>
                      <a:rPr lang="en-US"/>
                      <a:t>en desacuerdo
3 %</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B3D-49D3-92BE-54C50DB7FB53}"/>
                </c:ext>
              </c:extLst>
            </c:dLbl>
            <c:dLbl>
              <c:idx val="2"/>
              <c:layout>
                <c:manualLayout>
                  <c:x val="-9.2592592592592605E-3"/>
                  <c:y val="-0.13888888888888901"/>
                </c:manualLayout>
              </c:layout>
              <c:tx>
                <c:rich>
                  <a:bodyPr/>
                  <a:lstStyle/>
                  <a:p>
                    <a:r>
                      <a:rPr lang="en-US"/>
                      <a:t>ni acuerdo ni desacuerdo
0 %</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B3D-49D3-92BE-54C50DB7FB53}"/>
                </c:ext>
              </c:extLst>
            </c:dLbl>
            <c:dLbl>
              <c:idx val="3"/>
              <c:tx>
                <c:rich>
                  <a:bodyPr/>
                  <a:lstStyle/>
                  <a:p>
                    <a:r>
                      <a:rPr lang="en-US"/>
                      <a:t>de acuerdo
22 %</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B3D-49D3-92BE-54C50DB7FB53}"/>
                </c:ext>
              </c:extLst>
            </c:dLbl>
            <c:dLbl>
              <c:idx val="4"/>
              <c:tx>
                <c:rich>
                  <a:bodyPr/>
                  <a:lstStyle/>
                  <a:p>
                    <a:r>
                      <a:rPr lang="en-US"/>
                      <a:t>totalmente de acuerdo
62 %</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B3D-49D3-92BE-54C50DB7FB53}"/>
                </c:ext>
              </c:extLst>
            </c:dLbl>
            <c:dLbl>
              <c:idx val="5"/>
              <c:tx>
                <c:rich>
                  <a:bodyPr/>
                  <a:lstStyle/>
                  <a:p>
                    <a:r>
                      <a:rPr lang="en-US"/>
                      <a:t>Otros
84 %</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B3D-49D3-92BE-54C50DB7FB53}"/>
                </c:ext>
              </c:extLst>
            </c:dLbl>
            <c:spPr>
              <a:noFill/>
              <a:ln>
                <a:noFill/>
              </a:ln>
              <a:effectLst/>
            </c:spPr>
            <c:txPr>
              <a:bodyPr/>
              <a:lstStyle/>
              <a:p>
                <a:pPr>
                  <a:defRPr sz="800"/>
                </a:pPr>
                <a:endParaRPr lang="es-MX"/>
              </a:p>
            </c:txPr>
            <c:dLblPos val="bestFit"/>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Hoja1!$A$2:$A$6</c:f>
              <c:strCache>
                <c:ptCount val="5"/>
                <c:pt idx="0">
                  <c:v>en total desacuerdo</c:v>
                </c:pt>
                <c:pt idx="1">
                  <c:v>en desacuerdo</c:v>
                </c:pt>
                <c:pt idx="2">
                  <c:v>ni acuerdo ni desacuerdo</c:v>
                </c:pt>
                <c:pt idx="3">
                  <c:v>de acuerdo</c:v>
                </c:pt>
                <c:pt idx="4">
                  <c:v>totalmente de acuerdo</c:v>
                </c:pt>
              </c:strCache>
            </c:strRef>
          </c:cat>
          <c:val>
            <c:numRef>
              <c:f>Hoja1!$B$2:$B$6</c:f>
              <c:numCache>
                <c:formatCode>0.00%</c:formatCode>
                <c:ptCount val="5"/>
                <c:pt idx="0" formatCode="0%">
                  <c:v>0.13</c:v>
                </c:pt>
                <c:pt idx="1">
                  <c:v>2.7E-2</c:v>
                </c:pt>
                <c:pt idx="2" formatCode="0%">
                  <c:v>0</c:v>
                </c:pt>
                <c:pt idx="3">
                  <c:v>0.223</c:v>
                </c:pt>
                <c:pt idx="4" formatCode="0%">
                  <c:v>0.62</c:v>
                </c:pt>
              </c:numCache>
            </c:numRef>
          </c:val>
          <c:extLst xmlns:c16r2="http://schemas.microsoft.com/office/drawing/2015/06/chart">
            <c:ext xmlns:c16="http://schemas.microsoft.com/office/drawing/2014/chart" uri="{C3380CC4-5D6E-409C-BE32-E72D297353CC}">
              <c16:uniqueId val="{00000006-1B3D-49D3-92BE-54C50DB7FB53}"/>
            </c:ext>
          </c:extLst>
        </c:ser>
        <c:dLbls>
          <c:dLblPos val="bestFit"/>
          <c:showLegendKey val="0"/>
          <c:showVal val="0"/>
          <c:showCatName val="1"/>
          <c:showSerName val="0"/>
          <c:showPercent val="1"/>
          <c:showBubbleSize val="0"/>
          <c:showLeaderLines val="1"/>
        </c:dLbls>
        <c:gapWidth val="100"/>
        <c:secondPieSize val="100"/>
        <c:serLines/>
      </c:ofPie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49B06-EB02-4945-9724-7918032FA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6447</Words>
  <Characters>35461</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UANL</Company>
  <LinksUpToDate>false</LinksUpToDate>
  <CharactersWithSpaces>41825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Colmenares Cantu</dc:creator>
  <cp:lastModifiedBy>Gustavo Toledo Andrade</cp:lastModifiedBy>
  <cp:revision>6</cp:revision>
  <cp:lastPrinted>2016-01-15T16:27:00Z</cp:lastPrinted>
  <dcterms:created xsi:type="dcterms:W3CDTF">2016-04-21T12:42:00Z</dcterms:created>
  <dcterms:modified xsi:type="dcterms:W3CDTF">2017-03-25T17:06:00Z</dcterms:modified>
</cp:coreProperties>
</file>