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3AA51" w14:textId="4589CC25" w:rsidR="00C1341E" w:rsidRPr="00EE69DB" w:rsidRDefault="00EE69DB">
      <w:pPr>
        <w:spacing w:before="240" w:after="240"/>
        <w:jc w:val="right"/>
        <w:rPr>
          <w:b/>
          <w:i/>
          <w:iCs/>
        </w:rPr>
      </w:pPr>
      <w:r w:rsidRPr="00EE69DB">
        <w:rPr>
          <w:b/>
          <w:i/>
          <w:iCs/>
        </w:rPr>
        <w:t>https://doi.org/10.23913/ride.v15i29.2115</w:t>
      </w:r>
    </w:p>
    <w:p w14:paraId="2459B7B3" w14:textId="77777777" w:rsidR="00C1341E" w:rsidRDefault="00000000">
      <w:pPr>
        <w:spacing w:before="240" w:after="240"/>
        <w:jc w:val="right"/>
      </w:pPr>
      <w:r>
        <w:rPr>
          <w:b/>
          <w:i/>
          <w:color w:val="000000"/>
        </w:rPr>
        <w:t>Artículos científicos</w:t>
      </w:r>
    </w:p>
    <w:p w14:paraId="20E91270" w14:textId="77777777" w:rsidR="00C1341E" w:rsidRDefault="00000000">
      <w:pPr>
        <w:spacing w:line="276" w:lineRule="auto"/>
        <w:jc w:val="right"/>
        <w:rPr>
          <w:rFonts w:ascii="Calibri" w:eastAsia="Calibri" w:hAnsi="Calibri" w:cs="Calibri"/>
          <w:b/>
          <w:sz w:val="32"/>
          <w:szCs w:val="32"/>
        </w:rPr>
      </w:pPr>
      <w:r>
        <w:rPr>
          <w:rFonts w:ascii="Calibri" w:eastAsia="Calibri" w:hAnsi="Calibri" w:cs="Calibri"/>
          <w:b/>
          <w:sz w:val="32"/>
          <w:szCs w:val="32"/>
        </w:rPr>
        <w:t>Trabajo colaborativo y expectativa docente en el proceso inclusivo de una región peruana</w:t>
      </w:r>
    </w:p>
    <w:p w14:paraId="2875264F" w14:textId="77777777" w:rsidR="00C1341E" w:rsidRDefault="00000000">
      <w:pPr>
        <w:spacing w:line="276" w:lineRule="auto"/>
        <w:jc w:val="right"/>
        <w:rPr>
          <w:rFonts w:ascii="Calibri" w:eastAsia="Calibri" w:hAnsi="Calibri" w:cs="Calibri"/>
          <w:b/>
          <w:i/>
          <w:sz w:val="28"/>
          <w:szCs w:val="28"/>
        </w:rPr>
      </w:pPr>
      <w:r>
        <w:rPr>
          <w:rFonts w:ascii="Calibri" w:eastAsia="Calibri" w:hAnsi="Calibri" w:cs="Calibri"/>
          <w:b/>
          <w:i/>
          <w:sz w:val="28"/>
          <w:szCs w:val="28"/>
        </w:rPr>
        <w:br/>
      </w:r>
      <w:proofErr w:type="spellStart"/>
      <w:r>
        <w:rPr>
          <w:rFonts w:ascii="Calibri" w:eastAsia="Calibri" w:hAnsi="Calibri" w:cs="Calibri"/>
          <w:b/>
          <w:i/>
          <w:sz w:val="28"/>
          <w:szCs w:val="28"/>
        </w:rPr>
        <w:t>Collaborative</w:t>
      </w:r>
      <w:proofErr w:type="spellEnd"/>
      <w:r>
        <w:rPr>
          <w:rFonts w:ascii="Calibri" w:eastAsia="Calibri" w:hAnsi="Calibri" w:cs="Calibri"/>
          <w:b/>
          <w:i/>
          <w:sz w:val="28"/>
          <w:szCs w:val="28"/>
        </w:rPr>
        <w:t xml:space="preserve"> </w:t>
      </w:r>
      <w:proofErr w:type="spellStart"/>
      <w:r>
        <w:rPr>
          <w:rFonts w:ascii="Calibri" w:eastAsia="Calibri" w:hAnsi="Calibri" w:cs="Calibri"/>
          <w:b/>
          <w:i/>
          <w:sz w:val="28"/>
          <w:szCs w:val="28"/>
        </w:rPr>
        <w:t>work</w:t>
      </w:r>
      <w:proofErr w:type="spellEnd"/>
      <w:r>
        <w:rPr>
          <w:rFonts w:ascii="Calibri" w:eastAsia="Calibri" w:hAnsi="Calibri" w:cs="Calibri"/>
          <w:b/>
          <w:i/>
          <w:sz w:val="28"/>
          <w:szCs w:val="28"/>
        </w:rPr>
        <w:t xml:space="preserve"> and </w:t>
      </w:r>
      <w:proofErr w:type="spellStart"/>
      <w:r>
        <w:rPr>
          <w:rFonts w:ascii="Calibri" w:eastAsia="Calibri" w:hAnsi="Calibri" w:cs="Calibri"/>
          <w:b/>
          <w:i/>
          <w:sz w:val="28"/>
          <w:szCs w:val="28"/>
        </w:rPr>
        <w:t>teachers</w:t>
      </w:r>
      <w:proofErr w:type="spellEnd"/>
      <w:r>
        <w:rPr>
          <w:rFonts w:ascii="Calibri" w:eastAsia="Calibri" w:hAnsi="Calibri" w:cs="Calibri"/>
          <w:b/>
          <w:i/>
          <w:sz w:val="28"/>
          <w:szCs w:val="28"/>
        </w:rPr>
        <w:t xml:space="preserve">' </w:t>
      </w:r>
      <w:proofErr w:type="spellStart"/>
      <w:r>
        <w:rPr>
          <w:rFonts w:ascii="Calibri" w:eastAsia="Calibri" w:hAnsi="Calibri" w:cs="Calibri"/>
          <w:b/>
          <w:i/>
          <w:sz w:val="28"/>
          <w:szCs w:val="28"/>
        </w:rPr>
        <w:t>expectations</w:t>
      </w:r>
      <w:proofErr w:type="spellEnd"/>
      <w:r>
        <w:rPr>
          <w:rFonts w:ascii="Calibri" w:eastAsia="Calibri" w:hAnsi="Calibri" w:cs="Calibri"/>
          <w:b/>
          <w:i/>
          <w:sz w:val="28"/>
          <w:szCs w:val="28"/>
        </w:rPr>
        <w:t xml:space="preserve"> in </w:t>
      </w:r>
      <w:proofErr w:type="spellStart"/>
      <w:r>
        <w:rPr>
          <w:rFonts w:ascii="Calibri" w:eastAsia="Calibri" w:hAnsi="Calibri" w:cs="Calibri"/>
          <w:b/>
          <w:i/>
          <w:sz w:val="28"/>
          <w:szCs w:val="28"/>
        </w:rPr>
        <w:t>the</w:t>
      </w:r>
      <w:proofErr w:type="spellEnd"/>
      <w:r>
        <w:rPr>
          <w:rFonts w:ascii="Calibri" w:eastAsia="Calibri" w:hAnsi="Calibri" w:cs="Calibri"/>
          <w:b/>
          <w:i/>
          <w:sz w:val="28"/>
          <w:szCs w:val="28"/>
        </w:rPr>
        <w:t xml:space="preserve"> inclusive </w:t>
      </w:r>
      <w:proofErr w:type="spellStart"/>
      <w:r>
        <w:rPr>
          <w:rFonts w:ascii="Calibri" w:eastAsia="Calibri" w:hAnsi="Calibri" w:cs="Calibri"/>
          <w:b/>
          <w:i/>
          <w:sz w:val="28"/>
          <w:szCs w:val="28"/>
        </w:rPr>
        <w:t>process</w:t>
      </w:r>
      <w:proofErr w:type="spellEnd"/>
      <w:r>
        <w:rPr>
          <w:rFonts w:ascii="Calibri" w:eastAsia="Calibri" w:hAnsi="Calibri" w:cs="Calibri"/>
          <w:b/>
          <w:i/>
          <w:sz w:val="28"/>
          <w:szCs w:val="28"/>
        </w:rPr>
        <w:t xml:space="preserve"> </w:t>
      </w:r>
      <w:proofErr w:type="spellStart"/>
      <w:r>
        <w:rPr>
          <w:rFonts w:ascii="Calibri" w:eastAsia="Calibri" w:hAnsi="Calibri" w:cs="Calibri"/>
          <w:b/>
          <w:i/>
          <w:sz w:val="28"/>
          <w:szCs w:val="28"/>
        </w:rPr>
        <w:t>of</w:t>
      </w:r>
      <w:proofErr w:type="spellEnd"/>
      <w:r>
        <w:rPr>
          <w:rFonts w:ascii="Calibri" w:eastAsia="Calibri" w:hAnsi="Calibri" w:cs="Calibri"/>
          <w:b/>
          <w:i/>
          <w:sz w:val="28"/>
          <w:szCs w:val="28"/>
        </w:rPr>
        <w:t xml:space="preserve"> a Peruvian </w:t>
      </w:r>
      <w:proofErr w:type="spellStart"/>
      <w:r>
        <w:rPr>
          <w:rFonts w:ascii="Calibri" w:eastAsia="Calibri" w:hAnsi="Calibri" w:cs="Calibri"/>
          <w:b/>
          <w:i/>
          <w:sz w:val="28"/>
          <w:szCs w:val="28"/>
        </w:rPr>
        <w:t>region</w:t>
      </w:r>
      <w:proofErr w:type="spellEnd"/>
    </w:p>
    <w:p w14:paraId="314B7373" w14:textId="77777777" w:rsidR="00C1341E" w:rsidRDefault="00000000">
      <w:pPr>
        <w:spacing w:line="276" w:lineRule="auto"/>
        <w:jc w:val="right"/>
        <w:rPr>
          <w:rFonts w:ascii="Calibri" w:eastAsia="Calibri" w:hAnsi="Calibri" w:cs="Calibri"/>
          <w:b/>
          <w:i/>
          <w:sz w:val="28"/>
          <w:szCs w:val="28"/>
        </w:rPr>
      </w:pPr>
      <w:r>
        <w:rPr>
          <w:rFonts w:ascii="Calibri" w:eastAsia="Calibri" w:hAnsi="Calibri" w:cs="Calibri"/>
          <w:b/>
          <w:i/>
          <w:sz w:val="28"/>
          <w:szCs w:val="28"/>
        </w:rPr>
        <w:br/>
      </w:r>
      <w:proofErr w:type="spellStart"/>
      <w:r>
        <w:rPr>
          <w:rFonts w:ascii="Calibri" w:eastAsia="Calibri" w:hAnsi="Calibri" w:cs="Calibri"/>
          <w:b/>
          <w:i/>
          <w:sz w:val="28"/>
          <w:szCs w:val="28"/>
        </w:rPr>
        <w:t>Trabalho</w:t>
      </w:r>
      <w:proofErr w:type="spellEnd"/>
      <w:r>
        <w:rPr>
          <w:rFonts w:ascii="Calibri" w:eastAsia="Calibri" w:hAnsi="Calibri" w:cs="Calibri"/>
          <w:b/>
          <w:i/>
          <w:sz w:val="28"/>
          <w:szCs w:val="28"/>
        </w:rPr>
        <w:t xml:space="preserve"> colaborativo </w:t>
      </w:r>
      <w:proofErr w:type="gramStart"/>
      <w:r>
        <w:rPr>
          <w:rFonts w:ascii="Calibri" w:eastAsia="Calibri" w:hAnsi="Calibri" w:cs="Calibri"/>
          <w:b/>
          <w:i/>
          <w:sz w:val="28"/>
          <w:szCs w:val="28"/>
        </w:rPr>
        <w:t>e</w:t>
      </w:r>
      <w:proofErr w:type="gramEnd"/>
      <w:r>
        <w:rPr>
          <w:rFonts w:ascii="Calibri" w:eastAsia="Calibri" w:hAnsi="Calibri" w:cs="Calibri"/>
          <w:b/>
          <w:i/>
          <w:sz w:val="28"/>
          <w:szCs w:val="28"/>
        </w:rPr>
        <w:t xml:space="preserve"> expectativa docente no </w:t>
      </w:r>
      <w:proofErr w:type="spellStart"/>
      <w:r>
        <w:rPr>
          <w:rFonts w:ascii="Calibri" w:eastAsia="Calibri" w:hAnsi="Calibri" w:cs="Calibri"/>
          <w:b/>
          <w:i/>
          <w:sz w:val="28"/>
          <w:szCs w:val="28"/>
        </w:rPr>
        <w:t>processo</w:t>
      </w:r>
      <w:proofErr w:type="spellEnd"/>
      <w:r>
        <w:rPr>
          <w:rFonts w:ascii="Calibri" w:eastAsia="Calibri" w:hAnsi="Calibri" w:cs="Calibri"/>
          <w:b/>
          <w:i/>
          <w:sz w:val="28"/>
          <w:szCs w:val="28"/>
        </w:rPr>
        <w:t xml:space="preserve"> inclusivo de </w:t>
      </w:r>
      <w:proofErr w:type="spellStart"/>
      <w:r>
        <w:rPr>
          <w:rFonts w:ascii="Calibri" w:eastAsia="Calibri" w:hAnsi="Calibri" w:cs="Calibri"/>
          <w:b/>
          <w:i/>
          <w:sz w:val="28"/>
          <w:szCs w:val="28"/>
        </w:rPr>
        <w:t>uma</w:t>
      </w:r>
      <w:proofErr w:type="spellEnd"/>
      <w:r>
        <w:rPr>
          <w:rFonts w:ascii="Calibri" w:eastAsia="Calibri" w:hAnsi="Calibri" w:cs="Calibri"/>
          <w:b/>
          <w:i/>
          <w:sz w:val="28"/>
          <w:szCs w:val="28"/>
        </w:rPr>
        <w:t xml:space="preserve"> </w:t>
      </w:r>
      <w:proofErr w:type="spellStart"/>
      <w:r>
        <w:rPr>
          <w:rFonts w:ascii="Calibri" w:eastAsia="Calibri" w:hAnsi="Calibri" w:cs="Calibri"/>
          <w:b/>
          <w:i/>
          <w:sz w:val="28"/>
          <w:szCs w:val="28"/>
        </w:rPr>
        <w:t>região</w:t>
      </w:r>
      <w:proofErr w:type="spellEnd"/>
      <w:r>
        <w:rPr>
          <w:rFonts w:ascii="Calibri" w:eastAsia="Calibri" w:hAnsi="Calibri" w:cs="Calibri"/>
          <w:b/>
          <w:i/>
          <w:sz w:val="28"/>
          <w:szCs w:val="28"/>
        </w:rPr>
        <w:t xml:space="preserve"> peruana</w:t>
      </w:r>
    </w:p>
    <w:p w14:paraId="3698D8F2" w14:textId="77777777" w:rsidR="00C1341E" w:rsidRDefault="00C1341E">
      <w:pPr>
        <w:jc w:val="center"/>
        <w:rPr>
          <w:b/>
        </w:rPr>
      </w:pPr>
    </w:p>
    <w:p w14:paraId="20C79169" w14:textId="77777777" w:rsidR="00C1341E" w:rsidRDefault="00000000">
      <w:pPr>
        <w:spacing w:line="276" w:lineRule="auto"/>
        <w:jc w:val="right"/>
        <w:rPr>
          <w:rFonts w:ascii="Calibri" w:eastAsia="Calibri" w:hAnsi="Calibri" w:cs="Calibri"/>
          <w:b/>
        </w:rPr>
      </w:pPr>
      <w:proofErr w:type="spellStart"/>
      <w:r>
        <w:rPr>
          <w:rFonts w:ascii="Calibri" w:eastAsia="Calibri" w:hAnsi="Calibri" w:cs="Calibri"/>
          <w:b/>
        </w:rPr>
        <w:t>Heydi</w:t>
      </w:r>
      <w:proofErr w:type="spellEnd"/>
      <w:r>
        <w:rPr>
          <w:rFonts w:ascii="Calibri" w:eastAsia="Calibri" w:hAnsi="Calibri" w:cs="Calibri"/>
          <w:b/>
        </w:rPr>
        <w:t xml:space="preserve"> Tananta Vásquez</w:t>
      </w:r>
    </w:p>
    <w:p w14:paraId="2322264A" w14:textId="2E5C128F" w:rsidR="00C1341E" w:rsidRDefault="00000000">
      <w:pPr>
        <w:spacing w:line="276" w:lineRule="auto"/>
        <w:jc w:val="right"/>
      </w:pPr>
      <w:bookmarkStart w:id="0" w:name="_gjdgxs" w:colFirst="0" w:colLast="0"/>
      <w:bookmarkEnd w:id="0"/>
      <w:r>
        <w:t>Universidad César Vallejo, Perú</w:t>
      </w:r>
    </w:p>
    <w:p w14:paraId="1A4574D2" w14:textId="759F64BE" w:rsidR="00227DD7" w:rsidRPr="00227DD7" w:rsidRDefault="00227DD7">
      <w:pPr>
        <w:spacing w:line="276" w:lineRule="auto"/>
        <w:jc w:val="right"/>
        <w:rPr>
          <w:rFonts w:asciiTheme="majorHAnsi" w:hAnsiTheme="majorHAnsi" w:cstheme="majorHAnsi"/>
          <w:color w:val="FF0000"/>
        </w:rPr>
      </w:pPr>
      <w:r w:rsidRPr="00227DD7">
        <w:rPr>
          <w:rFonts w:asciiTheme="majorHAnsi" w:hAnsiTheme="majorHAnsi" w:cstheme="majorHAnsi"/>
          <w:color w:val="FF0000"/>
        </w:rPr>
        <w:t>Htananta@ucv.edu.pe</w:t>
      </w:r>
    </w:p>
    <w:p w14:paraId="7023A0BF" w14:textId="4AC52F79" w:rsidR="00C1341E" w:rsidRDefault="00000000">
      <w:pPr>
        <w:spacing w:line="276" w:lineRule="auto"/>
        <w:jc w:val="right"/>
      </w:pPr>
      <w:r w:rsidRPr="00227DD7">
        <w:t>https://orcid.org/0000-0002-8555-8606</w:t>
      </w:r>
    </w:p>
    <w:p w14:paraId="60B56D03" w14:textId="77777777" w:rsidR="00C1341E" w:rsidRDefault="00C1341E">
      <w:pPr>
        <w:spacing w:line="276" w:lineRule="auto"/>
        <w:jc w:val="right"/>
        <w:rPr>
          <w:rFonts w:ascii="Calibri" w:eastAsia="Calibri" w:hAnsi="Calibri" w:cs="Calibri"/>
          <w:b/>
        </w:rPr>
      </w:pPr>
    </w:p>
    <w:p w14:paraId="2B23EBDA" w14:textId="77777777" w:rsidR="00C1341E" w:rsidRDefault="00000000">
      <w:pPr>
        <w:spacing w:line="276" w:lineRule="auto"/>
        <w:jc w:val="right"/>
        <w:rPr>
          <w:rFonts w:ascii="Calibri" w:eastAsia="Calibri" w:hAnsi="Calibri" w:cs="Calibri"/>
          <w:b/>
        </w:rPr>
      </w:pPr>
      <w:r>
        <w:rPr>
          <w:rFonts w:ascii="Calibri" w:eastAsia="Calibri" w:hAnsi="Calibri" w:cs="Calibri"/>
          <w:b/>
        </w:rPr>
        <w:t>Juan Rafael Juárez Diaz</w:t>
      </w:r>
    </w:p>
    <w:p w14:paraId="1C1BC2EB" w14:textId="76595220" w:rsidR="00C1341E" w:rsidRDefault="00000000">
      <w:pPr>
        <w:spacing w:line="276" w:lineRule="auto"/>
        <w:jc w:val="right"/>
      </w:pPr>
      <w:r>
        <w:t>Universidad Nacional de San Martín, Perú</w:t>
      </w:r>
    </w:p>
    <w:p w14:paraId="2031B423" w14:textId="77777777" w:rsidR="00227DD7" w:rsidRPr="00227DD7" w:rsidRDefault="00227DD7" w:rsidP="00227DD7">
      <w:pPr>
        <w:spacing w:line="276" w:lineRule="auto"/>
        <w:jc w:val="right"/>
        <w:rPr>
          <w:rFonts w:asciiTheme="majorHAnsi" w:hAnsiTheme="majorHAnsi" w:cstheme="majorHAnsi"/>
          <w:color w:val="FF0000"/>
        </w:rPr>
      </w:pPr>
      <w:r w:rsidRPr="00227DD7">
        <w:rPr>
          <w:rFonts w:asciiTheme="majorHAnsi" w:hAnsiTheme="majorHAnsi" w:cstheme="majorHAnsi"/>
          <w:color w:val="FF0000"/>
        </w:rPr>
        <w:t>jrjuarezd@unsm.edu.pe</w:t>
      </w:r>
    </w:p>
    <w:p w14:paraId="7011781A" w14:textId="7B99CE1E" w:rsidR="00C1341E" w:rsidRDefault="00000000">
      <w:pPr>
        <w:spacing w:line="276" w:lineRule="auto"/>
        <w:jc w:val="right"/>
      </w:pPr>
      <w:r w:rsidRPr="00227DD7">
        <w:t>https://orcid.org/0000-0002-8113-6932</w:t>
      </w:r>
    </w:p>
    <w:p w14:paraId="5A883E3A" w14:textId="77777777" w:rsidR="00C1341E" w:rsidRDefault="00C1341E">
      <w:pPr>
        <w:spacing w:line="276" w:lineRule="auto"/>
        <w:jc w:val="right"/>
        <w:rPr>
          <w:rFonts w:ascii="Calibri" w:eastAsia="Calibri" w:hAnsi="Calibri" w:cs="Calibri"/>
          <w:b/>
        </w:rPr>
      </w:pPr>
      <w:bookmarkStart w:id="1" w:name="_30j0zll" w:colFirst="0" w:colLast="0"/>
      <w:bookmarkStart w:id="2" w:name="_xoc4x1t1p5bo" w:colFirst="0" w:colLast="0"/>
      <w:bookmarkEnd w:id="1"/>
      <w:bookmarkEnd w:id="2"/>
    </w:p>
    <w:p w14:paraId="37C81FD2" w14:textId="77777777" w:rsidR="00C1341E" w:rsidRDefault="00000000">
      <w:pPr>
        <w:spacing w:line="276" w:lineRule="auto"/>
        <w:jc w:val="right"/>
        <w:rPr>
          <w:rFonts w:ascii="Calibri" w:eastAsia="Calibri" w:hAnsi="Calibri" w:cs="Calibri"/>
          <w:b/>
        </w:rPr>
      </w:pPr>
      <w:bookmarkStart w:id="3" w:name="_ksnkycdbbflb" w:colFirst="0" w:colLast="0"/>
      <w:bookmarkEnd w:id="3"/>
      <w:proofErr w:type="spellStart"/>
      <w:r>
        <w:rPr>
          <w:rFonts w:ascii="Calibri" w:eastAsia="Calibri" w:hAnsi="Calibri" w:cs="Calibri"/>
          <w:b/>
        </w:rPr>
        <w:t>Pacita</w:t>
      </w:r>
      <w:proofErr w:type="spellEnd"/>
      <w:r>
        <w:rPr>
          <w:rFonts w:ascii="Calibri" w:eastAsia="Calibri" w:hAnsi="Calibri" w:cs="Calibri"/>
          <w:b/>
        </w:rPr>
        <w:t xml:space="preserve"> Mercedes Mozombite Tenazoa</w:t>
      </w:r>
    </w:p>
    <w:p w14:paraId="13799295" w14:textId="2F28F19B" w:rsidR="00C1341E" w:rsidRDefault="00000000">
      <w:pPr>
        <w:spacing w:line="276" w:lineRule="auto"/>
        <w:jc w:val="right"/>
      </w:pPr>
      <w:r>
        <w:t>Universidad Nacional de San Martín, Perú</w:t>
      </w:r>
    </w:p>
    <w:p w14:paraId="521A6182" w14:textId="77777777" w:rsidR="00227DD7" w:rsidRPr="00227DD7" w:rsidRDefault="00227DD7" w:rsidP="00227DD7">
      <w:pPr>
        <w:spacing w:line="276" w:lineRule="auto"/>
        <w:jc w:val="right"/>
        <w:rPr>
          <w:rFonts w:asciiTheme="majorHAnsi" w:hAnsiTheme="majorHAnsi" w:cstheme="majorHAnsi"/>
          <w:color w:val="FF0000"/>
        </w:rPr>
      </w:pPr>
      <w:r w:rsidRPr="00227DD7">
        <w:rPr>
          <w:rFonts w:asciiTheme="majorHAnsi" w:hAnsiTheme="majorHAnsi" w:cstheme="majorHAnsi"/>
          <w:color w:val="FF0000"/>
        </w:rPr>
        <w:t>pmmozombitet@unsm.edu.pe</w:t>
      </w:r>
    </w:p>
    <w:p w14:paraId="39F9290F" w14:textId="6C4213D5" w:rsidR="00C1341E" w:rsidRDefault="00000000">
      <w:pPr>
        <w:spacing w:line="276" w:lineRule="auto"/>
        <w:jc w:val="right"/>
      </w:pPr>
      <w:r w:rsidRPr="00227DD7">
        <w:t>https://orcid.org/0000-0003-2629-4812</w:t>
      </w:r>
    </w:p>
    <w:p w14:paraId="3A1F465A" w14:textId="77777777" w:rsidR="00C1341E" w:rsidRDefault="00C1341E"/>
    <w:p w14:paraId="5CDABB18" w14:textId="77777777" w:rsidR="00C1341E" w:rsidRDefault="00000000">
      <w:pPr>
        <w:rPr>
          <w:rFonts w:ascii="Calibri" w:eastAsia="Calibri" w:hAnsi="Calibri" w:cs="Calibri"/>
          <w:sz w:val="28"/>
          <w:szCs w:val="28"/>
        </w:rPr>
      </w:pPr>
      <w:bookmarkStart w:id="4" w:name="_1fob9te" w:colFirst="0" w:colLast="0"/>
      <w:bookmarkEnd w:id="4"/>
      <w:r>
        <w:rPr>
          <w:rFonts w:ascii="Calibri" w:eastAsia="Calibri" w:hAnsi="Calibri" w:cs="Calibri"/>
          <w:b/>
          <w:sz w:val="28"/>
          <w:szCs w:val="28"/>
        </w:rPr>
        <w:t>Resumen</w:t>
      </w:r>
    </w:p>
    <w:p w14:paraId="4E485DBC" w14:textId="77777777" w:rsidR="00C1341E" w:rsidRDefault="00000000">
      <w:r>
        <w:t>La inclusión educativa es un proceso complejo que se comprende plenamente cuando se toman en cuenta las actitudes de la comunidad educativa, particularmente del personal docente, ya que son elementos esenciales para abordar la diversidad en las poblaciones estudiantiles. Este estudio tuvo como objetivo principal establecer la relación entre el trabajo colaborativo y las expectativas docentes en el proceso de inclusión de estudiantes con discapacidad en educación básica.</w:t>
      </w:r>
    </w:p>
    <w:p w14:paraId="4940E337" w14:textId="77777777" w:rsidR="00C1341E" w:rsidRDefault="00000000">
      <w:r>
        <w:lastRenderedPageBreak/>
        <w:t>El estudio utilizó un diseño correlacional con una muestra de 78 docentes, seleccionados mediante muestreo por conveniencia (M = 39.56; DS = 7.32). Se emplearon dos instrumentos: una escala de expectativas y un cuestionario sobre trabajo colaborativo, ambos diseñados para evaluar los niveles de estas variables.</w:t>
      </w:r>
    </w:p>
    <w:p w14:paraId="5959A0BA" w14:textId="77777777" w:rsidR="00C1341E" w:rsidRDefault="00000000">
      <w:r>
        <w:t>Los resultados revelaron que las dimensiones de trabajo en equipo y reconocimiento están vinculadas con las expectativas docentes, aunque no se encontró relación con los objetivos grupales. En cuanto al trabajo colaborativo, la percepción más común fue de nivel regular, reportada por el 48.72% de los participantes, lo que refleja una percepción media. Asimismo, el 35.90% percibió un nivel insatisfactorio, mientras que el 15.38% señaló un nivel satisfactorio. En cuanto a las expectativas docentes, el nivel medio fue el más frecuente, con un 53.85%, seguido por un nivel alto en un 24.36%.</w:t>
      </w:r>
    </w:p>
    <w:p w14:paraId="5E77E10D" w14:textId="77777777" w:rsidR="00C1341E" w:rsidRDefault="00000000">
      <w:r>
        <w:t>La conclusión de este estudio confirmó la existencia de una relación significativa entre el trabajo colaborativo y las expectativas docentes. Estos hallazgos pueden contribuir de manera importante a una mejor comprensión y manejo de la inclusión educativa de estudiantes con discapacidad en los entornos escolares.</w:t>
      </w:r>
    </w:p>
    <w:p w14:paraId="380195A0" w14:textId="149DDB70" w:rsidR="00C1341E" w:rsidRDefault="00000000">
      <w:r>
        <w:rPr>
          <w:rFonts w:ascii="Calibri" w:eastAsia="Calibri" w:hAnsi="Calibri" w:cs="Calibri"/>
          <w:b/>
          <w:sz w:val="28"/>
          <w:szCs w:val="28"/>
        </w:rPr>
        <w:t>Palabras clave:</w:t>
      </w:r>
      <w:r>
        <w:t xml:space="preserve"> actitud, conducta, expectativa, trabajo en equipo, satisfacción</w:t>
      </w:r>
      <w:r w:rsidR="00227DD7">
        <w:t>.</w:t>
      </w:r>
    </w:p>
    <w:p w14:paraId="2FD5F62A" w14:textId="77777777" w:rsidR="00C1341E" w:rsidRDefault="00C1341E"/>
    <w:p w14:paraId="3E517755" w14:textId="77777777" w:rsidR="00C1341E" w:rsidRDefault="00000000">
      <w:pPr>
        <w:rPr>
          <w:rFonts w:ascii="Calibri" w:eastAsia="Calibri" w:hAnsi="Calibri" w:cs="Calibri"/>
          <w:b/>
          <w:sz w:val="28"/>
          <w:szCs w:val="28"/>
        </w:rPr>
      </w:pPr>
      <w:bookmarkStart w:id="5" w:name="_3znysh7" w:colFirst="0" w:colLast="0"/>
      <w:bookmarkEnd w:id="5"/>
      <w:proofErr w:type="spellStart"/>
      <w:r>
        <w:rPr>
          <w:rFonts w:ascii="Calibri" w:eastAsia="Calibri" w:hAnsi="Calibri" w:cs="Calibri"/>
          <w:b/>
          <w:sz w:val="28"/>
          <w:szCs w:val="28"/>
        </w:rPr>
        <w:t>Abstract</w:t>
      </w:r>
      <w:proofErr w:type="spellEnd"/>
    </w:p>
    <w:p w14:paraId="565BDC0F" w14:textId="77777777" w:rsidR="00C1341E" w:rsidRDefault="00000000">
      <w:proofErr w:type="spellStart"/>
      <w:r>
        <w:t>Educational</w:t>
      </w:r>
      <w:proofErr w:type="spellEnd"/>
      <w:r>
        <w:t xml:space="preserve"> </w:t>
      </w:r>
      <w:proofErr w:type="spellStart"/>
      <w:r>
        <w:t>inclusion</w:t>
      </w:r>
      <w:proofErr w:type="spellEnd"/>
      <w:r>
        <w:t xml:space="preserve"> </w:t>
      </w:r>
      <w:proofErr w:type="spellStart"/>
      <w:r>
        <w:t>is</w:t>
      </w:r>
      <w:proofErr w:type="spellEnd"/>
      <w:r>
        <w:t xml:space="preserve"> a </w:t>
      </w:r>
      <w:proofErr w:type="spellStart"/>
      <w:r>
        <w:t>complex</w:t>
      </w:r>
      <w:proofErr w:type="spellEnd"/>
      <w:r>
        <w:t xml:space="preserve"> </w:t>
      </w:r>
      <w:proofErr w:type="spellStart"/>
      <w:r>
        <w:t>process</w:t>
      </w:r>
      <w:proofErr w:type="spellEnd"/>
      <w:r>
        <w:t xml:space="preserve"> </w:t>
      </w:r>
      <w:proofErr w:type="spellStart"/>
      <w:r>
        <w:t>that</w:t>
      </w:r>
      <w:proofErr w:type="spellEnd"/>
      <w:r>
        <w:t xml:space="preserve"> </w:t>
      </w:r>
      <w:proofErr w:type="spellStart"/>
      <w:r>
        <w:t>is</w:t>
      </w:r>
      <w:proofErr w:type="spellEnd"/>
      <w:r>
        <w:t xml:space="preserve"> </w:t>
      </w:r>
      <w:proofErr w:type="spellStart"/>
      <w:r>
        <w:t>fully</w:t>
      </w:r>
      <w:proofErr w:type="spellEnd"/>
      <w:r>
        <w:t xml:space="preserve"> </w:t>
      </w:r>
      <w:proofErr w:type="spellStart"/>
      <w:r>
        <w:t>understood</w:t>
      </w:r>
      <w:proofErr w:type="spellEnd"/>
      <w:r>
        <w:t xml:space="preserve"> </w:t>
      </w:r>
      <w:proofErr w:type="spellStart"/>
      <w:r>
        <w:t>when</w:t>
      </w:r>
      <w:proofErr w:type="spellEnd"/>
      <w:r>
        <w:t xml:space="preserve"> </w:t>
      </w:r>
      <w:proofErr w:type="spellStart"/>
      <w:r>
        <w:t>the</w:t>
      </w:r>
      <w:proofErr w:type="spellEnd"/>
      <w:r>
        <w:t xml:space="preserve"> </w:t>
      </w:r>
      <w:proofErr w:type="spellStart"/>
      <w:r>
        <w:t>attitudes</w:t>
      </w:r>
      <w:proofErr w:type="spellEnd"/>
      <w:r>
        <w:t xml:space="preserve"> </w:t>
      </w:r>
      <w:proofErr w:type="spellStart"/>
      <w:r>
        <w:t>of</w:t>
      </w:r>
      <w:proofErr w:type="spellEnd"/>
      <w:r>
        <w:t xml:space="preserve"> </w:t>
      </w:r>
      <w:proofErr w:type="spellStart"/>
      <w:r>
        <w:t>the</w:t>
      </w:r>
      <w:proofErr w:type="spellEnd"/>
      <w:r>
        <w:t xml:space="preserve"> </w:t>
      </w:r>
      <w:proofErr w:type="spellStart"/>
      <w:r>
        <w:t>educational</w:t>
      </w:r>
      <w:proofErr w:type="spellEnd"/>
      <w:r>
        <w:t xml:space="preserve"> </w:t>
      </w:r>
      <w:proofErr w:type="spellStart"/>
      <w:r>
        <w:t>community</w:t>
      </w:r>
      <w:proofErr w:type="spellEnd"/>
      <w:r>
        <w:t xml:space="preserve">, </w:t>
      </w:r>
      <w:proofErr w:type="spellStart"/>
      <w:r>
        <w:t>particularly</w:t>
      </w:r>
      <w:proofErr w:type="spellEnd"/>
      <w:r>
        <w:t xml:space="preserve"> </w:t>
      </w:r>
      <w:proofErr w:type="spellStart"/>
      <w:r>
        <w:t>teachers</w:t>
      </w:r>
      <w:proofErr w:type="spellEnd"/>
      <w:r>
        <w:t xml:space="preserve">, are </w:t>
      </w:r>
      <w:proofErr w:type="spellStart"/>
      <w:r>
        <w:t>considered</w:t>
      </w:r>
      <w:proofErr w:type="spellEnd"/>
      <w:r>
        <w:t xml:space="preserve">, as </w:t>
      </w:r>
      <w:proofErr w:type="spellStart"/>
      <w:r>
        <w:t>they</w:t>
      </w:r>
      <w:proofErr w:type="spellEnd"/>
      <w:r>
        <w:t xml:space="preserve"> are </w:t>
      </w:r>
      <w:proofErr w:type="spellStart"/>
      <w:r>
        <w:t>essential</w:t>
      </w:r>
      <w:proofErr w:type="spellEnd"/>
      <w:r>
        <w:t xml:space="preserve"> </w:t>
      </w:r>
      <w:proofErr w:type="spellStart"/>
      <w:r>
        <w:t>elements</w:t>
      </w:r>
      <w:proofErr w:type="spellEnd"/>
      <w:r>
        <w:t xml:space="preserve"> in </w:t>
      </w:r>
      <w:proofErr w:type="spellStart"/>
      <w:r>
        <w:t>addressing</w:t>
      </w:r>
      <w:proofErr w:type="spellEnd"/>
      <w:r>
        <w:t xml:space="preserve"> </w:t>
      </w:r>
      <w:proofErr w:type="spellStart"/>
      <w:r>
        <w:t>diversity</w:t>
      </w:r>
      <w:proofErr w:type="spellEnd"/>
      <w:r>
        <w:t xml:space="preserve"> in </w:t>
      </w:r>
      <w:proofErr w:type="spellStart"/>
      <w:r>
        <w:t>student</w:t>
      </w:r>
      <w:proofErr w:type="spellEnd"/>
      <w:r>
        <w:t xml:space="preserve"> </w:t>
      </w:r>
      <w:proofErr w:type="spellStart"/>
      <w:r>
        <w:t>populations</w:t>
      </w:r>
      <w:proofErr w:type="spellEnd"/>
      <w:r>
        <w:t xml:space="preserve">. </w:t>
      </w:r>
      <w:proofErr w:type="spellStart"/>
      <w:r>
        <w:t>The</w:t>
      </w:r>
      <w:proofErr w:type="spellEnd"/>
      <w:r>
        <w:t xml:space="preserve"> </w:t>
      </w:r>
      <w:proofErr w:type="spellStart"/>
      <w:r>
        <w:t>main</w:t>
      </w:r>
      <w:proofErr w:type="spellEnd"/>
      <w:r>
        <w:t xml:space="preserve"> </w:t>
      </w:r>
      <w:proofErr w:type="spellStart"/>
      <w:r>
        <w:t>objective</w:t>
      </w:r>
      <w:proofErr w:type="spellEnd"/>
      <w:r>
        <w:t xml:space="preserve"> </w:t>
      </w:r>
      <w:proofErr w:type="spellStart"/>
      <w:r>
        <w:t>of</w:t>
      </w:r>
      <w:proofErr w:type="spellEnd"/>
      <w:r>
        <w:t xml:space="preserve"> </w:t>
      </w:r>
      <w:proofErr w:type="spellStart"/>
      <w:r>
        <w:t>this</w:t>
      </w:r>
      <w:proofErr w:type="spellEnd"/>
      <w:r>
        <w:t xml:space="preserve"> </w:t>
      </w:r>
      <w:proofErr w:type="spellStart"/>
      <w:r>
        <w:t>study</w:t>
      </w:r>
      <w:proofErr w:type="spellEnd"/>
      <w:r>
        <w:t xml:space="preserve"> </w:t>
      </w:r>
      <w:proofErr w:type="spellStart"/>
      <w:r>
        <w:t>was</w:t>
      </w:r>
      <w:proofErr w:type="spellEnd"/>
      <w:r>
        <w:t xml:space="preserve"> </w:t>
      </w:r>
      <w:proofErr w:type="spellStart"/>
      <w:r>
        <w:t>to</w:t>
      </w:r>
      <w:proofErr w:type="spellEnd"/>
      <w:r>
        <w:t xml:space="preserve"> </w:t>
      </w:r>
      <w:proofErr w:type="spellStart"/>
      <w:r>
        <w:t>establish</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collaborative</w:t>
      </w:r>
      <w:proofErr w:type="spellEnd"/>
      <w:r>
        <w:t xml:space="preserve"> </w:t>
      </w:r>
      <w:proofErr w:type="spellStart"/>
      <w:r>
        <w:t>work</w:t>
      </w:r>
      <w:proofErr w:type="spellEnd"/>
      <w:r>
        <w:t xml:space="preserve"> and </w:t>
      </w:r>
      <w:proofErr w:type="spellStart"/>
      <w:r>
        <w:t>teacher</w:t>
      </w:r>
      <w:proofErr w:type="spellEnd"/>
      <w:r>
        <w:t xml:space="preserve"> </w:t>
      </w:r>
      <w:proofErr w:type="spellStart"/>
      <w:r>
        <w:t>expectations</w:t>
      </w:r>
      <w:proofErr w:type="spellEnd"/>
      <w:r>
        <w:t xml:space="preserve"> in </w:t>
      </w:r>
      <w:proofErr w:type="spellStart"/>
      <w:r>
        <w:t>the</w:t>
      </w:r>
      <w:proofErr w:type="spellEnd"/>
      <w:r>
        <w:t xml:space="preserve"> </w:t>
      </w:r>
      <w:proofErr w:type="spellStart"/>
      <w:r>
        <w:t>process</w:t>
      </w:r>
      <w:proofErr w:type="spellEnd"/>
      <w:r>
        <w:t xml:space="preserve"> </w:t>
      </w:r>
      <w:proofErr w:type="spellStart"/>
      <w:r>
        <w:t>of</w:t>
      </w:r>
      <w:proofErr w:type="spellEnd"/>
      <w:r>
        <w:t xml:space="preserve"> </w:t>
      </w:r>
      <w:proofErr w:type="spellStart"/>
      <w:r>
        <w:t>inclusion</w:t>
      </w:r>
      <w:proofErr w:type="spellEnd"/>
      <w:r>
        <w:t xml:space="preserve"> </w:t>
      </w:r>
      <w:proofErr w:type="spellStart"/>
      <w:r>
        <w:t>of</w:t>
      </w:r>
      <w:proofErr w:type="spellEnd"/>
      <w:r>
        <w:t xml:space="preserve"> </w:t>
      </w:r>
      <w:proofErr w:type="spellStart"/>
      <w:r>
        <w:t>students</w:t>
      </w:r>
      <w:proofErr w:type="spellEnd"/>
      <w:r>
        <w:t xml:space="preserve"> </w:t>
      </w:r>
      <w:proofErr w:type="spellStart"/>
      <w:r>
        <w:t>with</w:t>
      </w:r>
      <w:proofErr w:type="spellEnd"/>
      <w:r>
        <w:t xml:space="preserve"> </w:t>
      </w:r>
      <w:proofErr w:type="spellStart"/>
      <w:r>
        <w:t>disabilities</w:t>
      </w:r>
      <w:proofErr w:type="spellEnd"/>
      <w:r>
        <w:t xml:space="preserve"> in </w:t>
      </w:r>
      <w:proofErr w:type="spellStart"/>
      <w:r>
        <w:t>basic</w:t>
      </w:r>
      <w:proofErr w:type="spellEnd"/>
      <w:r>
        <w:t xml:space="preserve"> </w:t>
      </w:r>
      <w:proofErr w:type="spellStart"/>
      <w:r>
        <w:t>education</w:t>
      </w:r>
      <w:proofErr w:type="spellEnd"/>
      <w:r>
        <w:t>.</w:t>
      </w:r>
    </w:p>
    <w:p w14:paraId="1D15FFAC" w14:textId="77777777" w:rsidR="00C1341E" w:rsidRDefault="00000000">
      <w:proofErr w:type="spellStart"/>
      <w:r>
        <w:t>The</w:t>
      </w:r>
      <w:proofErr w:type="spellEnd"/>
      <w:r>
        <w:t xml:space="preserve"> </w:t>
      </w:r>
      <w:proofErr w:type="spellStart"/>
      <w:r>
        <w:t>study</w:t>
      </w:r>
      <w:proofErr w:type="spellEnd"/>
      <w:r>
        <w:t xml:space="preserve"> </w:t>
      </w:r>
      <w:proofErr w:type="spellStart"/>
      <w:r>
        <w:t>used</w:t>
      </w:r>
      <w:proofErr w:type="spellEnd"/>
      <w:r>
        <w:t xml:space="preserve"> a </w:t>
      </w:r>
      <w:proofErr w:type="spellStart"/>
      <w:r>
        <w:t>correlational</w:t>
      </w:r>
      <w:proofErr w:type="spellEnd"/>
      <w:r>
        <w:t xml:space="preserve"> </w:t>
      </w:r>
      <w:proofErr w:type="spellStart"/>
      <w:r>
        <w:t>design</w:t>
      </w:r>
      <w:proofErr w:type="spellEnd"/>
      <w:r>
        <w:t xml:space="preserve"> </w:t>
      </w:r>
      <w:proofErr w:type="spellStart"/>
      <w:r>
        <w:t>with</w:t>
      </w:r>
      <w:proofErr w:type="spellEnd"/>
      <w:r>
        <w:t xml:space="preserve"> a </w:t>
      </w:r>
      <w:proofErr w:type="spellStart"/>
      <w:r>
        <w:t>sample</w:t>
      </w:r>
      <w:proofErr w:type="spellEnd"/>
      <w:r>
        <w:t xml:space="preserve"> </w:t>
      </w:r>
      <w:proofErr w:type="spellStart"/>
      <w:r>
        <w:t>of</w:t>
      </w:r>
      <w:proofErr w:type="spellEnd"/>
      <w:r>
        <w:t xml:space="preserve"> 78 </w:t>
      </w:r>
      <w:proofErr w:type="spellStart"/>
      <w:r>
        <w:t>teachers</w:t>
      </w:r>
      <w:proofErr w:type="spellEnd"/>
      <w:r>
        <w:t xml:space="preserve">, </w:t>
      </w:r>
      <w:proofErr w:type="spellStart"/>
      <w:r>
        <w:t>selected</w:t>
      </w:r>
      <w:proofErr w:type="spellEnd"/>
      <w:r>
        <w:t xml:space="preserve"> </w:t>
      </w:r>
      <w:proofErr w:type="spellStart"/>
      <w:r>
        <w:t>by</w:t>
      </w:r>
      <w:proofErr w:type="spellEnd"/>
      <w:r>
        <w:t xml:space="preserve"> </w:t>
      </w:r>
      <w:proofErr w:type="spellStart"/>
      <w:r>
        <w:t>convenience</w:t>
      </w:r>
      <w:proofErr w:type="spellEnd"/>
      <w:r>
        <w:t xml:space="preserve"> </w:t>
      </w:r>
      <w:proofErr w:type="spellStart"/>
      <w:r>
        <w:t>sampling</w:t>
      </w:r>
      <w:proofErr w:type="spellEnd"/>
      <w:r>
        <w:t xml:space="preserve"> (M = 39.56; SD = 7.32). </w:t>
      </w:r>
      <w:proofErr w:type="spellStart"/>
      <w:r>
        <w:t>Two</w:t>
      </w:r>
      <w:proofErr w:type="spellEnd"/>
      <w:r>
        <w:t xml:space="preserve"> </w:t>
      </w:r>
      <w:proofErr w:type="spellStart"/>
      <w:r>
        <w:t>instruments</w:t>
      </w:r>
      <w:proofErr w:type="spellEnd"/>
      <w:r>
        <w:t xml:space="preserve"> </w:t>
      </w:r>
      <w:proofErr w:type="spellStart"/>
      <w:r>
        <w:t>were</w:t>
      </w:r>
      <w:proofErr w:type="spellEnd"/>
      <w:r>
        <w:t xml:space="preserve"> </w:t>
      </w:r>
      <w:proofErr w:type="spellStart"/>
      <w:r>
        <w:t>used</w:t>
      </w:r>
      <w:proofErr w:type="spellEnd"/>
      <w:r>
        <w:t xml:space="preserve">: </w:t>
      </w:r>
      <w:proofErr w:type="spellStart"/>
      <w:r>
        <w:t>an</w:t>
      </w:r>
      <w:proofErr w:type="spellEnd"/>
      <w:r>
        <w:t xml:space="preserve"> </w:t>
      </w:r>
      <w:proofErr w:type="spellStart"/>
      <w:r>
        <w:t>expectations</w:t>
      </w:r>
      <w:proofErr w:type="spellEnd"/>
      <w:r>
        <w:t xml:space="preserve"> </w:t>
      </w:r>
      <w:proofErr w:type="spellStart"/>
      <w:r>
        <w:t>scale</w:t>
      </w:r>
      <w:proofErr w:type="spellEnd"/>
      <w:r>
        <w:t xml:space="preserve"> and a </w:t>
      </w:r>
      <w:proofErr w:type="spellStart"/>
      <w:r>
        <w:t>questionnaire</w:t>
      </w:r>
      <w:proofErr w:type="spellEnd"/>
      <w:r>
        <w:t xml:space="preserve"> </w:t>
      </w:r>
      <w:proofErr w:type="spellStart"/>
      <w:r>
        <w:t>on</w:t>
      </w:r>
      <w:proofErr w:type="spellEnd"/>
      <w:r>
        <w:t xml:space="preserve"> </w:t>
      </w:r>
      <w:proofErr w:type="spellStart"/>
      <w:r>
        <w:t>collaborative</w:t>
      </w:r>
      <w:proofErr w:type="spellEnd"/>
      <w:r>
        <w:t xml:space="preserve"> </w:t>
      </w:r>
      <w:proofErr w:type="spellStart"/>
      <w:r>
        <w:t>work</w:t>
      </w:r>
      <w:proofErr w:type="spellEnd"/>
      <w:r>
        <w:t xml:space="preserve">, </w:t>
      </w:r>
      <w:proofErr w:type="spellStart"/>
      <w:r>
        <w:t>both</w:t>
      </w:r>
      <w:proofErr w:type="spellEnd"/>
      <w:r>
        <w:t xml:space="preserve"> </w:t>
      </w:r>
      <w:proofErr w:type="spellStart"/>
      <w:r>
        <w:t>designed</w:t>
      </w:r>
      <w:proofErr w:type="spellEnd"/>
      <w:r>
        <w:t xml:space="preserve"> </w:t>
      </w:r>
      <w:proofErr w:type="spellStart"/>
      <w:r>
        <w:t>to</w:t>
      </w:r>
      <w:proofErr w:type="spellEnd"/>
      <w:r>
        <w:t xml:space="preserve"> </w:t>
      </w:r>
      <w:proofErr w:type="spellStart"/>
      <w:r>
        <w:t>assess</w:t>
      </w:r>
      <w:proofErr w:type="spellEnd"/>
      <w:r>
        <w:t xml:space="preserve"> </w:t>
      </w:r>
      <w:proofErr w:type="spellStart"/>
      <w:r>
        <w:t>the</w:t>
      </w:r>
      <w:proofErr w:type="spellEnd"/>
      <w:r>
        <w:t xml:space="preserve"> </w:t>
      </w:r>
      <w:proofErr w:type="spellStart"/>
      <w:r>
        <w:t>levels</w:t>
      </w:r>
      <w:proofErr w:type="spellEnd"/>
      <w:r>
        <w:t xml:space="preserve"> </w:t>
      </w:r>
      <w:proofErr w:type="spellStart"/>
      <w:r>
        <w:t>of</w:t>
      </w:r>
      <w:proofErr w:type="spellEnd"/>
      <w:r>
        <w:t xml:space="preserve"> </w:t>
      </w:r>
      <w:proofErr w:type="spellStart"/>
      <w:r>
        <w:t>these</w:t>
      </w:r>
      <w:proofErr w:type="spellEnd"/>
      <w:r>
        <w:t xml:space="preserve"> variables.</w:t>
      </w:r>
    </w:p>
    <w:p w14:paraId="6FFE2340" w14:textId="77777777" w:rsidR="00C1341E" w:rsidRDefault="00000000">
      <w:proofErr w:type="spellStart"/>
      <w:r>
        <w:t>The</w:t>
      </w:r>
      <w:proofErr w:type="spellEnd"/>
      <w:r>
        <w:t xml:space="preserve"> </w:t>
      </w:r>
      <w:proofErr w:type="spellStart"/>
      <w:r>
        <w:t>results</w:t>
      </w:r>
      <w:proofErr w:type="spellEnd"/>
      <w:r>
        <w:t xml:space="preserve"> </w:t>
      </w:r>
      <w:proofErr w:type="spellStart"/>
      <w:r>
        <w:t>revealed</w:t>
      </w:r>
      <w:proofErr w:type="spellEnd"/>
      <w:r>
        <w:t xml:space="preserve"> </w:t>
      </w:r>
      <w:proofErr w:type="spellStart"/>
      <w:r>
        <w:t>that</w:t>
      </w:r>
      <w:proofErr w:type="spellEnd"/>
      <w:r>
        <w:t xml:space="preserve"> </w:t>
      </w:r>
      <w:proofErr w:type="spellStart"/>
      <w:r>
        <w:t>the</w:t>
      </w:r>
      <w:proofErr w:type="spellEnd"/>
      <w:r>
        <w:t xml:space="preserve"> </w:t>
      </w:r>
      <w:proofErr w:type="spellStart"/>
      <w:r>
        <w:t>dimensions</w:t>
      </w:r>
      <w:proofErr w:type="spellEnd"/>
      <w:r>
        <w:t xml:space="preserve"> </w:t>
      </w:r>
      <w:proofErr w:type="spellStart"/>
      <w:r>
        <w:t>of</w:t>
      </w:r>
      <w:proofErr w:type="spellEnd"/>
      <w:r>
        <w:t xml:space="preserve"> </w:t>
      </w:r>
      <w:proofErr w:type="spellStart"/>
      <w:r>
        <w:t>teamwork</w:t>
      </w:r>
      <w:proofErr w:type="spellEnd"/>
      <w:r>
        <w:t xml:space="preserve"> and </w:t>
      </w:r>
      <w:proofErr w:type="spellStart"/>
      <w:r>
        <w:t>recognition</w:t>
      </w:r>
      <w:proofErr w:type="spellEnd"/>
      <w:r>
        <w:t xml:space="preserve"> are </w:t>
      </w:r>
      <w:proofErr w:type="spellStart"/>
      <w:r>
        <w:t>linked</w:t>
      </w:r>
      <w:proofErr w:type="spellEnd"/>
      <w:r>
        <w:t xml:space="preserve"> </w:t>
      </w:r>
      <w:proofErr w:type="spellStart"/>
      <w:r>
        <w:t>to</w:t>
      </w:r>
      <w:proofErr w:type="spellEnd"/>
      <w:r>
        <w:t xml:space="preserve"> </w:t>
      </w:r>
      <w:proofErr w:type="spellStart"/>
      <w:r>
        <w:t>teacher</w:t>
      </w:r>
      <w:proofErr w:type="spellEnd"/>
      <w:r>
        <w:t xml:space="preserve"> </w:t>
      </w:r>
      <w:proofErr w:type="spellStart"/>
      <w:r>
        <w:t>expectations</w:t>
      </w:r>
      <w:proofErr w:type="spellEnd"/>
      <w:r>
        <w:t xml:space="preserve">, </w:t>
      </w:r>
      <w:proofErr w:type="spellStart"/>
      <w:r>
        <w:t>although</w:t>
      </w:r>
      <w:proofErr w:type="spellEnd"/>
      <w:r>
        <w:t xml:space="preserve"> no </w:t>
      </w:r>
      <w:proofErr w:type="spellStart"/>
      <w:r>
        <w:t>relationship</w:t>
      </w:r>
      <w:proofErr w:type="spellEnd"/>
      <w:r>
        <w:t xml:space="preserve"> </w:t>
      </w:r>
      <w:proofErr w:type="spellStart"/>
      <w:r>
        <w:t>was</w:t>
      </w:r>
      <w:proofErr w:type="spellEnd"/>
      <w:r>
        <w:t xml:space="preserve"> </w:t>
      </w:r>
      <w:proofErr w:type="spellStart"/>
      <w:r>
        <w:t>found</w:t>
      </w:r>
      <w:proofErr w:type="spellEnd"/>
      <w:r>
        <w:t xml:space="preserve"> </w:t>
      </w:r>
      <w:proofErr w:type="spellStart"/>
      <w:r>
        <w:t>with</w:t>
      </w:r>
      <w:proofErr w:type="spellEnd"/>
      <w:r>
        <w:t xml:space="preserve"> </w:t>
      </w:r>
      <w:proofErr w:type="spellStart"/>
      <w:r>
        <w:t>group</w:t>
      </w:r>
      <w:proofErr w:type="spellEnd"/>
      <w:r>
        <w:t xml:space="preserve"> </w:t>
      </w:r>
      <w:proofErr w:type="spellStart"/>
      <w:r>
        <w:t>objectives</w:t>
      </w:r>
      <w:proofErr w:type="spellEnd"/>
      <w:r>
        <w:t xml:space="preserve">. </w:t>
      </w:r>
      <w:proofErr w:type="spellStart"/>
      <w:r>
        <w:t>Regarding</w:t>
      </w:r>
      <w:proofErr w:type="spellEnd"/>
      <w:r>
        <w:t xml:space="preserve"> </w:t>
      </w:r>
      <w:proofErr w:type="spellStart"/>
      <w:r>
        <w:t>collaborative</w:t>
      </w:r>
      <w:proofErr w:type="spellEnd"/>
      <w:r>
        <w:t xml:space="preserve"> </w:t>
      </w:r>
      <w:proofErr w:type="spellStart"/>
      <w:r>
        <w:t>work</w:t>
      </w:r>
      <w:proofErr w:type="spellEnd"/>
      <w:r>
        <w:t xml:space="preserve">, </w:t>
      </w:r>
      <w:proofErr w:type="spellStart"/>
      <w:r>
        <w:t>the</w:t>
      </w:r>
      <w:proofErr w:type="spellEnd"/>
      <w:r>
        <w:t xml:space="preserve"> </w:t>
      </w:r>
      <w:proofErr w:type="spellStart"/>
      <w:r>
        <w:t>most</w:t>
      </w:r>
      <w:proofErr w:type="spellEnd"/>
      <w:r>
        <w:t xml:space="preserve"> </w:t>
      </w:r>
      <w:proofErr w:type="spellStart"/>
      <w:r>
        <w:t>common</w:t>
      </w:r>
      <w:proofErr w:type="spellEnd"/>
      <w:r>
        <w:t xml:space="preserve"> </w:t>
      </w:r>
      <w:proofErr w:type="spellStart"/>
      <w:r>
        <w:t>perception</w:t>
      </w:r>
      <w:proofErr w:type="spellEnd"/>
      <w:r>
        <w:t xml:space="preserve"> </w:t>
      </w:r>
      <w:proofErr w:type="spellStart"/>
      <w:r>
        <w:t>was</w:t>
      </w:r>
      <w:proofErr w:type="spellEnd"/>
      <w:r>
        <w:t xml:space="preserve"> </w:t>
      </w:r>
      <w:proofErr w:type="spellStart"/>
      <w:r>
        <w:t>of</w:t>
      </w:r>
      <w:proofErr w:type="spellEnd"/>
      <w:r>
        <w:t xml:space="preserve"> a regular </w:t>
      </w:r>
      <w:proofErr w:type="spellStart"/>
      <w:r>
        <w:t>level</w:t>
      </w:r>
      <w:proofErr w:type="spellEnd"/>
      <w:r>
        <w:t xml:space="preserve">, </w:t>
      </w:r>
      <w:proofErr w:type="spellStart"/>
      <w:r>
        <w:t>reported</w:t>
      </w:r>
      <w:proofErr w:type="spellEnd"/>
      <w:r>
        <w:t xml:space="preserve"> </w:t>
      </w:r>
      <w:proofErr w:type="spellStart"/>
      <w:r>
        <w:t>by</w:t>
      </w:r>
      <w:proofErr w:type="spellEnd"/>
      <w:r>
        <w:t xml:space="preserve"> 48.72% </w:t>
      </w:r>
      <w:proofErr w:type="spellStart"/>
      <w:r>
        <w:t>of</w:t>
      </w:r>
      <w:proofErr w:type="spellEnd"/>
      <w:r>
        <w:t xml:space="preserve"> </w:t>
      </w:r>
      <w:proofErr w:type="spellStart"/>
      <w:r>
        <w:t>the</w:t>
      </w:r>
      <w:proofErr w:type="spellEnd"/>
      <w:r>
        <w:t xml:space="preserve"> </w:t>
      </w:r>
      <w:proofErr w:type="spellStart"/>
      <w:r>
        <w:t>participants</w:t>
      </w:r>
      <w:proofErr w:type="spellEnd"/>
      <w:r>
        <w:t xml:space="preserve">, </w:t>
      </w:r>
      <w:proofErr w:type="spellStart"/>
      <w:r>
        <w:t>which</w:t>
      </w:r>
      <w:proofErr w:type="spellEnd"/>
      <w:r>
        <w:t xml:space="preserve"> </w:t>
      </w:r>
      <w:proofErr w:type="spellStart"/>
      <w:r>
        <w:t>reflects</w:t>
      </w:r>
      <w:proofErr w:type="spellEnd"/>
      <w:r>
        <w:t xml:space="preserve"> a </w:t>
      </w:r>
      <w:proofErr w:type="spellStart"/>
      <w:r>
        <w:t>medium</w:t>
      </w:r>
      <w:proofErr w:type="spellEnd"/>
      <w:r>
        <w:t xml:space="preserve"> </w:t>
      </w:r>
      <w:proofErr w:type="spellStart"/>
      <w:r>
        <w:t>perception</w:t>
      </w:r>
      <w:proofErr w:type="spellEnd"/>
      <w:r>
        <w:t xml:space="preserve">. </w:t>
      </w:r>
      <w:proofErr w:type="spellStart"/>
      <w:r>
        <w:t>Likewise</w:t>
      </w:r>
      <w:proofErr w:type="spellEnd"/>
      <w:r>
        <w:t xml:space="preserve">, 35.90% </w:t>
      </w:r>
      <w:proofErr w:type="spellStart"/>
      <w:r>
        <w:t>perceived</w:t>
      </w:r>
      <w:proofErr w:type="spellEnd"/>
      <w:r>
        <w:t xml:space="preserve"> </w:t>
      </w:r>
      <w:proofErr w:type="spellStart"/>
      <w:r>
        <w:t>an</w:t>
      </w:r>
      <w:proofErr w:type="spellEnd"/>
      <w:r>
        <w:t xml:space="preserve"> </w:t>
      </w:r>
      <w:proofErr w:type="spellStart"/>
      <w:r>
        <w:t>unsatisfactory</w:t>
      </w:r>
      <w:proofErr w:type="spellEnd"/>
      <w:r>
        <w:t xml:space="preserve"> </w:t>
      </w:r>
      <w:proofErr w:type="spellStart"/>
      <w:r>
        <w:t>level</w:t>
      </w:r>
      <w:proofErr w:type="spellEnd"/>
      <w:r>
        <w:t xml:space="preserve">, </w:t>
      </w:r>
      <w:proofErr w:type="spellStart"/>
      <w:r>
        <w:t>while</w:t>
      </w:r>
      <w:proofErr w:type="spellEnd"/>
      <w:r>
        <w:t xml:space="preserve"> 15.38% </w:t>
      </w:r>
      <w:proofErr w:type="spellStart"/>
      <w:r>
        <w:t>indicated</w:t>
      </w:r>
      <w:proofErr w:type="spellEnd"/>
      <w:r>
        <w:t xml:space="preserve"> a </w:t>
      </w:r>
      <w:proofErr w:type="spellStart"/>
      <w:r>
        <w:t>satisfactory</w:t>
      </w:r>
      <w:proofErr w:type="spellEnd"/>
      <w:r>
        <w:t xml:space="preserve"> </w:t>
      </w:r>
      <w:proofErr w:type="spellStart"/>
      <w:r>
        <w:t>level</w:t>
      </w:r>
      <w:proofErr w:type="spellEnd"/>
      <w:r>
        <w:t xml:space="preserve">. </w:t>
      </w:r>
      <w:proofErr w:type="spellStart"/>
      <w:r>
        <w:t>Regarding</w:t>
      </w:r>
      <w:proofErr w:type="spellEnd"/>
      <w:r>
        <w:t xml:space="preserve"> </w:t>
      </w:r>
      <w:proofErr w:type="spellStart"/>
      <w:r>
        <w:t>teacher</w:t>
      </w:r>
      <w:proofErr w:type="spellEnd"/>
      <w:r>
        <w:t xml:space="preserve"> </w:t>
      </w:r>
      <w:proofErr w:type="spellStart"/>
      <w:r>
        <w:t>expectations</w:t>
      </w:r>
      <w:proofErr w:type="spellEnd"/>
      <w:r>
        <w:t xml:space="preserve">, </w:t>
      </w:r>
      <w:proofErr w:type="spellStart"/>
      <w:r>
        <w:t>the</w:t>
      </w:r>
      <w:proofErr w:type="spellEnd"/>
      <w:r>
        <w:t xml:space="preserve"> </w:t>
      </w:r>
      <w:proofErr w:type="spellStart"/>
      <w:r>
        <w:t>medium</w:t>
      </w:r>
      <w:proofErr w:type="spellEnd"/>
      <w:r>
        <w:t xml:space="preserve"> </w:t>
      </w:r>
      <w:proofErr w:type="spellStart"/>
      <w:r>
        <w:t>level</w:t>
      </w:r>
      <w:proofErr w:type="spellEnd"/>
      <w:r>
        <w:t xml:space="preserve"> </w:t>
      </w:r>
      <w:proofErr w:type="spellStart"/>
      <w:r>
        <w:t>was</w:t>
      </w:r>
      <w:proofErr w:type="spellEnd"/>
      <w:r>
        <w:t xml:space="preserve"> </w:t>
      </w:r>
      <w:proofErr w:type="spellStart"/>
      <w:r>
        <w:t>the</w:t>
      </w:r>
      <w:proofErr w:type="spellEnd"/>
      <w:r>
        <w:t xml:space="preserve"> </w:t>
      </w:r>
      <w:proofErr w:type="spellStart"/>
      <w:r>
        <w:t>most</w:t>
      </w:r>
      <w:proofErr w:type="spellEnd"/>
      <w:r>
        <w:t xml:space="preserve"> </w:t>
      </w:r>
      <w:proofErr w:type="spellStart"/>
      <w:r>
        <w:t>frequent</w:t>
      </w:r>
      <w:proofErr w:type="spellEnd"/>
      <w:r>
        <w:t xml:space="preserve">, </w:t>
      </w:r>
      <w:proofErr w:type="spellStart"/>
      <w:r>
        <w:t>with</w:t>
      </w:r>
      <w:proofErr w:type="spellEnd"/>
      <w:r>
        <w:t xml:space="preserve"> 53.85%, </w:t>
      </w:r>
      <w:proofErr w:type="spellStart"/>
      <w:r>
        <w:t>followed</w:t>
      </w:r>
      <w:proofErr w:type="spellEnd"/>
      <w:r>
        <w:t xml:space="preserve"> </w:t>
      </w:r>
      <w:proofErr w:type="spellStart"/>
      <w:r>
        <w:t>by</w:t>
      </w:r>
      <w:proofErr w:type="spellEnd"/>
      <w:r>
        <w:t xml:space="preserve"> a </w:t>
      </w:r>
      <w:proofErr w:type="spellStart"/>
      <w:r>
        <w:t>high</w:t>
      </w:r>
      <w:proofErr w:type="spellEnd"/>
      <w:r>
        <w:t xml:space="preserve"> </w:t>
      </w:r>
      <w:proofErr w:type="spellStart"/>
      <w:r>
        <w:t>level</w:t>
      </w:r>
      <w:proofErr w:type="spellEnd"/>
      <w:r>
        <w:t xml:space="preserve"> at 24.36%.</w:t>
      </w:r>
    </w:p>
    <w:p w14:paraId="039B502E" w14:textId="77777777" w:rsidR="00C1341E" w:rsidRDefault="00000000">
      <w:proofErr w:type="spellStart"/>
      <w:r>
        <w:lastRenderedPageBreak/>
        <w:t>The</w:t>
      </w:r>
      <w:proofErr w:type="spellEnd"/>
      <w:r>
        <w:t xml:space="preserve"> </w:t>
      </w:r>
      <w:proofErr w:type="spellStart"/>
      <w:r>
        <w:t>conclusion</w:t>
      </w:r>
      <w:proofErr w:type="spellEnd"/>
      <w:r>
        <w:t xml:space="preserve"> </w:t>
      </w:r>
      <w:proofErr w:type="spellStart"/>
      <w:r>
        <w:t>of</w:t>
      </w:r>
      <w:proofErr w:type="spellEnd"/>
      <w:r>
        <w:t xml:space="preserve"> </w:t>
      </w:r>
      <w:proofErr w:type="spellStart"/>
      <w:r>
        <w:t>this</w:t>
      </w:r>
      <w:proofErr w:type="spellEnd"/>
      <w:r>
        <w:t xml:space="preserve"> </w:t>
      </w:r>
      <w:proofErr w:type="spellStart"/>
      <w:r>
        <w:t>study</w:t>
      </w:r>
      <w:proofErr w:type="spellEnd"/>
      <w:r>
        <w:t xml:space="preserve"> </w:t>
      </w:r>
      <w:proofErr w:type="spellStart"/>
      <w:r>
        <w:t>confirmed</w:t>
      </w:r>
      <w:proofErr w:type="spellEnd"/>
      <w:r>
        <w:t xml:space="preserve"> </w:t>
      </w:r>
      <w:proofErr w:type="spellStart"/>
      <w:r>
        <w:t>the</w:t>
      </w:r>
      <w:proofErr w:type="spellEnd"/>
      <w:r>
        <w:t xml:space="preserve"> </w:t>
      </w:r>
      <w:proofErr w:type="spellStart"/>
      <w:r>
        <w:t>existence</w:t>
      </w:r>
      <w:proofErr w:type="spellEnd"/>
      <w:r>
        <w:t xml:space="preserve"> </w:t>
      </w:r>
      <w:proofErr w:type="spellStart"/>
      <w:r>
        <w:t>of</w:t>
      </w:r>
      <w:proofErr w:type="spellEnd"/>
      <w:r>
        <w:t xml:space="preserve"> a </w:t>
      </w:r>
      <w:proofErr w:type="spellStart"/>
      <w:r>
        <w:t>significant</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collaborative</w:t>
      </w:r>
      <w:proofErr w:type="spellEnd"/>
      <w:r>
        <w:t xml:space="preserve"> </w:t>
      </w:r>
      <w:proofErr w:type="spellStart"/>
      <w:r>
        <w:t>work</w:t>
      </w:r>
      <w:proofErr w:type="spellEnd"/>
      <w:r>
        <w:t xml:space="preserve"> and </w:t>
      </w:r>
      <w:proofErr w:type="spellStart"/>
      <w:r>
        <w:t>teacher</w:t>
      </w:r>
      <w:proofErr w:type="spellEnd"/>
      <w:r>
        <w:t xml:space="preserve"> </w:t>
      </w:r>
      <w:proofErr w:type="spellStart"/>
      <w:r>
        <w:t>expectations</w:t>
      </w:r>
      <w:proofErr w:type="spellEnd"/>
      <w:r>
        <w:t xml:space="preserve">. </w:t>
      </w:r>
      <w:proofErr w:type="spellStart"/>
      <w:r>
        <w:t>These</w:t>
      </w:r>
      <w:proofErr w:type="spellEnd"/>
      <w:r>
        <w:t xml:space="preserve"> </w:t>
      </w:r>
      <w:proofErr w:type="spellStart"/>
      <w:r>
        <w:t>findings</w:t>
      </w:r>
      <w:proofErr w:type="spellEnd"/>
      <w:r>
        <w:t xml:space="preserve"> can </w:t>
      </w:r>
      <w:proofErr w:type="spellStart"/>
      <w:r>
        <w:t>contribute</w:t>
      </w:r>
      <w:proofErr w:type="spellEnd"/>
      <w:r>
        <w:t xml:space="preserve"> </w:t>
      </w:r>
      <w:proofErr w:type="spellStart"/>
      <w:r>
        <w:t>significantly</w:t>
      </w:r>
      <w:proofErr w:type="spellEnd"/>
      <w:r>
        <w:t xml:space="preserve"> </w:t>
      </w:r>
      <w:proofErr w:type="spellStart"/>
      <w:r>
        <w:t>to</w:t>
      </w:r>
      <w:proofErr w:type="spellEnd"/>
      <w:r>
        <w:t xml:space="preserve"> a </w:t>
      </w:r>
      <w:proofErr w:type="spellStart"/>
      <w:r>
        <w:t>better</w:t>
      </w:r>
      <w:proofErr w:type="spellEnd"/>
      <w:r>
        <w:t xml:space="preserve"> </w:t>
      </w:r>
      <w:proofErr w:type="spellStart"/>
      <w:r>
        <w:t>understanding</w:t>
      </w:r>
      <w:proofErr w:type="spellEnd"/>
      <w:r>
        <w:t xml:space="preserve"> and </w:t>
      </w:r>
      <w:proofErr w:type="spellStart"/>
      <w:r>
        <w:t>management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educational</w:t>
      </w:r>
      <w:proofErr w:type="spellEnd"/>
      <w:r>
        <w:t xml:space="preserve"> </w:t>
      </w:r>
      <w:proofErr w:type="spellStart"/>
      <w:r>
        <w:t>inclusion</w:t>
      </w:r>
      <w:proofErr w:type="spellEnd"/>
      <w:r>
        <w:t xml:space="preserve"> </w:t>
      </w:r>
      <w:proofErr w:type="spellStart"/>
      <w:r>
        <w:t>of</w:t>
      </w:r>
      <w:proofErr w:type="spellEnd"/>
      <w:r>
        <w:t xml:space="preserve"> </w:t>
      </w:r>
      <w:proofErr w:type="spellStart"/>
      <w:r>
        <w:t>students</w:t>
      </w:r>
      <w:proofErr w:type="spellEnd"/>
      <w:r>
        <w:t xml:space="preserve"> </w:t>
      </w:r>
      <w:proofErr w:type="spellStart"/>
      <w:r>
        <w:t>with</w:t>
      </w:r>
      <w:proofErr w:type="spellEnd"/>
      <w:r>
        <w:t xml:space="preserve"> </w:t>
      </w:r>
      <w:proofErr w:type="spellStart"/>
      <w:r>
        <w:t>disabilities</w:t>
      </w:r>
      <w:proofErr w:type="spellEnd"/>
      <w:r>
        <w:t xml:space="preserve"> in </w:t>
      </w:r>
      <w:proofErr w:type="spellStart"/>
      <w:r>
        <w:t>school</w:t>
      </w:r>
      <w:proofErr w:type="spellEnd"/>
      <w:r>
        <w:t xml:space="preserve"> </w:t>
      </w:r>
      <w:proofErr w:type="spellStart"/>
      <w:r>
        <w:t>settings</w:t>
      </w:r>
      <w:proofErr w:type="spellEnd"/>
      <w:r>
        <w:t>.</w:t>
      </w:r>
    </w:p>
    <w:p w14:paraId="785FA6FC" w14:textId="77777777" w:rsidR="00C1341E" w:rsidRDefault="00000000">
      <w:proofErr w:type="spellStart"/>
      <w:r>
        <w:rPr>
          <w:rFonts w:ascii="Calibri" w:eastAsia="Calibri" w:hAnsi="Calibri" w:cs="Calibri"/>
          <w:b/>
          <w:sz w:val="28"/>
          <w:szCs w:val="28"/>
        </w:rPr>
        <w:t>Keywords</w:t>
      </w:r>
      <w:proofErr w:type="spellEnd"/>
      <w:r>
        <w:rPr>
          <w:rFonts w:ascii="Calibri" w:eastAsia="Calibri" w:hAnsi="Calibri" w:cs="Calibri"/>
          <w:b/>
          <w:sz w:val="28"/>
          <w:szCs w:val="28"/>
        </w:rPr>
        <w:t>:</w:t>
      </w:r>
      <w:r>
        <w:t xml:space="preserve"> </w:t>
      </w:r>
      <w:proofErr w:type="spellStart"/>
      <w:r>
        <w:t>attitude</w:t>
      </w:r>
      <w:proofErr w:type="spellEnd"/>
      <w:r>
        <w:t xml:space="preserve">, </w:t>
      </w:r>
      <w:proofErr w:type="spellStart"/>
      <w:r>
        <w:t>behavior</w:t>
      </w:r>
      <w:proofErr w:type="spellEnd"/>
      <w:r>
        <w:t xml:space="preserve">, </w:t>
      </w:r>
      <w:proofErr w:type="spellStart"/>
      <w:r>
        <w:t>expectation</w:t>
      </w:r>
      <w:proofErr w:type="spellEnd"/>
      <w:r>
        <w:t xml:space="preserve">, </w:t>
      </w:r>
      <w:proofErr w:type="spellStart"/>
      <w:r>
        <w:t>teamwork</w:t>
      </w:r>
      <w:proofErr w:type="spellEnd"/>
      <w:r>
        <w:t xml:space="preserve">, </w:t>
      </w:r>
      <w:proofErr w:type="spellStart"/>
      <w:r>
        <w:t>satisfaction</w:t>
      </w:r>
      <w:proofErr w:type="spellEnd"/>
      <w:r>
        <w:t>.</w:t>
      </w:r>
    </w:p>
    <w:p w14:paraId="04006184" w14:textId="77777777" w:rsidR="00227DD7" w:rsidRDefault="00227DD7"/>
    <w:p w14:paraId="1099E238" w14:textId="3490085E" w:rsidR="00227DD7" w:rsidRPr="00227DD7" w:rsidRDefault="00227DD7">
      <w:pPr>
        <w:rPr>
          <w:rFonts w:ascii="Calibri" w:eastAsia="Calibri" w:hAnsi="Calibri" w:cs="Calibri"/>
          <w:b/>
          <w:sz w:val="28"/>
          <w:szCs w:val="28"/>
        </w:rPr>
      </w:pPr>
      <w:r w:rsidRPr="00227DD7">
        <w:rPr>
          <w:rFonts w:ascii="Calibri" w:eastAsia="Calibri" w:hAnsi="Calibri" w:cs="Calibri"/>
          <w:b/>
          <w:sz w:val="28"/>
          <w:szCs w:val="28"/>
        </w:rPr>
        <w:t>Resumo</w:t>
      </w:r>
    </w:p>
    <w:p w14:paraId="7BEC3292" w14:textId="77777777" w:rsidR="00227DD7" w:rsidRDefault="00227DD7" w:rsidP="00227DD7">
      <w:r>
        <w:t xml:space="preserve">A </w:t>
      </w:r>
      <w:proofErr w:type="spellStart"/>
      <w:r>
        <w:t>inclusão</w:t>
      </w:r>
      <w:proofErr w:type="spellEnd"/>
      <w:r>
        <w:t xml:space="preserve"> educativa é </w:t>
      </w:r>
      <w:proofErr w:type="spellStart"/>
      <w:r>
        <w:t>um</w:t>
      </w:r>
      <w:proofErr w:type="spellEnd"/>
      <w:r>
        <w:t xml:space="preserve"> </w:t>
      </w:r>
      <w:proofErr w:type="spellStart"/>
      <w:r>
        <w:t>processo</w:t>
      </w:r>
      <w:proofErr w:type="spellEnd"/>
      <w:r>
        <w:t xml:space="preserve"> complexo que é plenamente </w:t>
      </w:r>
      <w:proofErr w:type="spellStart"/>
      <w:r>
        <w:t>compreendido</w:t>
      </w:r>
      <w:proofErr w:type="spellEnd"/>
      <w:r>
        <w:t xml:space="preserve"> </w:t>
      </w:r>
      <w:proofErr w:type="spellStart"/>
      <w:r>
        <w:t>quando</w:t>
      </w:r>
      <w:proofErr w:type="spellEnd"/>
      <w:r>
        <w:t xml:space="preserve"> </w:t>
      </w:r>
      <w:proofErr w:type="spellStart"/>
      <w:r>
        <w:t>são</w:t>
      </w:r>
      <w:proofErr w:type="spellEnd"/>
      <w:r>
        <w:t xml:space="preserve"> </w:t>
      </w:r>
      <w:proofErr w:type="spellStart"/>
      <w:r>
        <w:t>tidas</w:t>
      </w:r>
      <w:proofErr w:type="spellEnd"/>
      <w:r>
        <w:t xml:space="preserve"> em conta as </w:t>
      </w:r>
      <w:proofErr w:type="spellStart"/>
      <w:r>
        <w:t>atitudes</w:t>
      </w:r>
      <w:proofErr w:type="spellEnd"/>
      <w:r>
        <w:t xml:space="preserve"> da </w:t>
      </w:r>
      <w:proofErr w:type="spellStart"/>
      <w:r>
        <w:t>comunidade</w:t>
      </w:r>
      <w:proofErr w:type="spellEnd"/>
      <w:r>
        <w:t xml:space="preserve"> educativa, em particular do </w:t>
      </w:r>
      <w:proofErr w:type="spellStart"/>
      <w:r>
        <w:t>corpo</w:t>
      </w:r>
      <w:proofErr w:type="spellEnd"/>
      <w:r>
        <w:t xml:space="preserve"> docente, </w:t>
      </w:r>
      <w:proofErr w:type="spellStart"/>
      <w:r>
        <w:t>uma</w:t>
      </w:r>
      <w:proofErr w:type="spellEnd"/>
      <w:r>
        <w:t xml:space="preserve"> vez que </w:t>
      </w:r>
      <w:proofErr w:type="spellStart"/>
      <w:r>
        <w:t>são</w:t>
      </w:r>
      <w:proofErr w:type="spellEnd"/>
      <w:r>
        <w:t xml:space="preserve"> elementos </w:t>
      </w:r>
      <w:proofErr w:type="spellStart"/>
      <w:r>
        <w:t>essenciais</w:t>
      </w:r>
      <w:proofErr w:type="spellEnd"/>
      <w:r>
        <w:t xml:space="preserve"> para abordar a </w:t>
      </w:r>
      <w:proofErr w:type="spellStart"/>
      <w:r>
        <w:t>diversidade</w:t>
      </w:r>
      <w:proofErr w:type="spellEnd"/>
      <w:r>
        <w:t xml:space="preserve"> </w:t>
      </w:r>
      <w:proofErr w:type="spellStart"/>
      <w:r>
        <w:t>nas</w:t>
      </w:r>
      <w:proofErr w:type="spellEnd"/>
      <w:r>
        <w:t xml:space="preserve"> </w:t>
      </w:r>
      <w:proofErr w:type="spellStart"/>
      <w:r>
        <w:t>populações</w:t>
      </w:r>
      <w:proofErr w:type="spellEnd"/>
      <w:r>
        <w:t xml:space="preserve"> </w:t>
      </w:r>
      <w:proofErr w:type="spellStart"/>
      <w:r>
        <w:t>estudantis</w:t>
      </w:r>
      <w:proofErr w:type="spellEnd"/>
      <w:r>
        <w:t xml:space="preserve">. O objetivo principal </w:t>
      </w:r>
      <w:proofErr w:type="spellStart"/>
      <w:r>
        <w:t>deste</w:t>
      </w:r>
      <w:proofErr w:type="spellEnd"/>
      <w:r>
        <w:t xml:space="preserve"> </w:t>
      </w:r>
      <w:proofErr w:type="spellStart"/>
      <w:r>
        <w:t>estudo</w:t>
      </w:r>
      <w:proofErr w:type="spellEnd"/>
      <w:r>
        <w:t xml:space="preserve"> </w:t>
      </w:r>
      <w:proofErr w:type="spellStart"/>
      <w:r>
        <w:t>foi</w:t>
      </w:r>
      <w:proofErr w:type="spellEnd"/>
      <w:r>
        <w:t xml:space="preserve"> </w:t>
      </w:r>
      <w:proofErr w:type="spellStart"/>
      <w:r>
        <w:t>estabelecer</w:t>
      </w:r>
      <w:proofErr w:type="spellEnd"/>
      <w:r>
        <w:t xml:space="preserve"> a </w:t>
      </w:r>
      <w:proofErr w:type="spellStart"/>
      <w:r>
        <w:t>relação</w:t>
      </w:r>
      <w:proofErr w:type="spellEnd"/>
      <w:r>
        <w:t xml:space="preserve"> entre o </w:t>
      </w:r>
      <w:proofErr w:type="spellStart"/>
      <w:r>
        <w:t>trabalho</w:t>
      </w:r>
      <w:proofErr w:type="spellEnd"/>
      <w:r>
        <w:t xml:space="preserve"> colaborativo </w:t>
      </w:r>
      <w:proofErr w:type="gramStart"/>
      <w:r>
        <w:t>e</w:t>
      </w:r>
      <w:proofErr w:type="gramEnd"/>
      <w:r>
        <w:t xml:space="preserve"> as expectativas docentes no </w:t>
      </w:r>
      <w:proofErr w:type="spellStart"/>
      <w:r>
        <w:t>processo</w:t>
      </w:r>
      <w:proofErr w:type="spellEnd"/>
      <w:r>
        <w:t xml:space="preserve"> de </w:t>
      </w:r>
      <w:proofErr w:type="spellStart"/>
      <w:r>
        <w:t>inclusão</w:t>
      </w:r>
      <w:proofErr w:type="spellEnd"/>
      <w:r>
        <w:t xml:space="preserve"> de </w:t>
      </w:r>
      <w:proofErr w:type="spellStart"/>
      <w:r>
        <w:t>alunos</w:t>
      </w:r>
      <w:proofErr w:type="spellEnd"/>
      <w:r>
        <w:t xml:space="preserve"> </w:t>
      </w:r>
      <w:proofErr w:type="spellStart"/>
      <w:r>
        <w:t>com</w:t>
      </w:r>
      <w:proofErr w:type="spellEnd"/>
      <w:r>
        <w:t xml:space="preserve"> </w:t>
      </w:r>
      <w:proofErr w:type="spellStart"/>
      <w:r>
        <w:t>deficiência</w:t>
      </w:r>
      <w:proofErr w:type="spellEnd"/>
      <w:r>
        <w:t xml:space="preserve"> </w:t>
      </w:r>
      <w:proofErr w:type="spellStart"/>
      <w:r>
        <w:t>na</w:t>
      </w:r>
      <w:proofErr w:type="spellEnd"/>
      <w:r>
        <w:t xml:space="preserve"> </w:t>
      </w:r>
      <w:proofErr w:type="spellStart"/>
      <w:r>
        <w:t>educação</w:t>
      </w:r>
      <w:proofErr w:type="spellEnd"/>
      <w:r>
        <w:t xml:space="preserve"> básica.</w:t>
      </w:r>
    </w:p>
    <w:p w14:paraId="2F5D022D" w14:textId="77777777" w:rsidR="00227DD7" w:rsidRDefault="00227DD7" w:rsidP="00227DD7">
      <w:r>
        <w:t xml:space="preserve">O </w:t>
      </w:r>
      <w:proofErr w:type="spellStart"/>
      <w:r>
        <w:t>estudo</w:t>
      </w:r>
      <w:proofErr w:type="spellEnd"/>
      <w:r>
        <w:t xml:space="preserve"> </w:t>
      </w:r>
      <w:proofErr w:type="spellStart"/>
      <w:r>
        <w:t>utilizou</w:t>
      </w:r>
      <w:proofErr w:type="spellEnd"/>
      <w:r>
        <w:t xml:space="preserve"> </w:t>
      </w:r>
      <w:proofErr w:type="spellStart"/>
      <w:r>
        <w:t>um</w:t>
      </w:r>
      <w:proofErr w:type="spellEnd"/>
      <w:r>
        <w:t xml:space="preserve"> </w:t>
      </w:r>
      <w:proofErr w:type="spellStart"/>
      <w:r>
        <w:t>desenho</w:t>
      </w:r>
      <w:proofErr w:type="spellEnd"/>
      <w:r>
        <w:t xml:space="preserve"> correlacional </w:t>
      </w:r>
      <w:proofErr w:type="spellStart"/>
      <w:r>
        <w:t>com</w:t>
      </w:r>
      <w:proofErr w:type="spellEnd"/>
      <w:r>
        <w:t xml:space="preserve"> </w:t>
      </w:r>
      <w:proofErr w:type="spellStart"/>
      <w:r>
        <w:t>uma</w:t>
      </w:r>
      <w:proofErr w:type="spellEnd"/>
      <w:r>
        <w:t xml:space="preserve"> </w:t>
      </w:r>
      <w:proofErr w:type="spellStart"/>
      <w:r>
        <w:t>amostra</w:t>
      </w:r>
      <w:proofErr w:type="spellEnd"/>
      <w:r>
        <w:t xml:space="preserve"> de 78 </w:t>
      </w:r>
      <w:proofErr w:type="spellStart"/>
      <w:r>
        <w:t>professores</w:t>
      </w:r>
      <w:proofErr w:type="spellEnd"/>
      <w:r>
        <w:t xml:space="preserve">, </w:t>
      </w:r>
      <w:proofErr w:type="spellStart"/>
      <w:r>
        <w:t>selecionados</w:t>
      </w:r>
      <w:proofErr w:type="spellEnd"/>
      <w:r>
        <w:t xml:space="preserve"> por </w:t>
      </w:r>
      <w:proofErr w:type="spellStart"/>
      <w:r>
        <w:t>amostragem</w:t>
      </w:r>
      <w:proofErr w:type="spellEnd"/>
      <w:r>
        <w:t xml:space="preserve"> de </w:t>
      </w:r>
      <w:proofErr w:type="spellStart"/>
      <w:r>
        <w:t>conveniência</w:t>
      </w:r>
      <w:proofErr w:type="spellEnd"/>
      <w:r>
        <w:t xml:space="preserve"> (M = 39,56; DP = 7,32). </w:t>
      </w:r>
      <w:proofErr w:type="spellStart"/>
      <w:r>
        <w:t>Foram</w:t>
      </w:r>
      <w:proofErr w:type="spellEnd"/>
      <w:r>
        <w:t xml:space="preserve"> utilizados </w:t>
      </w:r>
      <w:proofErr w:type="spellStart"/>
      <w:r>
        <w:t>dois</w:t>
      </w:r>
      <w:proofErr w:type="spellEnd"/>
      <w:r>
        <w:t xml:space="preserve"> instrumentos: </w:t>
      </w:r>
      <w:proofErr w:type="spellStart"/>
      <w:r>
        <w:t>uma</w:t>
      </w:r>
      <w:proofErr w:type="spellEnd"/>
      <w:r>
        <w:t xml:space="preserve"> escala de expectativas e </w:t>
      </w:r>
      <w:proofErr w:type="spellStart"/>
      <w:r>
        <w:t>um</w:t>
      </w:r>
      <w:proofErr w:type="spellEnd"/>
      <w:r>
        <w:t xml:space="preserve"> </w:t>
      </w:r>
      <w:proofErr w:type="spellStart"/>
      <w:r>
        <w:t>questionário</w:t>
      </w:r>
      <w:proofErr w:type="spellEnd"/>
      <w:r>
        <w:t xml:space="preserve"> sobre </w:t>
      </w:r>
      <w:proofErr w:type="spellStart"/>
      <w:r>
        <w:t>trabalho</w:t>
      </w:r>
      <w:proofErr w:type="spellEnd"/>
      <w:r>
        <w:t xml:space="preserve"> colaborativo, ambos destinados a avaliar os </w:t>
      </w:r>
      <w:proofErr w:type="spellStart"/>
      <w:r>
        <w:t>níveis</w:t>
      </w:r>
      <w:proofErr w:type="spellEnd"/>
      <w:r>
        <w:t xml:space="preserve"> </w:t>
      </w:r>
      <w:proofErr w:type="spellStart"/>
      <w:r>
        <w:t>dessas</w:t>
      </w:r>
      <w:proofErr w:type="spellEnd"/>
      <w:r>
        <w:t xml:space="preserve"> </w:t>
      </w:r>
      <w:proofErr w:type="spellStart"/>
      <w:r>
        <w:t>variáveis</w:t>
      </w:r>
      <w:proofErr w:type="spellEnd"/>
      <w:r>
        <w:t>.</w:t>
      </w:r>
    </w:p>
    <w:p w14:paraId="1E294AFF" w14:textId="77777777" w:rsidR="00227DD7" w:rsidRDefault="00227DD7" w:rsidP="00227DD7">
      <w:r>
        <w:t xml:space="preserve">Os resultados </w:t>
      </w:r>
      <w:proofErr w:type="spellStart"/>
      <w:r>
        <w:t>revelaram</w:t>
      </w:r>
      <w:proofErr w:type="spellEnd"/>
      <w:r>
        <w:t xml:space="preserve"> que as </w:t>
      </w:r>
      <w:proofErr w:type="spellStart"/>
      <w:r>
        <w:t>dimensões</w:t>
      </w:r>
      <w:proofErr w:type="spellEnd"/>
      <w:r>
        <w:t xml:space="preserve"> </w:t>
      </w:r>
      <w:proofErr w:type="spellStart"/>
      <w:r>
        <w:t>trabalho</w:t>
      </w:r>
      <w:proofErr w:type="spellEnd"/>
      <w:r>
        <w:t xml:space="preserve"> em equipe e </w:t>
      </w:r>
      <w:proofErr w:type="spellStart"/>
      <w:r>
        <w:t>reconhecimento</w:t>
      </w:r>
      <w:proofErr w:type="spellEnd"/>
      <w:r>
        <w:t xml:space="preserve"> </w:t>
      </w:r>
      <w:proofErr w:type="spellStart"/>
      <w:r>
        <w:t>estão</w:t>
      </w:r>
      <w:proofErr w:type="spellEnd"/>
      <w:r>
        <w:t xml:space="preserve"> ligadas </w:t>
      </w:r>
      <w:proofErr w:type="spellStart"/>
      <w:r>
        <w:t>às</w:t>
      </w:r>
      <w:proofErr w:type="spellEnd"/>
      <w:r>
        <w:t xml:space="preserve"> expectativas docentes, </w:t>
      </w:r>
      <w:proofErr w:type="spellStart"/>
      <w:r>
        <w:t>embora</w:t>
      </w:r>
      <w:proofErr w:type="spellEnd"/>
      <w:r>
        <w:t xml:space="preserve"> </w:t>
      </w:r>
      <w:proofErr w:type="spellStart"/>
      <w:r>
        <w:t>não</w:t>
      </w:r>
      <w:proofErr w:type="spellEnd"/>
      <w:r>
        <w:t xml:space="preserve"> </w:t>
      </w:r>
      <w:proofErr w:type="spellStart"/>
      <w:r>
        <w:t>tenha</w:t>
      </w:r>
      <w:proofErr w:type="spellEnd"/>
      <w:r>
        <w:t xml:space="preserve"> sido encontrada </w:t>
      </w:r>
      <w:proofErr w:type="spellStart"/>
      <w:r>
        <w:t>relação</w:t>
      </w:r>
      <w:proofErr w:type="spellEnd"/>
      <w:r>
        <w:t xml:space="preserve"> </w:t>
      </w:r>
      <w:proofErr w:type="spellStart"/>
      <w:r>
        <w:t>com</w:t>
      </w:r>
      <w:proofErr w:type="spellEnd"/>
      <w:r>
        <w:t xml:space="preserve"> os objetivos do grupo. Em </w:t>
      </w:r>
      <w:proofErr w:type="spellStart"/>
      <w:r>
        <w:t>relação</w:t>
      </w:r>
      <w:proofErr w:type="spellEnd"/>
      <w:r>
        <w:t xml:space="preserve"> ao </w:t>
      </w:r>
      <w:proofErr w:type="spellStart"/>
      <w:r>
        <w:t>trabalho</w:t>
      </w:r>
      <w:proofErr w:type="spellEnd"/>
      <w:r>
        <w:t xml:space="preserve"> colaborativo, a </w:t>
      </w:r>
      <w:proofErr w:type="spellStart"/>
      <w:r>
        <w:t>percepção</w:t>
      </w:r>
      <w:proofErr w:type="spellEnd"/>
      <w:r>
        <w:t xml:space="preserve"> </w:t>
      </w:r>
      <w:proofErr w:type="spellStart"/>
      <w:r>
        <w:t>mais</w:t>
      </w:r>
      <w:proofErr w:type="spellEnd"/>
      <w:r>
        <w:t xml:space="preserve"> </w:t>
      </w:r>
      <w:proofErr w:type="spellStart"/>
      <w:r>
        <w:t>comum</w:t>
      </w:r>
      <w:proofErr w:type="spellEnd"/>
      <w:r>
        <w:t xml:space="preserve"> </w:t>
      </w:r>
      <w:proofErr w:type="spellStart"/>
      <w:r>
        <w:t>foi</w:t>
      </w:r>
      <w:proofErr w:type="spellEnd"/>
      <w:r>
        <w:t xml:space="preserve"> o </w:t>
      </w:r>
      <w:proofErr w:type="spellStart"/>
      <w:r>
        <w:t>nível</w:t>
      </w:r>
      <w:proofErr w:type="spellEnd"/>
      <w:r>
        <w:t xml:space="preserve"> regular, relatado por 48,72% dos participantes, o que reflete </w:t>
      </w:r>
      <w:proofErr w:type="spellStart"/>
      <w:r>
        <w:t>uma</w:t>
      </w:r>
      <w:proofErr w:type="spellEnd"/>
      <w:r>
        <w:t xml:space="preserve"> </w:t>
      </w:r>
      <w:proofErr w:type="spellStart"/>
      <w:r>
        <w:t>percepção</w:t>
      </w:r>
      <w:proofErr w:type="spellEnd"/>
      <w:r>
        <w:t xml:space="preserve"> </w:t>
      </w:r>
      <w:proofErr w:type="spellStart"/>
      <w:r>
        <w:t>média</w:t>
      </w:r>
      <w:proofErr w:type="spellEnd"/>
      <w:r>
        <w:t xml:space="preserve">. Da mesma forma, 35,90% </w:t>
      </w:r>
      <w:proofErr w:type="spellStart"/>
      <w:r>
        <w:t>perceberam</w:t>
      </w:r>
      <w:proofErr w:type="spellEnd"/>
      <w:r>
        <w:t xml:space="preserve"> </w:t>
      </w:r>
      <w:proofErr w:type="spellStart"/>
      <w:r>
        <w:t>nível</w:t>
      </w:r>
      <w:proofErr w:type="spellEnd"/>
      <w:r>
        <w:t xml:space="preserve"> </w:t>
      </w:r>
      <w:proofErr w:type="spellStart"/>
      <w:r>
        <w:t>insatisfatório</w:t>
      </w:r>
      <w:proofErr w:type="spellEnd"/>
      <w:r>
        <w:t xml:space="preserve">, </w:t>
      </w:r>
      <w:proofErr w:type="spellStart"/>
      <w:r>
        <w:t>enquanto</w:t>
      </w:r>
      <w:proofErr w:type="spellEnd"/>
      <w:r>
        <w:t xml:space="preserve"> 15,38% </w:t>
      </w:r>
      <w:proofErr w:type="spellStart"/>
      <w:r>
        <w:t>indicaram</w:t>
      </w:r>
      <w:proofErr w:type="spellEnd"/>
      <w:r>
        <w:t xml:space="preserve"> </w:t>
      </w:r>
      <w:proofErr w:type="spellStart"/>
      <w:r>
        <w:t>nível</w:t>
      </w:r>
      <w:proofErr w:type="spellEnd"/>
      <w:r>
        <w:t xml:space="preserve"> </w:t>
      </w:r>
      <w:proofErr w:type="spellStart"/>
      <w:r>
        <w:t>satisfatório</w:t>
      </w:r>
      <w:proofErr w:type="spellEnd"/>
      <w:r>
        <w:t xml:space="preserve">. Em </w:t>
      </w:r>
      <w:proofErr w:type="spellStart"/>
      <w:r>
        <w:t>relação</w:t>
      </w:r>
      <w:proofErr w:type="spellEnd"/>
      <w:r>
        <w:t xml:space="preserve"> às expectativas docentes, o </w:t>
      </w:r>
      <w:proofErr w:type="spellStart"/>
      <w:r>
        <w:t>nível</w:t>
      </w:r>
      <w:proofErr w:type="spellEnd"/>
      <w:r>
        <w:t xml:space="preserve"> </w:t>
      </w:r>
      <w:proofErr w:type="spellStart"/>
      <w:r>
        <w:t>médio</w:t>
      </w:r>
      <w:proofErr w:type="spellEnd"/>
      <w:r>
        <w:t xml:space="preserve"> </w:t>
      </w:r>
      <w:proofErr w:type="spellStart"/>
      <w:r>
        <w:t>foi</w:t>
      </w:r>
      <w:proofErr w:type="spellEnd"/>
      <w:r>
        <w:t xml:space="preserve"> o </w:t>
      </w:r>
      <w:proofErr w:type="spellStart"/>
      <w:r>
        <w:t>mais</w:t>
      </w:r>
      <w:proofErr w:type="spellEnd"/>
      <w:r>
        <w:t xml:space="preserve"> </w:t>
      </w:r>
      <w:proofErr w:type="spellStart"/>
      <w:r>
        <w:t>frequente</w:t>
      </w:r>
      <w:proofErr w:type="spellEnd"/>
      <w:r>
        <w:t xml:space="preserve">, </w:t>
      </w:r>
      <w:proofErr w:type="spellStart"/>
      <w:r>
        <w:t>com</w:t>
      </w:r>
      <w:proofErr w:type="spellEnd"/>
      <w:r>
        <w:t xml:space="preserve"> 53,85%, seguido do </w:t>
      </w:r>
      <w:proofErr w:type="spellStart"/>
      <w:r>
        <w:t>nível</w:t>
      </w:r>
      <w:proofErr w:type="spellEnd"/>
      <w:r>
        <w:t xml:space="preserve"> alto </w:t>
      </w:r>
      <w:proofErr w:type="spellStart"/>
      <w:r>
        <w:t>com</w:t>
      </w:r>
      <w:proofErr w:type="spellEnd"/>
      <w:r>
        <w:t xml:space="preserve"> 24,36%.</w:t>
      </w:r>
    </w:p>
    <w:p w14:paraId="312ED987" w14:textId="77777777" w:rsidR="00227DD7" w:rsidRDefault="00227DD7" w:rsidP="00227DD7">
      <w:r>
        <w:t xml:space="preserve">A </w:t>
      </w:r>
      <w:proofErr w:type="spellStart"/>
      <w:r>
        <w:t>conclusão</w:t>
      </w:r>
      <w:proofErr w:type="spellEnd"/>
      <w:r>
        <w:t xml:space="preserve"> </w:t>
      </w:r>
      <w:proofErr w:type="spellStart"/>
      <w:r>
        <w:t>deste</w:t>
      </w:r>
      <w:proofErr w:type="spellEnd"/>
      <w:r>
        <w:t xml:space="preserve"> </w:t>
      </w:r>
      <w:proofErr w:type="spellStart"/>
      <w:r>
        <w:t>estudo</w:t>
      </w:r>
      <w:proofErr w:type="spellEnd"/>
      <w:r>
        <w:t xml:space="preserve"> </w:t>
      </w:r>
      <w:proofErr w:type="spellStart"/>
      <w:r>
        <w:t>confirmou</w:t>
      </w:r>
      <w:proofErr w:type="spellEnd"/>
      <w:r>
        <w:t xml:space="preserve"> a </w:t>
      </w:r>
      <w:proofErr w:type="spellStart"/>
      <w:r>
        <w:t>existência</w:t>
      </w:r>
      <w:proofErr w:type="spellEnd"/>
      <w:r>
        <w:t xml:space="preserve"> de </w:t>
      </w:r>
      <w:proofErr w:type="spellStart"/>
      <w:r>
        <w:t>uma</w:t>
      </w:r>
      <w:proofErr w:type="spellEnd"/>
      <w:r>
        <w:t xml:space="preserve"> </w:t>
      </w:r>
      <w:proofErr w:type="spellStart"/>
      <w:r>
        <w:t>relação</w:t>
      </w:r>
      <w:proofErr w:type="spellEnd"/>
      <w:r>
        <w:t xml:space="preserve"> significativa entre o </w:t>
      </w:r>
      <w:proofErr w:type="spellStart"/>
      <w:r>
        <w:t>trabalho</w:t>
      </w:r>
      <w:proofErr w:type="spellEnd"/>
      <w:r>
        <w:t xml:space="preserve"> colaborativo </w:t>
      </w:r>
      <w:proofErr w:type="gramStart"/>
      <w:r>
        <w:t>e</w:t>
      </w:r>
      <w:proofErr w:type="gramEnd"/>
      <w:r>
        <w:t xml:space="preserve"> as expectativas docentes. </w:t>
      </w:r>
      <w:proofErr w:type="spellStart"/>
      <w:r>
        <w:t>Essas</w:t>
      </w:r>
      <w:proofErr w:type="spellEnd"/>
      <w:r>
        <w:t xml:space="preserve"> </w:t>
      </w:r>
      <w:proofErr w:type="spellStart"/>
      <w:r>
        <w:t>descobertas</w:t>
      </w:r>
      <w:proofErr w:type="spellEnd"/>
      <w:r>
        <w:t xml:space="preserve"> </w:t>
      </w:r>
      <w:proofErr w:type="spellStart"/>
      <w:r>
        <w:t>podem</w:t>
      </w:r>
      <w:proofErr w:type="spellEnd"/>
      <w:r>
        <w:t xml:space="preserve"> contribuir significativamente para </w:t>
      </w:r>
      <w:proofErr w:type="spellStart"/>
      <w:r>
        <w:t>uma</w:t>
      </w:r>
      <w:proofErr w:type="spellEnd"/>
      <w:r>
        <w:t xml:space="preserve"> </w:t>
      </w:r>
      <w:proofErr w:type="spellStart"/>
      <w:r>
        <w:t>melhor</w:t>
      </w:r>
      <w:proofErr w:type="spellEnd"/>
      <w:r>
        <w:t xml:space="preserve"> </w:t>
      </w:r>
      <w:proofErr w:type="spellStart"/>
      <w:r>
        <w:t>compreensão</w:t>
      </w:r>
      <w:proofErr w:type="spellEnd"/>
      <w:r>
        <w:t xml:space="preserve"> e </w:t>
      </w:r>
      <w:proofErr w:type="spellStart"/>
      <w:r>
        <w:t>gestão</w:t>
      </w:r>
      <w:proofErr w:type="spellEnd"/>
      <w:r>
        <w:t xml:space="preserve"> da </w:t>
      </w:r>
      <w:proofErr w:type="spellStart"/>
      <w:r>
        <w:t>inclusão</w:t>
      </w:r>
      <w:proofErr w:type="spellEnd"/>
      <w:r>
        <w:t xml:space="preserve"> educacional de </w:t>
      </w:r>
      <w:proofErr w:type="spellStart"/>
      <w:r>
        <w:t>alunos</w:t>
      </w:r>
      <w:proofErr w:type="spellEnd"/>
      <w:r>
        <w:t xml:space="preserve"> </w:t>
      </w:r>
      <w:proofErr w:type="spellStart"/>
      <w:r>
        <w:t>com</w:t>
      </w:r>
      <w:proofErr w:type="spellEnd"/>
      <w:r>
        <w:t xml:space="preserve"> </w:t>
      </w:r>
      <w:proofErr w:type="spellStart"/>
      <w:r>
        <w:t>deficiência</w:t>
      </w:r>
      <w:proofErr w:type="spellEnd"/>
      <w:r>
        <w:t xml:space="preserve"> nos ambientes escolares.</w:t>
      </w:r>
    </w:p>
    <w:p w14:paraId="029FB0CA" w14:textId="6D5BCF0E" w:rsidR="00227DD7" w:rsidRDefault="00227DD7" w:rsidP="00227DD7">
      <w:proofErr w:type="spellStart"/>
      <w:r w:rsidRPr="00227DD7">
        <w:rPr>
          <w:rFonts w:ascii="Calibri" w:eastAsia="Calibri" w:hAnsi="Calibri" w:cs="Calibri"/>
          <w:b/>
          <w:sz w:val="28"/>
          <w:szCs w:val="28"/>
        </w:rPr>
        <w:t>Palavras</w:t>
      </w:r>
      <w:proofErr w:type="spellEnd"/>
      <w:r w:rsidRPr="00227DD7">
        <w:rPr>
          <w:rFonts w:ascii="Calibri" w:eastAsia="Calibri" w:hAnsi="Calibri" w:cs="Calibri"/>
          <w:b/>
          <w:sz w:val="28"/>
          <w:szCs w:val="28"/>
        </w:rPr>
        <w:t>-chave:</w:t>
      </w:r>
      <w:r>
        <w:t xml:space="preserve"> </w:t>
      </w:r>
      <w:proofErr w:type="spellStart"/>
      <w:r>
        <w:t>atitude</w:t>
      </w:r>
      <w:proofErr w:type="spellEnd"/>
      <w:r>
        <w:t xml:space="preserve">, </w:t>
      </w:r>
      <w:proofErr w:type="spellStart"/>
      <w:r>
        <w:t>comportamento</w:t>
      </w:r>
      <w:proofErr w:type="spellEnd"/>
      <w:r>
        <w:t xml:space="preserve">, expectativa, </w:t>
      </w:r>
      <w:proofErr w:type="spellStart"/>
      <w:r>
        <w:t>trabalho</w:t>
      </w:r>
      <w:proofErr w:type="spellEnd"/>
      <w:r>
        <w:t xml:space="preserve"> em equipe, </w:t>
      </w:r>
      <w:proofErr w:type="spellStart"/>
      <w:r>
        <w:t>satisfação</w:t>
      </w:r>
      <w:proofErr w:type="spellEnd"/>
      <w:r>
        <w:t>.</w:t>
      </w:r>
    </w:p>
    <w:p w14:paraId="08960D2F" w14:textId="0F8F3824" w:rsidR="00C1341E"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647"/>
        </w:tabs>
        <w:spacing w:line="240" w:lineRule="auto"/>
        <w:jc w:val="left"/>
        <w:rPr>
          <w:color w:val="000000"/>
        </w:rPr>
      </w:pPr>
      <w:r>
        <w:rPr>
          <w:b/>
          <w:color w:val="000000"/>
        </w:rPr>
        <w:t>Fecha Recepción:</w:t>
      </w:r>
      <w:r>
        <w:rPr>
          <w:color w:val="000000"/>
        </w:rPr>
        <w:t xml:space="preserve"> </w:t>
      </w:r>
      <w:proofErr w:type="gramStart"/>
      <w:r>
        <w:rPr>
          <w:color w:val="000000"/>
        </w:rPr>
        <w:t>Marzo</w:t>
      </w:r>
      <w:proofErr w:type="gramEnd"/>
      <w:r>
        <w:rPr>
          <w:color w:val="000000"/>
        </w:rPr>
        <w:t xml:space="preserve"> 2024                               </w:t>
      </w:r>
      <w:r w:rsidR="00227DD7">
        <w:rPr>
          <w:color w:val="000000"/>
        </w:rPr>
        <w:t xml:space="preserve"> </w:t>
      </w:r>
      <w:r>
        <w:rPr>
          <w:color w:val="000000"/>
        </w:rPr>
        <w:t xml:space="preserve">    </w:t>
      </w:r>
      <w:r>
        <w:rPr>
          <w:b/>
          <w:color w:val="000000"/>
        </w:rPr>
        <w:t>Fecha Aceptación:</w:t>
      </w:r>
      <w:r>
        <w:rPr>
          <w:color w:val="000000"/>
        </w:rPr>
        <w:t xml:space="preserve"> Septiembre 2024</w:t>
      </w:r>
    </w:p>
    <w:p w14:paraId="7F846C75" w14:textId="77777777" w:rsidR="00C1341E" w:rsidRDefault="00000000">
      <w:r>
        <w:pict w14:anchorId="084414D3">
          <v:rect id="_x0000_i1025" style="width:0;height:1.5pt" o:hralign="center" o:hrstd="t" o:hr="t" fillcolor="#a0a0a0" stroked="f"/>
        </w:pict>
      </w:r>
    </w:p>
    <w:p w14:paraId="5C6045A3" w14:textId="77777777" w:rsidR="00227DD7" w:rsidRDefault="00227DD7">
      <w:pPr>
        <w:jc w:val="center"/>
        <w:rPr>
          <w:b/>
          <w:sz w:val="32"/>
          <w:szCs w:val="32"/>
        </w:rPr>
      </w:pPr>
      <w:bookmarkStart w:id="6" w:name="_2et92p0" w:colFirst="0" w:colLast="0"/>
      <w:bookmarkEnd w:id="6"/>
    </w:p>
    <w:p w14:paraId="158E240E" w14:textId="77777777" w:rsidR="00227DD7" w:rsidRDefault="00227DD7">
      <w:pPr>
        <w:jc w:val="center"/>
        <w:rPr>
          <w:b/>
          <w:sz w:val="32"/>
          <w:szCs w:val="32"/>
        </w:rPr>
      </w:pPr>
    </w:p>
    <w:p w14:paraId="1641C10A" w14:textId="745C574D" w:rsidR="00C1341E" w:rsidRDefault="00000000">
      <w:pPr>
        <w:jc w:val="center"/>
        <w:rPr>
          <w:b/>
          <w:sz w:val="32"/>
          <w:szCs w:val="32"/>
        </w:rPr>
      </w:pPr>
      <w:r>
        <w:rPr>
          <w:b/>
          <w:sz w:val="32"/>
          <w:szCs w:val="32"/>
        </w:rPr>
        <w:lastRenderedPageBreak/>
        <w:t>Introducción</w:t>
      </w:r>
    </w:p>
    <w:p w14:paraId="73974BE9" w14:textId="77777777" w:rsidR="00C1341E" w:rsidRDefault="00000000" w:rsidP="00227DD7">
      <w:pPr>
        <w:ind w:firstLine="709"/>
      </w:pPr>
      <w:bookmarkStart w:id="7" w:name="_tyjcwt" w:colFirst="0" w:colLast="0"/>
      <w:bookmarkEnd w:id="7"/>
      <w:r>
        <w:t xml:space="preserve">La inclusión educativa es un procedimiento complejo que es mejor comprendido cuando se considera las actitudes del docente, son clave para abordar la diversidad de los estudiantes (García, 2019), considerado como uno de los aspectos más relevantes dirigidas a potenciar la educación (Organización de las Naciones Unidas [ONU], 2023; Organización de las Naciones Unidas para la Educación, la Ciencia y la Cultura [UNESCO], 2023); asimismo, si nos fijamos en los puntos claves destacados en la transformación del sistema educativo para hacer efectivo el derecho a la educación inclusiva (Simón y Barrios, 2019). Sin embargo, es habitual encontrar una minoría de escuelas latinas que siguen dando algún apoyo fuera del aula regular y no existe una cultura institucional sólida que permita un cambio de enfoque (Orozco y </w:t>
      </w:r>
      <w:proofErr w:type="spellStart"/>
      <w:r>
        <w:t>Moriña</w:t>
      </w:r>
      <w:proofErr w:type="spellEnd"/>
      <w:r>
        <w:t>, 2019). Las necesidades pedagógicas especiales (NEE) se refieren a ciertas particularidades de los estudiantes en un nivel educativo dado que no pueden aprender de la misma manera o se considera que no poseen un ritmo de aprendizaje promedio: cubre deficiencias físicas, sensoriales, y cognitivas (López y Valenzuela, 2015, p. 43).</w:t>
      </w:r>
    </w:p>
    <w:p w14:paraId="0E481B17" w14:textId="77777777" w:rsidR="00C1341E" w:rsidRDefault="00000000">
      <w:pPr>
        <w:ind w:firstLine="709"/>
      </w:pPr>
      <w:r>
        <w:t>Para lograr la inclusión educativa de NEE, una de las estrategias de afrontamiento sugeridas es un esfuerzo docente colaborativo (TCD) entre maestros de educación general y maestros de educación especial (Sagredo-Lillo</w:t>
      </w:r>
      <w:r>
        <w:rPr>
          <w:i/>
        </w:rPr>
        <w:t xml:space="preserve"> et al.,</w:t>
      </w:r>
      <w:r>
        <w:t xml:space="preserve"> 2020), para ello se requiere el intercambio colaborativo entre los docentes, estudiantes e institución (Cuevas-Solar y Arancibia, 2020). En ese sentido, el proceso de mejora sistemática emprendido por las instituciones educativas para eliminar las barreras que limitan el aprendizaje y la participación de los estudiantes, requiere especial atención a los grupos más vulnerables (López y </w:t>
      </w:r>
      <w:proofErr w:type="spellStart"/>
      <w:r>
        <w:t>Manghi</w:t>
      </w:r>
      <w:proofErr w:type="spellEnd"/>
      <w:r>
        <w:t>, 2021).</w:t>
      </w:r>
    </w:p>
    <w:p w14:paraId="7F43F521" w14:textId="77777777" w:rsidR="00C1341E" w:rsidRDefault="00000000">
      <w:pPr>
        <w:ind w:firstLine="709"/>
      </w:pPr>
      <w:r>
        <w:t>En ese contexto, el presente estudio, se sostiene en la Teoría de la Acción Razonada (</w:t>
      </w:r>
      <w:proofErr w:type="spellStart"/>
      <w:r>
        <w:t>Ajzen</w:t>
      </w:r>
      <w:proofErr w:type="spellEnd"/>
      <w:r>
        <w:t xml:space="preserve"> y </w:t>
      </w:r>
      <w:proofErr w:type="spellStart"/>
      <w:r>
        <w:t>Fishbein</w:t>
      </w:r>
      <w:proofErr w:type="spellEnd"/>
      <w:r>
        <w:t xml:space="preserve">, 1980), que describe al comportamiento influenciado por las actitudes, creencias y evaluaciones. Según Lobos </w:t>
      </w:r>
      <w:r>
        <w:rPr>
          <w:i/>
        </w:rPr>
        <w:t>et al.</w:t>
      </w:r>
      <w:r>
        <w:t xml:space="preserve"> (2022) existen factores claves para evaluar la aceptabilidad, como la utilidad percibida, las actitudes hacia el uso y la presencia de variables externas. Estos cambios incluyen innovaciones en la comunidad educativa, donde hay una gama de diferentes profesionales, organizados en grupos interdisciplinarios que trabajan al unísono, en busca de un objetivo, principalmente: apoyo en el contexto social y cotidiano del estudiante. (Jara y Jara, 2018), Se puede inferir que la escuela inclusiva requiere cambios significativos en las expectativas de los docentes, que son fundamentales para avanzar hacia una mejor y equitativa educación para todos. En este sentido, la formación docente debe </w:t>
      </w:r>
      <w:r>
        <w:lastRenderedPageBreak/>
        <w:t>incluir un nivel de preparación para responder a las NEE en las escuelas públicas: para garantizar el contexto del cambio sistémico (</w:t>
      </w:r>
      <w:proofErr w:type="spellStart"/>
      <w:r>
        <w:t>Duk</w:t>
      </w:r>
      <w:proofErr w:type="spellEnd"/>
      <w:r>
        <w:t xml:space="preserve"> </w:t>
      </w:r>
      <w:r>
        <w:rPr>
          <w:i/>
        </w:rPr>
        <w:t xml:space="preserve">et al., </w:t>
      </w:r>
      <w:r>
        <w:t>2019).</w:t>
      </w:r>
    </w:p>
    <w:p w14:paraId="6D1FE088" w14:textId="77777777" w:rsidR="00C1341E" w:rsidRDefault="00000000">
      <w:pPr>
        <w:ind w:firstLine="709"/>
      </w:pPr>
      <w:r>
        <w:t>En un análisis teórico, una de las principales estrategias organizacionales utilizadas para aprender desde un enfoque holístico es el trabajo colaborativo, desarrollarlo significa tener conocimiento de las propias capacidades como docente y más allá de los estudiantes, por lo que aprender es una actividad social (</w:t>
      </w:r>
      <w:proofErr w:type="spellStart"/>
      <w:r>
        <w:t>Aguero</w:t>
      </w:r>
      <w:proofErr w:type="spellEnd"/>
      <w:r>
        <w:t xml:space="preserve"> </w:t>
      </w:r>
      <w:r>
        <w:rPr>
          <w:i/>
        </w:rPr>
        <w:t>et al,</w:t>
      </w:r>
      <w:r>
        <w:t xml:space="preserve"> 2019). El trabajo colaborativo se caracteriza por fijarse un objetivo común difícil de alcanzar individualmente, estrategia de procesos de formación donde los integrantes aprenden unos de otros y reconfiguran el objeto de estudio a partir del diálogo, la participación y la construcción de conocimientos compartidos (López y Molina, 2018). En ese sentido, la educación inclusiva incluye la participación y cooperación de toda la comunidad escolar, incluidos administradores, maestros, estudiantes y padres </w:t>
      </w:r>
      <w:r>
        <w:rPr>
          <w:i/>
        </w:rPr>
        <w:t>(Bonilla et al.,</w:t>
      </w:r>
      <w:r>
        <w:t xml:space="preserve"> 2019).</w:t>
      </w:r>
    </w:p>
    <w:p w14:paraId="7AF5B0D2" w14:textId="77777777" w:rsidR="00C1341E" w:rsidRDefault="00000000">
      <w:pPr>
        <w:ind w:firstLine="709"/>
      </w:pPr>
      <w:r>
        <w:t>Es importante resaltar que se debe desarrollar el trabajo cooperativo entre docentes de aula diferenciada y docentes de educación. Siguiendo esta lógica, el trabajo colaborativo entre docentes considera nuevas alternativas e ideas para comunicar y apoyar lo que otros tienen para ofrecer (</w:t>
      </w:r>
      <w:proofErr w:type="spellStart"/>
      <w:r>
        <w:t>Aguero</w:t>
      </w:r>
      <w:proofErr w:type="spellEnd"/>
      <w:r>
        <w:t xml:space="preserve"> </w:t>
      </w:r>
      <w:r>
        <w:rPr>
          <w:i/>
        </w:rPr>
        <w:t>et al,</w:t>
      </w:r>
      <w:r>
        <w:t xml:space="preserve"> 2019). Esto tiene relación con la implementación del liderazgo educativo en las escuelas influenciada por las acciones y prácticas que surgen del equipo directivo, particularmente por la forma en que promueven la gestión del personal en la planificación, el trabajo colaborativo, la motivación, la experiencia y la responsabilidad (Rivera y Aparicio, 2020). Siendo la actividad en equipo, la que permite desarrollar un sentido de comunidad, mayor motivación, crecimiento profesional y un sentido de satisfacción laboral.</w:t>
      </w:r>
    </w:p>
    <w:p w14:paraId="3E8D6C63" w14:textId="77777777" w:rsidR="00C1341E" w:rsidRDefault="00000000">
      <w:pPr>
        <w:ind w:firstLine="709"/>
      </w:pPr>
      <w:r>
        <w:t xml:space="preserve">Por su parte, las expectativas se basan en experiencias pasadas, estereotipos y prejuicios formados en cada individuo (Ferro, 2005). Mantener altas expectativas académicas promueve una enseñanza eficaz, tanto para los docentes como para los asistentes de enseñanza y los profesionales no docentes (Muñoz </w:t>
      </w:r>
      <w:r>
        <w:rPr>
          <w:i/>
        </w:rPr>
        <w:t>et al.,</w:t>
      </w:r>
      <w:r>
        <w:t xml:space="preserve"> 2021). En este sentido, Vera </w:t>
      </w:r>
      <w:r>
        <w:rPr>
          <w:i/>
        </w:rPr>
        <w:t>et al.</w:t>
      </w:r>
      <w:r>
        <w:t xml:space="preserve"> (2021) señalan que son los padres quienes ayudan a definir las expectativas del niño durante los primeros años; después de los cuales, las referencias de los docentes darán forma a las expectativas educativas del estudiante. Sin embargo, no se enfocan en tomar en cuenta el impacto de las expectativas, percepciones y creencias de las escuelas, a pesar de su reconocimiento como actores principales. Así, una investigación de las expectativas y discursos puede servir de referencia para que los estudiantes exploren un aspecto de la </w:t>
      </w:r>
      <w:r>
        <w:lastRenderedPageBreak/>
        <w:t xml:space="preserve">transición que mejore las perspectivas previamente estudiadas sobre el tema (Vera </w:t>
      </w:r>
      <w:r>
        <w:rPr>
          <w:i/>
        </w:rPr>
        <w:t xml:space="preserve">et al., </w:t>
      </w:r>
      <w:r>
        <w:t>2021).</w:t>
      </w:r>
    </w:p>
    <w:p w14:paraId="5283F4CB" w14:textId="77777777" w:rsidR="00C1341E" w:rsidRDefault="00000000">
      <w:pPr>
        <w:ind w:firstLine="709"/>
      </w:pPr>
      <w:r>
        <w:t>Las expectativas educativas de la familia, especialmente las de los padres, y el desarrollo de la autoestima del niño juegan un papel importante en el proceso de aprendizaje del niño (</w:t>
      </w:r>
      <w:proofErr w:type="spellStart"/>
      <w:r>
        <w:t>Ehulech</w:t>
      </w:r>
      <w:proofErr w:type="spellEnd"/>
      <w:r>
        <w:t>, 2021). En ese sentido, las expectativas de los maestros no se cumplen automáticamente. Los estudiantes pueden evitar que suceda si se resisten de una manera que obligue al profesor a cambiarlo (López, 2017). Por lo tanto, es importante evaluar las actitudes y expectativas de aprendizaje del personal educativo ya que afectan el desempeño escolar de los niños, su interés en la escuela, su autoestima y sus relaciones con amigos y maestros (Mora-</w:t>
      </w:r>
      <w:proofErr w:type="spellStart"/>
      <w:r>
        <w:t>Castelletto</w:t>
      </w:r>
      <w:proofErr w:type="spellEnd"/>
      <w:r>
        <w:t xml:space="preserve"> </w:t>
      </w:r>
      <w:r>
        <w:rPr>
          <w:i/>
        </w:rPr>
        <w:t>et al.,</w:t>
      </w:r>
      <w:r>
        <w:t xml:space="preserve"> 2021). Las expectativas de los maestros son inferencias sobre el desempeño académico actual y futuro de los estudiantes. Estas incluyen las creencias de los maestros sobre la capacidad del estudiante para ser dinámico versus la capacidad para ser rígido, la capacidad del estudiante para hacer uso de la instrucción y la dificultad apropiada del material asignado (López, 2017); además, los centros necesitan reflexionar sobre sus procesos educativos y actividades de evaluación, con el fin de crear mejoras en su dinámica y proceso de aprendizaje para los estudiantes con discapacidad intelectual que asisten a los centros de educación continua (</w:t>
      </w:r>
      <w:proofErr w:type="spellStart"/>
      <w:r>
        <w:t>Bizama</w:t>
      </w:r>
      <w:proofErr w:type="spellEnd"/>
      <w:r>
        <w:t xml:space="preserve"> y Martínez, 2021).</w:t>
      </w:r>
    </w:p>
    <w:p w14:paraId="2B52FFFE" w14:textId="77777777" w:rsidR="00C1341E" w:rsidRDefault="00000000">
      <w:pPr>
        <w:ind w:firstLine="709"/>
      </w:pPr>
      <w:r>
        <w:t xml:space="preserve">La teoría que sustenta las expectativas es la acción razonada de </w:t>
      </w:r>
      <w:proofErr w:type="spellStart"/>
      <w:r>
        <w:t>Ajzen</w:t>
      </w:r>
      <w:proofErr w:type="spellEnd"/>
      <w:r>
        <w:t xml:space="preserve"> y </w:t>
      </w:r>
      <w:proofErr w:type="spellStart"/>
      <w:r>
        <w:t>Fishbein</w:t>
      </w:r>
      <w:proofErr w:type="spellEnd"/>
      <w:r>
        <w:t xml:space="preserve"> (1980) que se enfoca en la racionalidad del comportamiento, basado en un patrón general que las personas usan antes de actuar de manera sistemática, detallada y racional a la información que tienen sobre los efectos potenciales de hacerlo (Mújica </w:t>
      </w:r>
      <w:r>
        <w:rPr>
          <w:i/>
        </w:rPr>
        <w:t>et al.,</w:t>
      </w:r>
      <w:r>
        <w:t xml:space="preserve"> 2011, p.78). Cabe señalar que en sus inicios carecía del componente de control conductual </w:t>
      </w:r>
      <w:proofErr w:type="spellStart"/>
      <w:r>
        <w:t>autopercibido</w:t>
      </w:r>
      <w:proofErr w:type="spellEnd"/>
      <w:r>
        <w:t xml:space="preserve"> (Mújica </w:t>
      </w:r>
      <w:r>
        <w:rPr>
          <w:i/>
        </w:rPr>
        <w:t>et al.,</w:t>
      </w:r>
      <w:r>
        <w:t xml:space="preserve"> 2011), obviando los obstáculos personales y situacionales a los cuales el individuo se enfrentaba al tener la intención de realizar una conducta.  Al incluir esta nueva variable, </w:t>
      </w:r>
      <w:proofErr w:type="spellStart"/>
      <w:r>
        <w:t>Ajzen</w:t>
      </w:r>
      <w:proofErr w:type="spellEnd"/>
      <w:r>
        <w:t xml:space="preserve"> y </w:t>
      </w:r>
      <w:proofErr w:type="spellStart"/>
      <w:r>
        <w:t>Fishbein</w:t>
      </w:r>
      <w:proofErr w:type="spellEnd"/>
      <w:r>
        <w:t xml:space="preserve"> (1980) ampliaron el bagaje conceptual de la teoría renombrándola como teoría de la conducta planificada, incorporando así el estudio de las conductas que pueden o no estar bajo control.</w:t>
      </w:r>
    </w:p>
    <w:p w14:paraId="2A336A7F" w14:textId="77777777" w:rsidR="00C1341E" w:rsidRDefault="00000000">
      <w:pPr>
        <w:ind w:firstLine="709"/>
      </w:pPr>
      <w:r>
        <w:t xml:space="preserve">Según esta teoría, utilizada en este estudio, las acciones humanas están influenciadas por tres factores principales: la evaluación positiva o negativa del comportamiento (actitud hacia el comportamiento), la presión social percibida para realizar o no el comportamiento (norma subjetiva) y, la capacidad percibida para realizar el comportamiento (la autodeterminación). La validación o control cognitivo conductual es el principal determinante de las intenciones de comportamiento y la parte final del comportamiento real. </w:t>
      </w:r>
      <w:r>
        <w:lastRenderedPageBreak/>
        <w:t>En esta misma el objetivo es predecir las probabilidades y comprender los determinantes que hacen posible ese comportamiento (Castillo, 2018).</w:t>
      </w:r>
    </w:p>
    <w:p w14:paraId="11895EF5" w14:textId="77777777" w:rsidR="00C1341E" w:rsidRDefault="00000000">
      <w:pPr>
        <w:ind w:firstLine="709"/>
      </w:pPr>
      <w:r>
        <w:t xml:space="preserve">El conocimiento de las expectativas iniciales sobre el contexto de aprendizaje y las posteriores valoraciones autodirigidas, permite disponer de herramientas, conceptos y metodología más sensibles para propiciar mejoras en las propuestas didácticas (Schlegel </w:t>
      </w:r>
      <w:r>
        <w:rPr>
          <w:i/>
        </w:rPr>
        <w:t xml:space="preserve">et al., </w:t>
      </w:r>
      <w:r>
        <w:t>2020). Las características contextuales requieren respuestas específicas de las comunidades de aprendizaje a los desafíos diarios de la inclusión. Sin embargo, pocos estudios han identificado las expectativas de inclusión de los docentes, así como su relación con el trabajo colaborativo (</w:t>
      </w:r>
      <w:proofErr w:type="spellStart"/>
      <w:r>
        <w:t>Gelber</w:t>
      </w:r>
      <w:proofErr w:type="spellEnd"/>
      <w:r>
        <w:t xml:space="preserve"> </w:t>
      </w:r>
      <w:r>
        <w:rPr>
          <w:i/>
        </w:rPr>
        <w:t>et al.,</w:t>
      </w:r>
      <w:r>
        <w:t xml:space="preserve"> 2019).</w:t>
      </w:r>
    </w:p>
    <w:p w14:paraId="5E0CA828" w14:textId="77777777" w:rsidR="00C1341E" w:rsidRDefault="00000000">
      <w:r>
        <w:tab/>
        <w:t>El estudio como tal se justifica por su relevancia para hacer frente a las barreras educativas y sociales que enfrentan los estudiantes con necesidades especiales, bajo esta realidad la colaboración entre los docentes permite el intercambio de estrategias pedagógicas, recursos y apoyo emocional, lo que fomenta un ambiente de aprendizaje más integrador y equitativo. Además, las expectativas que los docentes tienen respecto a la inclusión son fundamentales, ya que influyen en sus actitudes y prácticas educativas. Un docente con altas expectativas respecto a la inclusión está más dispuesto a adaptar su enseñanza y a buscar soluciones creativas para garantizar que todos los estudiantes tengan acceso a una educación de calidad. Dentro del contexto, donde existen limitaciones en recursos y formación, la colaboración y las expectativas positivas son esenciales para avanzar en un proceso inclusivo efectivo que beneficie a toda la comunidad educativa.</w:t>
      </w:r>
    </w:p>
    <w:p w14:paraId="269BE77E" w14:textId="77777777" w:rsidR="00C1341E" w:rsidRDefault="00000000">
      <w:pPr>
        <w:ind w:firstLine="709"/>
      </w:pPr>
      <w:r>
        <w:t xml:space="preserve">Este estudio describe el análisis del trabajo colaborativo y las expectativas en el proceso de integración docente en la región peruana de San Martin. En este modelo, se incluyeron todos los docentes de la escuela que actualmente están desarrollando actividades de inclusión; impulsado por la importancia de las expectativas en el trabajo colaborativo que crea prácticas académicas y escolares que impactan positivamente el rendimiento en factores individuales e institucionales (Sevilla-Santo </w:t>
      </w:r>
      <w:r>
        <w:rPr>
          <w:i/>
        </w:rPr>
        <w:t>et al,</w:t>
      </w:r>
      <w:r>
        <w:t xml:space="preserve"> 2020). Bajo esta realidad se planteó como objetivo establecer la relación entre trabajo colaborativo y expectativa docente en el proceso inclusivo de estudiantes con discapacidad en educación básica, con la finalidad de comprender y establecer escenarios alternos para su replicabilidad dentro de los diversos contextos.</w:t>
      </w:r>
    </w:p>
    <w:p w14:paraId="460C81E6" w14:textId="77777777" w:rsidR="00C1341E" w:rsidRDefault="00C1341E"/>
    <w:p w14:paraId="37BF9DD5" w14:textId="77777777" w:rsidR="00227DD7" w:rsidRDefault="00227DD7"/>
    <w:p w14:paraId="7EE68C88" w14:textId="77777777" w:rsidR="00227DD7" w:rsidRDefault="00227DD7"/>
    <w:p w14:paraId="68E02613" w14:textId="77777777" w:rsidR="00C1341E" w:rsidRDefault="00000000">
      <w:pPr>
        <w:jc w:val="center"/>
        <w:rPr>
          <w:b/>
          <w:sz w:val="32"/>
          <w:szCs w:val="32"/>
        </w:rPr>
      </w:pPr>
      <w:r>
        <w:rPr>
          <w:b/>
          <w:sz w:val="32"/>
          <w:szCs w:val="32"/>
        </w:rPr>
        <w:lastRenderedPageBreak/>
        <w:t>Materiales y métodos</w:t>
      </w:r>
    </w:p>
    <w:p w14:paraId="7A2198B7" w14:textId="77777777" w:rsidR="00C1341E" w:rsidRDefault="00000000">
      <w:pPr>
        <w:jc w:val="center"/>
        <w:rPr>
          <w:b/>
          <w:sz w:val="28"/>
          <w:szCs w:val="28"/>
        </w:rPr>
      </w:pPr>
      <w:r>
        <w:rPr>
          <w:b/>
          <w:sz w:val="28"/>
          <w:szCs w:val="28"/>
        </w:rPr>
        <w:t>Diseño de investigación</w:t>
      </w:r>
    </w:p>
    <w:p w14:paraId="75ECA14F" w14:textId="77777777" w:rsidR="00C1341E" w:rsidRDefault="00000000">
      <w:bookmarkStart w:id="8" w:name="_3dy6vkm" w:colFirst="0" w:colLast="0"/>
      <w:bookmarkEnd w:id="8"/>
      <w:r>
        <w:t xml:space="preserve">Por la naturaleza del análisis, el tipo de investigación es cuantitativa, ya que la información recopilada se va verificando a través de un diseño de tipo correlacional que permite ver la relación entre ambas variables para luego desarrollar una propuesta ante lo diagnosticado. Si los resultados corroboran las premisas o son consistentes con ellas, se aporta prueba a su favor (Hernández </w:t>
      </w:r>
      <w:r>
        <w:rPr>
          <w:i/>
        </w:rPr>
        <w:t>et al</w:t>
      </w:r>
      <w:r>
        <w:t>., 2014).</w:t>
      </w:r>
    </w:p>
    <w:p w14:paraId="096D3004" w14:textId="77777777" w:rsidR="00C1341E" w:rsidRDefault="00C1341E">
      <w:pPr>
        <w:jc w:val="center"/>
        <w:rPr>
          <w:b/>
          <w:i/>
        </w:rPr>
      </w:pPr>
    </w:p>
    <w:p w14:paraId="3CD7C58C" w14:textId="77777777" w:rsidR="00C1341E" w:rsidRDefault="00000000">
      <w:pPr>
        <w:jc w:val="center"/>
        <w:rPr>
          <w:b/>
        </w:rPr>
      </w:pPr>
      <w:r>
        <w:rPr>
          <w:b/>
        </w:rPr>
        <w:t>Participantes</w:t>
      </w:r>
    </w:p>
    <w:p w14:paraId="3CC25943" w14:textId="77777777" w:rsidR="00C1341E" w:rsidRDefault="00000000">
      <w:bookmarkStart w:id="9" w:name="_1t3h5sf" w:colFirst="0" w:colLast="0"/>
      <w:bookmarkEnd w:id="9"/>
      <w:r>
        <w:t>En el estudio participaron 78 docentes de instituciones educativas inclusivas, quienes conformaron la población investigada, el 68% fueron mujeres y 32% varones con una media M =39.56 y desviación estándar DE = 7.32. Los participantes fueron seleccionados mediante un muestreo intencional por conveniencia, donde se identificaron 22 instituciones educativas que brindan educación inclusiva en la Región San Martín tanto en educación inicial, primaria como secundaria. Para la selección de los participantes fue clave considerar los criterios de inclusión; en ese sentido, se trabajaron con docentes con un tiempo de permanencia dictando en educación inclusiva mayor a un año, docentes que hayan tenido a cargo estudiantes con habilidades diferentes en el último semestre. Se excluyeron a docentes que se encontraron con licencia, vacaciones o que hayan sido suspendido de sus funciones.</w:t>
      </w:r>
    </w:p>
    <w:p w14:paraId="06E72B2C" w14:textId="77777777" w:rsidR="00C1341E" w:rsidRDefault="00C1341E">
      <w:bookmarkStart w:id="10" w:name="_4d34og8" w:colFirst="0" w:colLast="0"/>
      <w:bookmarkEnd w:id="10"/>
    </w:p>
    <w:p w14:paraId="6D6FE390" w14:textId="77777777" w:rsidR="00C1341E" w:rsidRDefault="00000000">
      <w:pPr>
        <w:jc w:val="center"/>
        <w:rPr>
          <w:sz w:val="28"/>
          <w:szCs w:val="28"/>
        </w:rPr>
      </w:pPr>
      <w:r>
        <w:rPr>
          <w:b/>
          <w:sz w:val="28"/>
          <w:szCs w:val="28"/>
        </w:rPr>
        <w:t>Instrumentos de recolección de datos</w:t>
      </w:r>
    </w:p>
    <w:p w14:paraId="787A0E6F" w14:textId="77777777" w:rsidR="00C1341E" w:rsidRDefault="00000000">
      <w:pPr>
        <w:jc w:val="center"/>
        <w:rPr>
          <w:b/>
        </w:rPr>
      </w:pPr>
      <w:r>
        <w:rPr>
          <w:b/>
        </w:rPr>
        <w:t>Trabajo colaborativo</w:t>
      </w:r>
    </w:p>
    <w:p w14:paraId="7D88B3BA" w14:textId="77777777" w:rsidR="00C1341E" w:rsidRDefault="00000000">
      <w:r>
        <w:t xml:space="preserve">Para la medición de </w:t>
      </w:r>
      <w:proofErr w:type="gramStart"/>
      <w:r>
        <w:t>la variables</w:t>
      </w:r>
      <w:proofErr w:type="gramEnd"/>
      <w:r>
        <w:t xml:space="preserve"> se empleó el Cuestionario de Trabajo Colaborativo, adaptada en el 2023 al contexto peruano. Consta de cuatro ítems, que responde a la aceptación del desempeño como virtud del esfuerzo de todos los que conforman el equipo para lograr el objetivo común. Corresponde a un cuestionario unidimensional en relación con indicadores como objetivos grupales, trabajo grupal y reconocimiento. En el presente estudio se validó mediante cinco jueces expertos, a través del V de Aiken se llegó a un consenso del 89% respecto a claridad, relevancia y pertinencia de los ítems. De igual manera, la evaluación de su fiabilidad mediante alfa de Cronbach evidenció un coeficiente α = 0.85, aceptable para su replicabilidad.</w:t>
      </w:r>
    </w:p>
    <w:p w14:paraId="0063ED12" w14:textId="77777777" w:rsidR="00C1341E" w:rsidRDefault="00C1341E"/>
    <w:p w14:paraId="33B1C1F5" w14:textId="77777777" w:rsidR="00227DD7" w:rsidRDefault="00227DD7"/>
    <w:p w14:paraId="148A80D1" w14:textId="77777777" w:rsidR="00C1341E" w:rsidRDefault="00000000">
      <w:pPr>
        <w:jc w:val="center"/>
        <w:rPr>
          <w:b/>
        </w:rPr>
      </w:pPr>
      <w:proofErr w:type="gramStart"/>
      <w:r>
        <w:rPr>
          <w:b/>
        </w:rPr>
        <w:lastRenderedPageBreak/>
        <w:t>Expectativas docente</w:t>
      </w:r>
      <w:proofErr w:type="gramEnd"/>
    </w:p>
    <w:p w14:paraId="207C8B06" w14:textId="77777777" w:rsidR="00C1341E" w:rsidRDefault="00000000">
      <w:r>
        <w:t>Para su medición se utilizó el inventario de expectativas, la prueba se ha utilizado en varios estudios actuales evaluándose la frecuencia de acciones y actitudes que los docentes esperan en relación con el aprendizaje. Consta de 12 ítems en que participantes califican la frecuencia de su participación. Una puntuación de 01 indica expectativas bajas, 02 expectativas promedio y 03 altas expectativas. Para el estudio se consideró la validación mediante cinco jueces expertos, donde se observó un consenso mediante el V de Aiken de 93% lo que supone un instrumento válido, además, la fiabilidad mediante alfa fue α = 0.87.</w:t>
      </w:r>
    </w:p>
    <w:p w14:paraId="21B78AC4" w14:textId="77777777" w:rsidR="00C1341E" w:rsidRDefault="00C1341E">
      <w:pPr>
        <w:rPr>
          <w:b/>
          <w:i/>
        </w:rPr>
      </w:pPr>
    </w:p>
    <w:p w14:paraId="19535653" w14:textId="77777777" w:rsidR="00C1341E" w:rsidRDefault="00000000">
      <w:pPr>
        <w:jc w:val="center"/>
        <w:rPr>
          <w:b/>
        </w:rPr>
      </w:pPr>
      <w:r>
        <w:rPr>
          <w:b/>
        </w:rPr>
        <w:t>Análisis de datos</w:t>
      </w:r>
    </w:p>
    <w:p w14:paraId="2D236ED1" w14:textId="77777777" w:rsidR="00C1341E" w:rsidRDefault="00000000">
      <w:r>
        <w:t xml:space="preserve">El estudio contó con la revisión del comité de ética de la universidad César Vallejo, mediante el INFORME </w:t>
      </w:r>
      <w:proofErr w:type="spellStart"/>
      <w:r>
        <w:t>N°</w:t>
      </w:r>
      <w:proofErr w:type="spellEnd"/>
      <w:r>
        <w:t xml:space="preserve"> 103-2022-DID UCV. La recolección de los datos se efectuó durante el periodo 2023. Se seleccionaron docentes inclusivos de escuelas regulares, luego se solicitó su consentimiento informado antes de aplicar los instrumentos. Los datos obtenidos se procesaron mediante el paquete estadístico SPSS 26, así como utilizando el programa Excel, y los resultados se presentan en forma de tabla, indicando los resultados por separado. Es preciso manifestar que los datos para categorizar las variables fueron establecidos haciendo uso de los percentiles 33 y 66 para agrupar en tres niveles, satisfactorio, regular e insatisfactorio para la variable trabajo colaborativo y alto, medio y bajo para la expectativa docente.</w:t>
      </w:r>
    </w:p>
    <w:p w14:paraId="435F1866" w14:textId="77777777" w:rsidR="00C1341E" w:rsidRDefault="00C1341E"/>
    <w:p w14:paraId="3237DE0B" w14:textId="77777777" w:rsidR="00C1341E" w:rsidRDefault="00000000">
      <w:pPr>
        <w:jc w:val="center"/>
        <w:rPr>
          <w:sz w:val="32"/>
          <w:szCs w:val="32"/>
        </w:rPr>
      </w:pPr>
      <w:r>
        <w:rPr>
          <w:b/>
          <w:sz w:val="32"/>
          <w:szCs w:val="32"/>
        </w:rPr>
        <w:t>Resultados</w:t>
      </w:r>
    </w:p>
    <w:p w14:paraId="244E0F6F" w14:textId="77777777" w:rsidR="00C1341E" w:rsidRDefault="00000000">
      <w:bookmarkStart w:id="11" w:name="_2s8eyo1" w:colFirst="0" w:colLast="0"/>
      <w:bookmarkEnd w:id="11"/>
      <w:r>
        <w:t>Los resultados se interpretan con base en la información recogida a través de los instrumentos. De acuerdo con lo que se muestra en la tabla 1, existe relación entre el trabajo colaborativo con la expectativa en el proceso de inclusión en instituciones educativas de la Región San Martín, siendo esta significativa. Este resultado indica que ambas variables tienen un comportamiento similar, cuando el trabajo colaborativo está presente, las expectativas también.</w:t>
      </w:r>
    </w:p>
    <w:p w14:paraId="61B2DB15" w14:textId="77777777" w:rsidR="00C1341E" w:rsidRDefault="00C1341E"/>
    <w:p w14:paraId="0F262E2F" w14:textId="77777777" w:rsidR="00227DD7" w:rsidRDefault="00227DD7"/>
    <w:p w14:paraId="49889354" w14:textId="77777777" w:rsidR="00227DD7" w:rsidRDefault="00227DD7"/>
    <w:p w14:paraId="7A4CD21D" w14:textId="77777777" w:rsidR="00227DD7" w:rsidRDefault="00227DD7"/>
    <w:p w14:paraId="6B5D46F5" w14:textId="77777777" w:rsidR="00227DD7" w:rsidRDefault="00227DD7"/>
    <w:p w14:paraId="258B9297" w14:textId="77777777" w:rsidR="00C1341E" w:rsidRDefault="00000000">
      <w:pPr>
        <w:jc w:val="center"/>
        <w:rPr>
          <w:color w:val="1F497D"/>
        </w:rPr>
      </w:pPr>
      <w:bookmarkStart w:id="12" w:name="_17dp8vu" w:colFirst="0" w:colLast="0"/>
      <w:bookmarkEnd w:id="12"/>
      <w:r>
        <w:rPr>
          <w:b/>
        </w:rPr>
        <w:lastRenderedPageBreak/>
        <w:t>Tabla 1</w:t>
      </w:r>
      <w:r>
        <w:t>. Trabajo colaborativo</w:t>
      </w:r>
      <w:r>
        <w:rPr>
          <w:color w:val="010205"/>
        </w:rPr>
        <w:t xml:space="preserve"> y expectativas docentes</w:t>
      </w:r>
    </w:p>
    <w:tbl>
      <w:tblPr>
        <w:tblStyle w:val="a"/>
        <w:tblW w:w="91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1"/>
        <w:gridCol w:w="1547"/>
        <w:gridCol w:w="782"/>
        <w:gridCol w:w="4025"/>
      </w:tblGrid>
      <w:tr w:rsidR="00C1341E" w14:paraId="77B759F3" w14:textId="77777777">
        <w:trPr>
          <w:cantSplit/>
          <w:trHeight w:val="113"/>
        </w:trPr>
        <w:tc>
          <w:tcPr>
            <w:tcW w:w="2781" w:type="dxa"/>
            <w:shd w:val="clear" w:color="auto" w:fill="auto"/>
            <w:vAlign w:val="center"/>
          </w:tcPr>
          <w:p w14:paraId="76837C26" w14:textId="77777777" w:rsidR="00C1341E" w:rsidRDefault="00C1341E">
            <w:pPr>
              <w:jc w:val="center"/>
            </w:pPr>
            <w:bookmarkStart w:id="13" w:name="_3rdcrjn" w:colFirst="0" w:colLast="0"/>
            <w:bookmarkEnd w:id="13"/>
          </w:p>
        </w:tc>
        <w:tc>
          <w:tcPr>
            <w:tcW w:w="1547" w:type="dxa"/>
            <w:shd w:val="clear" w:color="auto" w:fill="auto"/>
            <w:vAlign w:val="center"/>
          </w:tcPr>
          <w:p w14:paraId="2D3EC115" w14:textId="77777777" w:rsidR="00C1341E" w:rsidRDefault="00000000">
            <w:pPr>
              <w:ind w:left="60" w:right="60"/>
              <w:jc w:val="center"/>
            </w:pPr>
            <w:r>
              <w:t>Valor</w:t>
            </w:r>
          </w:p>
        </w:tc>
        <w:tc>
          <w:tcPr>
            <w:tcW w:w="782" w:type="dxa"/>
            <w:shd w:val="clear" w:color="auto" w:fill="auto"/>
            <w:vAlign w:val="center"/>
          </w:tcPr>
          <w:p w14:paraId="5B81FF18" w14:textId="77777777" w:rsidR="00C1341E" w:rsidRDefault="00000000">
            <w:pPr>
              <w:ind w:left="60" w:right="60"/>
              <w:jc w:val="center"/>
            </w:pPr>
            <w:proofErr w:type="spellStart"/>
            <w:r>
              <w:t>df</w:t>
            </w:r>
            <w:proofErr w:type="spellEnd"/>
          </w:p>
        </w:tc>
        <w:tc>
          <w:tcPr>
            <w:tcW w:w="4025" w:type="dxa"/>
            <w:shd w:val="clear" w:color="auto" w:fill="auto"/>
            <w:vAlign w:val="center"/>
          </w:tcPr>
          <w:p w14:paraId="25242BF7" w14:textId="77777777" w:rsidR="00C1341E" w:rsidRDefault="00000000">
            <w:pPr>
              <w:ind w:left="60" w:right="60"/>
              <w:jc w:val="center"/>
            </w:pPr>
            <w:r>
              <w:t>Significación asintótica (bilateral)</w:t>
            </w:r>
          </w:p>
        </w:tc>
      </w:tr>
      <w:tr w:rsidR="00C1341E" w14:paraId="0664C166" w14:textId="77777777">
        <w:trPr>
          <w:cantSplit/>
          <w:trHeight w:val="113"/>
        </w:trPr>
        <w:tc>
          <w:tcPr>
            <w:tcW w:w="2781" w:type="dxa"/>
            <w:shd w:val="clear" w:color="auto" w:fill="auto"/>
            <w:vAlign w:val="center"/>
          </w:tcPr>
          <w:p w14:paraId="5002BA75" w14:textId="77777777" w:rsidR="00C1341E" w:rsidRDefault="00000000">
            <w:pPr>
              <w:ind w:left="60" w:right="60"/>
              <w:jc w:val="center"/>
            </w:pPr>
            <w:r>
              <w:t>Chi-cuadrado de Pearson</w:t>
            </w:r>
          </w:p>
        </w:tc>
        <w:tc>
          <w:tcPr>
            <w:tcW w:w="1547" w:type="dxa"/>
            <w:shd w:val="clear" w:color="auto" w:fill="auto"/>
            <w:vAlign w:val="center"/>
          </w:tcPr>
          <w:p w14:paraId="13B80C06" w14:textId="77777777" w:rsidR="00C1341E" w:rsidRDefault="00000000">
            <w:pPr>
              <w:ind w:left="60" w:right="60"/>
              <w:jc w:val="center"/>
            </w:pPr>
            <w:r>
              <w:t>17.267</w:t>
            </w:r>
            <w:r>
              <w:rPr>
                <w:vertAlign w:val="superscript"/>
              </w:rPr>
              <w:t>a</w:t>
            </w:r>
          </w:p>
        </w:tc>
        <w:tc>
          <w:tcPr>
            <w:tcW w:w="782" w:type="dxa"/>
            <w:shd w:val="clear" w:color="auto" w:fill="auto"/>
            <w:vAlign w:val="center"/>
          </w:tcPr>
          <w:p w14:paraId="16B1FCC7" w14:textId="77777777" w:rsidR="00C1341E" w:rsidRDefault="00000000">
            <w:pPr>
              <w:ind w:left="60" w:right="60"/>
              <w:jc w:val="center"/>
            </w:pPr>
            <w:r>
              <w:t>4</w:t>
            </w:r>
          </w:p>
        </w:tc>
        <w:tc>
          <w:tcPr>
            <w:tcW w:w="4025" w:type="dxa"/>
            <w:shd w:val="clear" w:color="auto" w:fill="auto"/>
            <w:vAlign w:val="center"/>
          </w:tcPr>
          <w:p w14:paraId="453B136B" w14:textId="77777777" w:rsidR="00C1341E" w:rsidRDefault="00000000">
            <w:pPr>
              <w:ind w:left="60" w:right="60"/>
              <w:jc w:val="center"/>
            </w:pPr>
            <w:r>
              <w:t>.002</w:t>
            </w:r>
          </w:p>
        </w:tc>
      </w:tr>
      <w:tr w:rsidR="00C1341E" w14:paraId="38296640" w14:textId="77777777">
        <w:trPr>
          <w:cantSplit/>
          <w:trHeight w:val="113"/>
        </w:trPr>
        <w:tc>
          <w:tcPr>
            <w:tcW w:w="2781" w:type="dxa"/>
            <w:shd w:val="clear" w:color="auto" w:fill="auto"/>
            <w:vAlign w:val="center"/>
          </w:tcPr>
          <w:p w14:paraId="625C0B24" w14:textId="77777777" w:rsidR="00C1341E" w:rsidRDefault="00000000">
            <w:pPr>
              <w:ind w:left="60" w:right="60"/>
              <w:jc w:val="center"/>
            </w:pPr>
            <w:r>
              <w:t>Razón de verosimilitud</w:t>
            </w:r>
          </w:p>
        </w:tc>
        <w:tc>
          <w:tcPr>
            <w:tcW w:w="1547" w:type="dxa"/>
            <w:shd w:val="clear" w:color="auto" w:fill="auto"/>
            <w:vAlign w:val="center"/>
          </w:tcPr>
          <w:p w14:paraId="002460EA" w14:textId="77777777" w:rsidR="00C1341E" w:rsidRDefault="00000000">
            <w:pPr>
              <w:ind w:left="60" w:right="60"/>
              <w:jc w:val="center"/>
            </w:pPr>
            <w:r>
              <w:t>19.253</w:t>
            </w:r>
          </w:p>
        </w:tc>
        <w:tc>
          <w:tcPr>
            <w:tcW w:w="782" w:type="dxa"/>
            <w:shd w:val="clear" w:color="auto" w:fill="auto"/>
            <w:vAlign w:val="center"/>
          </w:tcPr>
          <w:p w14:paraId="0EA695A7" w14:textId="77777777" w:rsidR="00C1341E" w:rsidRDefault="00000000">
            <w:pPr>
              <w:ind w:left="60" w:right="60"/>
              <w:jc w:val="center"/>
            </w:pPr>
            <w:r>
              <w:t>4</w:t>
            </w:r>
          </w:p>
        </w:tc>
        <w:tc>
          <w:tcPr>
            <w:tcW w:w="4025" w:type="dxa"/>
            <w:shd w:val="clear" w:color="auto" w:fill="auto"/>
            <w:vAlign w:val="center"/>
          </w:tcPr>
          <w:p w14:paraId="27C7D454" w14:textId="77777777" w:rsidR="00C1341E" w:rsidRDefault="00000000">
            <w:pPr>
              <w:ind w:left="60" w:right="60"/>
              <w:jc w:val="center"/>
            </w:pPr>
            <w:r>
              <w:t>.001</w:t>
            </w:r>
          </w:p>
        </w:tc>
      </w:tr>
      <w:tr w:rsidR="00C1341E" w14:paraId="427F03F5" w14:textId="77777777">
        <w:trPr>
          <w:cantSplit/>
          <w:trHeight w:val="113"/>
        </w:trPr>
        <w:tc>
          <w:tcPr>
            <w:tcW w:w="2781" w:type="dxa"/>
            <w:shd w:val="clear" w:color="auto" w:fill="auto"/>
            <w:vAlign w:val="center"/>
          </w:tcPr>
          <w:p w14:paraId="27447919" w14:textId="77777777" w:rsidR="00C1341E" w:rsidRDefault="00000000">
            <w:pPr>
              <w:ind w:left="60" w:right="60"/>
              <w:jc w:val="center"/>
            </w:pPr>
            <w:r>
              <w:t>Asociación lineal por lineal</w:t>
            </w:r>
          </w:p>
        </w:tc>
        <w:tc>
          <w:tcPr>
            <w:tcW w:w="1547" w:type="dxa"/>
            <w:shd w:val="clear" w:color="auto" w:fill="auto"/>
            <w:vAlign w:val="center"/>
          </w:tcPr>
          <w:p w14:paraId="08E67161" w14:textId="77777777" w:rsidR="00C1341E" w:rsidRDefault="00000000">
            <w:pPr>
              <w:ind w:left="60" w:right="60"/>
              <w:jc w:val="center"/>
            </w:pPr>
            <w:r>
              <w:t>6.322</w:t>
            </w:r>
          </w:p>
        </w:tc>
        <w:tc>
          <w:tcPr>
            <w:tcW w:w="782" w:type="dxa"/>
            <w:shd w:val="clear" w:color="auto" w:fill="auto"/>
            <w:vAlign w:val="center"/>
          </w:tcPr>
          <w:p w14:paraId="0B9839AF" w14:textId="77777777" w:rsidR="00C1341E" w:rsidRDefault="00000000">
            <w:pPr>
              <w:ind w:left="60" w:right="60"/>
              <w:jc w:val="center"/>
            </w:pPr>
            <w:r>
              <w:t>1</w:t>
            </w:r>
          </w:p>
        </w:tc>
        <w:tc>
          <w:tcPr>
            <w:tcW w:w="4025" w:type="dxa"/>
            <w:shd w:val="clear" w:color="auto" w:fill="auto"/>
            <w:vAlign w:val="center"/>
          </w:tcPr>
          <w:p w14:paraId="69E99ED3" w14:textId="77777777" w:rsidR="00C1341E" w:rsidRDefault="00000000">
            <w:pPr>
              <w:ind w:left="60" w:right="60"/>
              <w:jc w:val="center"/>
            </w:pPr>
            <w:r>
              <w:t>.012</w:t>
            </w:r>
          </w:p>
        </w:tc>
      </w:tr>
      <w:tr w:rsidR="00C1341E" w14:paraId="379324F3" w14:textId="77777777">
        <w:trPr>
          <w:cantSplit/>
          <w:trHeight w:val="113"/>
        </w:trPr>
        <w:tc>
          <w:tcPr>
            <w:tcW w:w="2781" w:type="dxa"/>
            <w:shd w:val="clear" w:color="auto" w:fill="auto"/>
            <w:vAlign w:val="center"/>
          </w:tcPr>
          <w:p w14:paraId="1DC798C9" w14:textId="77777777" w:rsidR="00C1341E" w:rsidRDefault="00000000">
            <w:pPr>
              <w:ind w:left="60" w:right="60"/>
              <w:jc w:val="center"/>
            </w:pPr>
            <w:r>
              <w:t>N de casos válidos</w:t>
            </w:r>
          </w:p>
        </w:tc>
        <w:tc>
          <w:tcPr>
            <w:tcW w:w="1547" w:type="dxa"/>
            <w:shd w:val="clear" w:color="auto" w:fill="auto"/>
            <w:vAlign w:val="center"/>
          </w:tcPr>
          <w:p w14:paraId="0D3D1523" w14:textId="77777777" w:rsidR="00C1341E" w:rsidRDefault="00000000">
            <w:pPr>
              <w:ind w:left="60" w:right="60"/>
              <w:jc w:val="center"/>
            </w:pPr>
            <w:r>
              <w:t>78</w:t>
            </w:r>
          </w:p>
        </w:tc>
        <w:tc>
          <w:tcPr>
            <w:tcW w:w="782" w:type="dxa"/>
            <w:shd w:val="clear" w:color="auto" w:fill="auto"/>
            <w:vAlign w:val="center"/>
          </w:tcPr>
          <w:p w14:paraId="7B60A971" w14:textId="77777777" w:rsidR="00C1341E" w:rsidRDefault="00C1341E">
            <w:pPr>
              <w:jc w:val="center"/>
            </w:pPr>
          </w:p>
        </w:tc>
        <w:tc>
          <w:tcPr>
            <w:tcW w:w="4025" w:type="dxa"/>
            <w:shd w:val="clear" w:color="auto" w:fill="auto"/>
            <w:vAlign w:val="center"/>
          </w:tcPr>
          <w:p w14:paraId="46514A10" w14:textId="77777777" w:rsidR="00C1341E" w:rsidRDefault="00C1341E">
            <w:pPr>
              <w:jc w:val="center"/>
            </w:pPr>
          </w:p>
        </w:tc>
      </w:tr>
    </w:tbl>
    <w:p w14:paraId="22FD4FA7" w14:textId="77777777" w:rsidR="00C1341E" w:rsidRDefault="00000000">
      <w:pPr>
        <w:jc w:val="center"/>
      </w:pPr>
      <w:r>
        <w:t>a. 2 casillas (22.2%) han esperado un recuento menor que 5. El recuento mínimo esperado es 2.62</w:t>
      </w:r>
    </w:p>
    <w:p w14:paraId="6AE5772F" w14:textId="77777777" w:rsidR="00C1341E" w:rsidRDefault="00000000">
      <w:pPr>
        <w:jc w:val="center"/>
      </w:pPr>
      <w:r>
        <w:rPr>
          <w:i/>
        </w:rPr>
        <w:t>Fuente</w:t>
      </w:r>
      <w:r>
        <w:t>: Análisis de correlación χ2 en SPSS ®.</w:t>
      </w:r>
    </w:p>
    <w:p w14:paraId="001A24CA" w14:textId="77777777" w:rsidR="00C1341E" w:rsidRDefault="00000000">
      <w:bookmarkStart w:id="14" w:name="_26in1rg" w:colFirst="0" w:colLast="0"/>
      <w:bookmarkEnd w:id="14"/>
      <w:r>
        <w:t>En la tabla 2 podemos identificar que las dimensiones trabajo en equipo y reconocimiento se relacionan con las expectativas, esto corrobora la presunción de que el trabajo colaborativo es beneficioso para las expectativas en el proceso y no se relaciona con los objetivos grupales, que implica una visión aislada de lo holístico.</w:t>
      </w:r>
    </w:p>
    <w:p w14:paraId="155E407F" w14:textId="77777777" w:rsidR="00C1341E" w:rsidRDefault="00C1341E">
      <w:pPr>
        <w:rPr>
          <w:sz w:val="22"/>
          <w:szCs w:val="22"/>
        </w:rPr>
      </w:pPr>
      <w:bookmarkStart w:id="15" w:name="_lnxbz9" w:colFirst="0" w:colLast="0"/>
      <w:bookmarkEnd w:id="15"/>
    </w:p>
    <w:p w14:paraId="5BDD16B9" w14:textId="77777777" w:rsidR="00C1341E" w:rsidRDefault="00000000">
      <w:pPr>
        <w:pBdr>
          <w:top w:val="nil"/>
          <w:left w:val="nil"/>
          <w:bottom w:val="nil"/>
          <w:right w:val="nil"/>
          <w:between w:val="nil"/>
        </w:pBdr>
        <w:ind w:left="567" w:hanging="567"/>
        <w:jc w:val="center"/>
        <w:rPr>
          <w:b/>
          <w:color w:val="000000"/>
        </w:rPr>
      </w:pPr>
      <w:r>
        <w:rPr>
          <w:b/>
          <w:color w:val="000000"/>
        </w:rPr>
        <w:t xml:space="preserve">Tabla 2. </w:t>
      </w:r>
      <w:r>
        <w:rPr>
          <w:color w:val="000000"/>
        </w:rPr>
        <w:t>Dimensiones del trabajo colaborativo y expectativas</w:t>
      </w:r>
    </w:p>
    <w:tbl>
      <w:tblPr>
        <w:tblStyle w:val="a0"/>
        <w:tblW w:w="91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3"/>
        <w:gridCol w:w="1230"/>
        <w:gridCol w:w="1230"/>
        <w:gridCol w:w="3742"/>
      </w:tblGrid>
      <w:tr w:rsidR="00C1341E" w14:paraId="07B1BBBC" w14:textId="77777777">
        <w:trPr>
          <w:cantSplit/>
          <w:trHeight w:val="20"/>
        </w:trPr>
        <w:tc>
          <w:tcPr>
            <w:tcW w:w="2933" w:type="dxa"/>
            <w:shd w:val="clear" w:color="auto" w:fill="auto"/>
            <w:vAlign w:val="bottom"/>
          </w:tcPr>
          <w:p w14:paraId="4BBD8EE9" w14:textId="77777777" w:rsidR="00C1341E" w:rsidRDefault="00C1341E">
            <w:pPr>
              <w:spacing w:line="240" w:lineRule="auto"/>
              <w:jc w:val="left"/>
            </w:pPr>
          </w:p>
        </w:tc>
        <w:tc>
          <w:tcPr>
            <w:tcW w:w="1230" w:type="dxa"/>
            <w:shd w:val="clear" w:color="auto" w:fill="auto"/>
            <w:vAlign w:val="bottom"/>
          </w:tcPr>
          <w:p w14:paraId="42205EC1" w14:textId="77777777" w:rsidR="00C1341E" w:rsidRDefault="00000000">
            <w:pPr>
              <w:ind w:left="60" w:right="60"/>
              <w:jc w:val="center"/>
            </w:pPr>
            <w:r>
              <w:t>Valor</w:t>
            </w:r>
          </w:p>
        </w:tc>
        <w:tc>
          <w:tcPr>
            <w:tcW w:w="1230" w:type="dxa"/>
            <w:shd w:val="clear" w:color="auto" w:fill="auto"/>
            <w:vAlign w:val="bottom"/>
          </w:tcPr>
          <w:p w14:paraId="6EDFF158" w14:textId="77777777" w:rsidR="00C1341E" w:rsidRDefault="00000000">
            <w:pPr>
              <w:ind w:left="60" w:right="60"/>
              <w:jc w:val="center"/>
            </w:pPr>
            <w:proofErr w:type="spellStart"/>
            <w:r>
              <w:t>df</w:t>
            </w:r>
            <w:proofErr w:type="spellEnd"/>
          </w:p>
        </w:tc>
        <w:tc>
          <w:tcPr>
            <w:tcW w:w="3742" w:type="dxa"/>
            <w:shd w:val="clear" w:color="auto" w:fill="auto"/>
            <w:vAlign w:val="bottom"/>
          </w:tcPr>
          <w:p w14:paraId="203AB801" w14:textId="77777777" w:rsidR="00C1341E" w:rsidRDefault="00000000">
            <w:pPr>
              <w:ind w:left="60" w:right="60"/>
              <w:jc w:val="center"/>
            </w:pPr>
            <w:r>
              <w:t>Significación asintótica (bilateral)</w:t>
            </w:r>
          </w:p>
        </w:tc>
      </w:tr>
      <w:tr w:rsidR="00C1341E" w14:paraId="4753FCB3" w14:textId="77777777">
        <w:trPr>
          <w:cantSplit/>
          <w:trHeight w:val="20"/>
        </w:trPr>
        <w:tc>
          <w:tcPr>
            <w:tcW w:w="2933" w:type="dxa"/>
            <w:shd w:val="clear" w:color="auto" w:fill="auto"/>
          </w:tcPr>
          <w:p w14:paraId="487BC5B5" w14:textId="77777777" w:rsidR="00C1341E" w:rsidRDefault="00000000">
            <w:pPr>
              <w:ind w:left="60" w:right="60"/>
              <w:jc w:val="left"/>
            </w:pPr>
            <w:r>
              <w:t>Objetivos grupales</w:t>
            </w:r>
          </w:p>
        </w:tc>
        <w:tc>
          <w:tcPr>
            <w:tcW w:w="1230" w:type="dxa"/>
            <w:shd w:val="clear" w:color="auto" w:fill="auto"/>
          </w:tcPr>
          <w:p w14:paraId="4F5C8340" w14:textId="77777777" w:rsidR="00C1341E" w:rsidRDefault="00000000">
            <w:pPr>
              <w:ind w:left="60" w:right="60"/>
              <w:jc w:val="center"/>
            </w:pPr>
            <w:r>
              <w:t>9.724</w:t>
            </w:r>
            <w:r>
              <w:rPr>
                <w:vertAlign w:val="superscript"/>
              </w:rPr>
              <w:t>a</w:t>
            </w:r>
          </w:p>
        </w:tc>
        <w:tc>
          <w:tcPr>
            <w:tcW w:w="1230" w:type="dxa"/>
            <w:shd w:val="clear" w:color="auto" w:fill="auto"/>
          </w:tcPr>
          <w:p w14:paraId="2B240791" w14:textId="77777777" w:rsidR="00C1341E" w:rsidRDefault="00000000">
            <w:pPr>
              <w:ind w:left="60" w:right="60"/>
              <w:jc w:val="center"/>
            </w:pPr>
            <w:r>
              <w:t>4</w:t>
            </w:r>
          </w:p>
        </w:tc>
        <w:tc>
          <w:tcPr>
            <w:tcW w:w="3742" w:type="dxa"/>
            <w:shd w:val="clear" w:color="auto" w:fill="auto"/>
          </w:tcPr>
          <w:p w14:paraId="20430CEF" w14:textId="77777777" w:rsidR="00C1341E" w:rsidRDefault="00000000">
            <w:pPr>
              <w:ind w:left="60" w:right="60"/>
              <w:jc w:val="center"/>
            </w:pPr>
            <w:r>
              <w:t>.045</w:t>
            </w:r>
          </w:p>
        </w:tc>
      </w:tr>
      <w:tr w:rsidR="00C1341E" w14:paraId="2F7635D5" w14:textId="77777777">
        <w:trPr>
          <w:cantSplit/>
          <w:trHeight w:val="20"/>
        </w:trPr>
        <w:tc>
          <w:tcPr>
            <w:tcW w:w="2933" w:type="dxa"/>
            <w:shd w:val="clear" w:color="auto" w:fill="auto"/>
          </w:tcPr>
          <w:p w14:paraId="7C122AA0" w14:textId="77777777" w:rsidR="00C1341E" w:rsidRDefault="00000000">
            <w:pPr>
              <w:ind w:left="60" w:right="60"/>
              <w:jc w:val="left"/>
            </w:pPr>
            <w:r>
              <w:t>Trabajo en equipo</w:t>
            </w:r>
          </w:p>
        </w:tc>
        <w:tc>
          <w:tcPr>
            <w:tcW w:w="1230" w:type="dxa"/>
            <w:shd w:val="clear" w:color="auto" w:fill="auto"/>
          </w:tcPr>
          <w:p w14:paraId="5FFA46E4" w14:textId="77777777" w:rsidR="00C1341E" w:rsidRDefault="00000000">
            <w:pPr>
              <w:ind w:left="60" w:right="60"/>
              <w:jc w:val="center"/>
            </w:pPr>
            <w:r>
              <w:t>14.104</w:t>
            </w:r>
          </w:p>
        </w:tc>
        <w:tc>
          <w:tcPr>
            <w:tcW w:w="1230" w:type="dxa"/>
            <w:shd w:val="clear" w:color="auto" w:fill="auto"/>
          </w:tcPr>
          <w:p w14:paraId="1F7E81F4" w14:textId="77777777" w:rsidR="00C1341E" w:rsidRDefault="00000000">
            <w:pPr>
              <w:ind w:left="60" w:right="60"/>
              <w:jc w:val="center"/>
            </w:pPr>
            <w:r>
              <w:t>4</w:t>
            </w:r>
          </w:p>
        </w:tc>
        <w:tc>
          <w:tcPr>
            <w:tcW w:w="3742" w:type="dxa"/>
            <w:shd w:val="clear" w:color="auto" w:fill="auto"/>
          </w:tcPr>
          <w:p w14:paraId="534C4169" w14:textId="77777777" w:rsidR="00C1341E" w:rsidRDefault="00000000">
            <w:pPr>
              <w:ind w:left="60" w:right="60"/>
              <w:jc w:val="center"/>
            </w:pPr>
            <w:r>
              <w:t>.007</w:t>
            </w:r>
          </w:p>
        </w:tc>
      </w:tr>
      <w:tr w:rsidR="00C1341E" w14:paraId="7DB026D1" w14:textId="77777777">
        <w:trPr>
          <w:cantSplit/>
          <w:trHeight w:val="20"/>
        </w:trPr>
        <w:tc>
          <w:tcPr>
            <w:tcW w:w="2933" w:type="dxa"/>
            <w:shd w:val="clear" w:color="auto" w:fill="auto"/>
          </w:tcPr>
          <w:p w14:paraId="64FBFA4D" w14:textId="77777777" w:rsidR="00C1341E" w:rsidRDefault="00000000">
            <w:pPr>
              <w:ind w:left="60" w:right="60"/>
              <w:jc w:val="left"/>
            </w:pPr>
            <w:r>
              <w:t>Reconocimiento</w:t>
            </w:r>
          </w:p>
        </w:tc>
        <w:tc>
          <w:tcPr>
            <w:tcW w:w="1230" w:type="dxa"/>
            <w:shd w:val="clear" w:color="auto" w:fill="auto"/>
          </w:tcPr>
          <w:p w14:paraId="31BE5894" w14:textId="77777777" w:rsidR="00C1341E" w:rsidRDefault="00000000">
            <w:pPr>
              <w:ind w:left="60" w:right="60"/>
              <w:jc w:val="center"/>
            </w:pPr>
            <w:r>
              <w:t>11.335</w:t>
            </w:r>
          </w:p>
        </w:tc>
        <w:tc>
          <w:tcPr>
            <w:tcW w:w="1230" w:type="dxa"/>
            <w:shd w:val="clear" w:color="auto" w:fill="auto"/>
          </w:tcPr>
          <w:p w14:paraId="6E59023A" w14:textId="77777777" w:rsidR="00C1341E" w:rsidRDefault="00000000">
            <w:pPr>
              <w:ind w:left="60" w:right="60"/>
              <w:jc w:val="center"/>
            </w:pPr>
            <w:r>
              <w:t>4</w:t>
            </w:r>
          </w:p>
        </w:tc>
        <w:tc>
          <w:tcPr>
            <w:tcW w:w="3742" w:type="dxa"/>
            <w:shd w:val="clear" w:color="auto" w:fill="auto"/>
          </w:tcPr>
          <w:p w14:paraId="67B74A74" w14:textId="77777777" w:rsidR="00C1341E" w:rsidRDefault="00000000">
            <w:pPr>
              <w:ind w:left="60" w:right="60"/>
              <w:jc w:val="center"/>
            </w:pPr>
            <w:r>
              <w:t>.023</w:t>
            </w:r>
          </w:p>
        </w:tc>
      </w:tr>
      <w:tr w:rsidR="00C1341E" w14:paraId="0A28E157" w14:textId="77777777">
        <w:trPr>
          <w:cantSplit/>
          <w:trHeight w:val="20"/>
        </w:trPr>
        <w:tc>
          <w:tcPr>
            <w:tcW w:w="2933" w:type="dxa"/>
            <w:shd w:val="clear" w:color="auto" w:fill="auto"/>
          </w:tcPr>
          <w:p w14:paraId="69CE2898" w14:textId="77777777" w:rsidR="00C1341E" w:rsidRDefault="00000000">
            <w:pPr>
              <w:ind w:left="60" w:right="60"/>
              <w:jc w:val="left"/>
            </w:pPr>
            <w:r>
              <w:t>N de casos válidos</w:t>
            </w:r>
          </w:p>
        </w:tc>
        <w:tc>
          <w:tcPr>
            <w:tcW w:w="1230" w:type="dxa"/>
            <w:shd w:val="clear" w:color="auto" w:fill="auto"/>
          </w:tcPr>
          <w:p w14:paraId="24F8350C" w14:textId="77777777" w:rsidR="00C1341E" w:rsidRDefault="00000000">
            <w:pPr>
              <w:ind w:left="60" w:right="60"/>
              <w:jc w:val="center"/>
            </w:pPr>
            <w:r>
              <w:t>78</w:t>
            </w:r>
          </w:p>
        </w:tc>
        <w:tc>
          <w:tcPr>
            <w:tcW w:w="1230" w:type="dxa"/>
            <w:shd w:val="clear" w:color="auto" w:fill="auto"/>
            <w:vAlign w:val="center"/>
          </w:tcPr>
          <w:p w14:paraId="6117E16D" w14:textId="77777777" w:rsidR="00C1341E" w:rsidRDefault="00C1341E">
            <w:pPr>
              <w:spacing w:line="240" w:lineRule="auto"/>
              <w:jc w:val="center"/>
            </w:pPr>
          </w:p>
        </w:tc>
        <w:tc>
          <w:tcPr>
            <w:tcW w:w="3742" w:type="dxa"/>
            <w:shd w:val="clear" w:color="auto" w:fill="auto"/>
            <w:vAlign w:val="center"/>
          </w:tcPr>
          <w:p w14:paraId="6C300B28" w14:textId="77777777" w:rsidR="00C1341E" w:rsidRDefault="00C1341E">
            <w:pPr>
              <w:spacing w:line="240" w:lineRule="auto"/>
              <w:jc w:val="center"/>
            </w:pPr>
          </w:p>
        </w:tc>
      </w:tr>
    </w:tbl>
    <w:p w14:paraId="5D5977FB" w14:textId="77777777" w:rsidR="00C1341E" w:rsidRDefault="00000000">
      <w:pPr>
        <w:jc w:val="center"/>
      </w:pPr>
      <w:r>
        <w:t>a. 2 casillas (22.2%) han esperado un recuento menor que 5. El recuento mínimo esperado es 2.62.</w:t>
      </w:r>
    </w:p>
    <w:p w14:paraId="4C5CCCEC" w14:textId="77777777" w:rsidR="00C1341E" w:rsidRDefault="00000000">
      <w:pPr>
        <w:jc w:val="center"/>
      </w:pPr>
      <w:r>
        <w:rPr>
          <w:i/>
        </w:rPr>
        <w:t>Fuente</w:t>
      </w:r>
      <w:r>
        <w:t>: Análisis de correlación χ2 en SPSS ®.</w:t>
      </w:r>
    </w:p>
    <w:p w14:paraId="1F2E536D" w14:textId="77777777" w:rsidR="00C1341E" w:rsidRDefault="00000000">
      <w:r>
        <w:t xml:space="preserve">En la tabla 3 se identificó que el nivel de trabajo colaborativo percibido como más frecuente es el regular con un 48.72%, lo que indica una percepción media del trabajo organizado y cooperativo.  A su vez el 35.90% percibe un nivel insatisfactorio y tan solo un 15.38% interpreta un nivel satisfactorio. De igual manera se identificó que en el nivel de expectativa docente en relación con el proceso inclusivo se encuentra que el nivel más frecuente es el medio, con un porcentaje de 53.85%, que señala expectativas mediocres sobre capacidades y conductas específicas de los estudiantes, a su vez elabora objetivos tomando en cuenta el desempeño de los estudiantes.  Se encontró también que el nivel alto se encuentra en un 24.36% que nos indica que el docente enseña en función del ritmo de aprendizaje y se </w:t>
      </w:r>
      <w:r>
        <w:lastRenderedPageBreak/>
        <w:t>conduce en función a los estilos de este; brindando atención particular a los estudiantes de menor rendimiento e implementando el trabajo en equipo en los estudiantes.</w:t>
      </w:r>
    </w:p>
    <w:p w14:paraId="4F434055" w14:textId="77777777" w:rsidR="00C1341E" w:rsidRDefault="00C1341E"/>
    <w:p w14:paraId="6207DE82" w14:textId="77777777" w:rsidR="00C1341E" w:rsidRDefault="00000000">
      <w:pPr>
        <w:pBdr>
          <w:top w:val="nil"/>
          <w:left w:val="nil"/>
          <w:bottom w:val="nil"/>
          <w:right w:val="nil"/>
          <w:between w:val="nil"/>
        </w:pBdr>
        <w:ind w:left="567" w:hanging="567"/>
        <w:jc w:val="center"/>
        <w:rPr>
          <w:b/>
          <w:color w:val="1F497D"/>
          <w:sz w:val="22"/>
          <w:szCs w:val="22"/>
        </w:rPr>
      </w:pPr>
      <w:r>
        <w:rPr>
          <w:b/>
          <w:color w:val="000000"/>
          <w:sz w:val="22"/>
          <w:szCs w:val="22"/>
        </w:rPr>
        <w:t xml:space="preserve">Tabla 3. </w:t>
      </w:r>
      <w:r>
        <w:rPr>
          <w:color w:val="000000"/>
        </w:rPr>
        <w:t>Nivel de trabajo colaborativo y expectativa docente</w:t>
      </w:r>
    </w:p>
    <w:tbl>
      <w:tblPr>
        <w:tblStyle w:val="a1"/>
        <w:tblW w:w="8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2"/>
        <w:gridCol w:w="1241"/>
        <w:gridCol w:w="1240"/>
        <w:gridCol w:w="1367"/>
        <w:gridCol w:w="1193"/>
        <w:gridCol w:w="1153"/>
      </w:tblGrid>
      <w:tr w:rsidR="00C1341E" w14:paraId="223B9252" w14:textId="77777777">
        <w:trPr>
          <w:trHeight w:val="288"/>
        </w:trPr>
        <w:tc>
          <w:tcPr>
            <w:tcW w:w="2582" w:type="dxa"/>
            <w:shd w:val="clear" w:color="auto" w:fill="auto"/>
            <w:vAlign w:val="center"/>
          </w:tcPr>
          <w:p w14:paraId="62F01510" w14:textId="77777777" w:rsidR="00C1341E" w:rsidRDefault="00000000">
            <w:pPr>
              <w:jc w:val="center"/>
              <w:rPr>
                <w:color w:val="000000"/>
              </w:rPr>
            </w:pPr>
            <w:r>
              <w:rPr>
                <w:color w:val="000000"/>
              </w:rPr>
              <w:t>Trabajo colaborativo</w:t>
            </w:r>
          </w:p>
        </w:tc>
        <w:tc>
          <w:tcPr>
            <w:tcW w:w="1241" w:type="dxa"/>
            <w:shd w:val="clear" w:color="auto" w:fill="auto"/>
            <w:vAlign w:val="center"/>
          </w:tcPr>
          <w:p w14:paraId="2F64FFF9" w14:textId="77777777" w:rsidR="00C1341E" w:rsidRDefault="00000000">
            <w:pPr>
              <w:jc w:val="center"/>
              <w:rPr>
                <w:color w:val="000000"/>
              </w:rPr>
            </w:pPr>
            <w:r>
              <w:rPr>
                <w:color w:val="000000"/>
              </w:rPr>
              <w:t>Frecuencia</w:t>
            </w:r>
          </w:p>
        </w:tc>
        <w:tc>
          <w:tcPr>
            <w:tcW w:w="1240" w:type="dxa"/>
            <w:shd w:val="clear" w:color="auto" w:fill="auto"/>
            <w:vAlign w:val="center"/>
          </w:tcPr>
          <w:p w14:paraId="50BCC248" w14:textId="77777777" w:rsidR="00C1341E" w:rsidRDefault="00000000">
            <w:pPr>
              <w:jc w:val="center"/>
              <w:rPr>
                <w:color w:val="000000"/>
              </w:rPr>
            </w:pPr>
            <w:r>
              <w:rPr>
                <w:color w:val="000000"/>
              </w:rPr>
              <w:t>Porcentaje</w:t>
            </w:r>
          </w:p>
        </w:tc>
        <w:tc>
          <w:tcPr>
            <w:tcW w:w="1367" w:type="dxa"/>
            <w:vAlign w:val="center"/>
          </w:tcPr>
          <w:p w14:paraId="7476214A" w14:textId="77777777" w:rsidR="00C1341E" w:rsidRDefault="00000000">
            <w:pPr>
              <w:jc w:val="center"/>
              <w:rPr>
                <w:color w:val="000000"/>
              </w:rPr>
            </w:pPr>
            <w:proofErr w:type="gramStart"/>
            <w:r>
              <w:rPr>
                <w:color w:val="000000"/>
              </w:rPr>
              <w:t>Expectativas docente</w:t>
            </w:r>
            <w:proofErr w:type="gramEnd"/>
          </w:p>
        </w:tc>
        <w:tc>
          <w:tcPr>
            <w:tcW w:w="1193" w:type="dxa"/>
            <w:vAlign w:val="center"/>
          </w:tcPr>
          <w:p w14:paraId="72E80B9E" w14:textId="77777777" w:rsidR="00C1341E" w:rsidRDefault="00000000">
            <w:pPr>
              <w:jc w:val="center"/>
              <w:rPr>
                <w:color w:val="000000"/>
              </w:rPr>
            </w:pPr>
            <w:r>
              <w:rPr>
                <w:color w:val="000000"/>
              </w:rPr>
              <w:t>Frecuencia</w:t>
            </w:r>
          </w:p>
        </w:tc>
        <w:tc>
          <w:tcPr>
            <w:tcW w:w="1153" w:type="dxa"/>
            <w:vAlign w:val="center"/>
          </w:tcPr>
          <w:p w14:paraId="4B12906D" w14:textId="77777777" w:rsidR="00C1341E" w:rsidRDefault="00000000">
            <w:pPr>
              <w:jc w:val="center"/>
              <w:rPr>
                <w:color w:val="000000"/>
              </w:rPr>
            </w:pPr>
            <w:r>
              <w:rPr>
                <w:color w:val="000000"/>
              </w:rPr>
              <w:t>Porcentaje</w:t>
            </w:r>
          </w:p>
        </w:tc>
      </w:tr>
      <w:tr w:rsidR="00C1341E" w14:paraId="10936A38" w14:textId="77777777">
        <w:trPr>
          <w:trHeight w:val="288"/>
        </w:trPr>
        <w:tc>
          <w:tcPr>
            <w:tcW w:w="2582" w:type="dxa"/>
            <w:shd w:val="clear" w:color="auto" w:fill="auto"/>
            <w:vAlign w:val="center"/>
          </w:tcPr>
          <w:p w14:paraId="62691CC4" w14:textId="77777777" w:rsidR="00C1341E" w:rsidRDefault="00000000">
            <w:pPr>
              <w:jc w:val="center"/>
              <w:rPr>
                <w:color w:val="000000"/>
              </w:rPr>
            </w:pPr>
            <w:r>
              <w:rPr>
                <w:color w:val="000000"/>
              </w:rPr>
              <w:t>Satisfactorio</w:t>
            </w:r>
          </w:p>
        </w:tc>
        <w:tc>
          <w:tcPr>
            <w:tcW w:w="1241" w:type="dxa"/>
            <w:shd w:val="clear" w:color="auto" w:fill="auto"/>
            <w:vAlign w:val="center"/>
          </w:tcPr>
          <w:p w14:paraId="75818841" w14:textId="77777777" w:rsidR="00C1341E" w:rsidRDefault="00000000">
            <w:pPr>
              <w:jc w:val="center"/>
              <w:rPr>
                <w:color w:val="000000"/>
              </w:rPr>
            </w:pPr>
            <w:r>
              <w:rPr>
                <w:color w:val="000000"/>
              </w:rPr>
              <w:t>12</w:t>
            </w:r>
          </w:p>
        </w:tc>
        <w:tc>
          <w:tcPr>
            <w:tcW w:w="1240" w:type="dxa"/>
            <w:shd w:val="clear" w:color="auto" w:fill="auto"/>
            <w:vAlign w:val="center"/>
          </w:tcPr>
          <w:p w14:paraId="05552BE4" w14:textId="77777777" w:rsidR="00C1341E" w:rsidRDefault="00000000">
            <w:pPr>
              <w:jc w:val="center"/>
              <w:rPr>
                <w:color w:val="000000"/>
              </w:rPr>
            </w:pPr>
            <w:r>
              <w:rPr>
                <w:color w:val="000000"/>
              </w:rPr>
              <w:t>15.38%</w:t>
            </w:r>
          </w:p>
        </w:tc>
        <w:tc>
          <w:tcPr>
            <w:tcW w:w="1367" w:type="dxa"/>
            <w:vAlign w:val="center"/>
          </w:tcPr>
          <w:p w14:paraId="2F816A20" w14:textId="77777777" w:rsidR="00C1341E" w:rsidRDefault="00000000">
            <w:pPr>
              <w:jc w:val="center"/>
              <w:rPr>
                <w:color w:val="000000"/>
              </w:rPr>
            </w:pPr>
            <w:r>
              <w:rPr>
                <w:color w:val="000000"/>
              </w:rPr>
              <w:t>Alto</w:t>
            </w:r>
          </w:p>
        </w:tc>
        <w:tc>
          <w:tcPr>
            <w:tcW w:w="1193" w:type="dxa"/>
            <w:vAlign w:val="center"/>
          </w:tcPr>
          <w:p w14:paraId="12D10C1E" w14:textId="77777777" w:rsidR="00C1341E" w:rsidRDefault="00000000">
            <w:pPr>
              <w:jc w:val="center"/>
              <w:rPr>
                <w:color w:val="000000"/>
              </w:rPr>
            </w:pPr>
            <w:r>
              <w:rPr>
                <w:color w:val="000000"/>
              </w:rPr>
              <w:t>19</w:t>
            </w:r>
          </w:p>
        </w:tc>
        <w:tc>
          <w:tcPr>
            <w:tcW w:w="1153" w:type="dxa"/>
            <w:vAlign w:val="center"/>
          </w:tcPr>
          <w:p w14:paraId="78CAA11A" w14:textId="77777777" w:rsidR="00C1341E" w:rsidRDefault="00000000">
            <w:pPr>
              <w:jc w:val="center"/>
              <w:rPr>
                <w:color w:val="000000"/>
              </w:rPr>
            </w:pPr>
            <w:r>
              <w:rPr>
                <w:color w:val="000000"/>
              </w:rPr>
              <w:t>24.36%</w:t>
            </w:r>
          </w:p>
        </w:tc>
      </w:tr>
      <w:tr w:rsidR="00C1341E" w14:paraId="2F49EDA4" w14:textId="77777777">
        <w:trPr>
          <w:trHeight w:val="288"/>
        </w:trPr>
        <w:tc>
          <w:tcPr>
            <w:tcW w:w="2582" w:type="dxa"/>
            <w:shd w:val="clear" w:color="auto" w:fill="auto"/>
            <w:vAlign w:val="center"/>
          </w:tcPr>
          <w:p w14:paraId="025E9EEB" w14:textId="77777777" w:rsidR="00C1341E" w:rsidRDefault="00000000">
            <w:pPr>
              <w:jc w:val="center"/>
              <w:rPr>
                <w:color w:val="000000"/>
              </w:rPr>
            </w:pPr>
            <w:r>
              <w:rPr>
                <w:color w:val="000000"/>
              </w:rPr>
              <w:t>Regular</w:t>
            </w:r>
          </w:p>
        </w:tc>
        <w:tc>
          <w:tcPr>
            <w:tcW w:w="1241" w:type="dxa"/>
            <w:shd w:val="clear" w:color="auto" w:fill="auto"/>
            <w:vAlign w:val="center"/>
          </w:tcPr>
          <w:p w14:paraId="0303562C" w14:textId="77777777" w:rsidR="00C1341E" w:rsidRDefault="00000000">
            <w:pPr>
              <w:jc w:val="center"/>
              <w:rPr>
                <w:color w:val="000000"/>
              </w:rPr>
            </w:pPr>
            <w:r>
              <w:rPr>
                <w:color w:val="000000"/>
              </w:rPr>
              <w:t>38</w:t>
            </w:r>
          </w:p>
        </w:tc>
        <w:tc>
          <w:tcPr>
            <w:tcW w:w="1240" w:type="dxa"/>
            <w:shd w:val="clear" w:color="auto" w:fill="auto"/>
            <w:vAlign w:val="center"/>
          </w:tcPr>
          <w:p w14:paraId="320D7D53" w14:textId="77777777" w:rsidR="00C1341E" w:rsidRDefault="00000000">
            <w:pPr>
              <w:jc w:val="center"/>
              <w:rPr>
                <w:color w:val="000000"/>
              </w:rPr>
            </w:pPr>
            <w:r>
              <w:rPr>
                <w:color w:val="000000"/>
              </w:rPr>
              <w:t>48.72%</w:t>
            </w:r>
          </w:p>
        </w:tc>
        <w:tc>
          <w:tcPr>
            <w:tcW w:w="1367" w:type="dxa"/>
            <w:vAlign w:val="center"/>
          </w:tcPr>
          <w:p w14:paraId="4A8DB17D" w14:textId="77777777" w:rsidR="00C1341E" w:rsidRDefault="00000000">
            <w:pPr>
              <w:jc w:val="center"/>
              <w:rPr>
                <w:color w:val="000000"/>
              </w:rPr>
            </w:pPr>
            <w:r>
              <w:rPr>
                <w:color w:val="000000"/>
              </w:rPr>
              <w:t>Medio</w:t>
            </w:r>
          </w:p>
        </w:tc>
        <w:tc>
          <w:tcPr>
            <w:tcW w:w="1193" w:type="dxa"/>
            <w:vAlign w:val="center"/>
          </w:tcPr>
          <w:p w14:paraId="38DEE087" w14:textId="77777777" w:rsidR="00C1341E" w:rsidRDefault="00000000">
            <w:pPr>
              <w:jc w:val="center"/>
              <w:rPr>
                <w:color w:val="000000"/>
              </w:rPr>
            </w:pPr>
            <w:r>
              <w:rPr>
                <w:color w:val="000000"/>
              </w:rPr>
              <w:t>42</w:t>
            </w:r>
          </w:p>
        </w:tc>
        <w:tc>
          <w:tcPr>
            <w:tcW w:w="1153" w:type="dxa"/>
            <w:vAlign w:val="center"/>
          </w:tcPr>
          <w:p w14:paraId="595865E5" w14:textId="77777777" w:rsidR="00C1341E" w:rsidRDefault="00000000">
            <w:pPr>
              <w:jc w:val="center"/>
              <w:rPr>
                <w:color w:val="000000"/>
              </w:rPr>
            </w:pPr>
            <w:r>
              <w:rPr>
                <w:color w:val="000000"/>
              </w:rPr>
              <w:t>53.85%</w:t>
            </w:r>
          </w:p>
        </w:tc>
      </w:tr>
      <w:tr w:rsidR="00C1341E" w14:paraId="39496EFE" w14:textId="77777777">
        <w:trPr>
          <w:trHeight w:val="288"/>
        </w:trPr>
        <w:tc>
          <w:tcPr>
            <w:tcW w:w="2582" w:type="dxa"/>
            <w:shd w:val="clear" w:color="auto" w:fill="auto"/>
            <w:vAlign w:val="center"/>
          </w:tcPr>
          <w:p w14:paraId="422E7230" w14:textId="77777777" w:rsidR="00C1341E" w:rsidRDefault="00000000">
            <w:pPr>
              <w:jc w:val="center"/>
              <w:rPr>
                <w:color w:val="000000"/>
              </w:rPr>
            </w:pPr>
            <w:r>
              <w:rPr>
                <w:color w:val="000000"/>
              </w:rPr>
              <w:t>insatisfactorio</w:t>
            </w:r>
          </w:p>
        </w:tc>
        <w:tc>
          <w:tcPr>
            <w:tcW w:w="1241" w:type="dxa"/>
            <w:shd w:val="clear" w:color="auto" w:fill="auto"/>
            <w:vAlign w:val="center"/>
          </w:tcPr>
          <w:p w14:paraId="0ADF6B77" w14:textId="77777777" w:rsidR="00C1341E" w:rsidRDefault="00000000">
            <w:pPr>
              <w:jc w:val="center"/>
              <w:rPr>
                <w:color w:val="000000"/>
              </w:rPr>
            </w:pPr>
            <w:r>
              <w:rPr>
                <w:color w:val="000000"/>
              </w:rPr>
              <w:t>28</w:t>
            </w:r>
          </w:p>
        </w:tc>
        <w:tc>
          <w:tcPr>
            <w:tcW w:w="1240" w:type="dxa"/>
            <w:shd w:val="clear" w:color="auto" w:fill="auto"/>
            <w:vAlign w:val="center"/>
          </w:tcPr>
          <w:p w14:paraId="382A6768" w14:textId="77777777" w:rsidR="00C1341E" w:rsidRDefault="00000000">
            <w:pPr>
              <w:jc w:val="center"/>
              <w:rPr>
                <w:color w:val="000000"/>
              </w:rPr>
            </w:pPr>
            <w:r>
              <w:rPr>
                <w:color w:val="000000"/>
              </w:rPr>
              <w:t>35.90%</w:t>
            </w:r>
          </w:p>
        </w:tc>
        <w:tc>
          <w:tcPr>
            <w:tcW w:w="1367" w:type="dxa"/>
            <w:vAlign w:val="center"/>
          </w:tcPr>
          <w:p w14:paraId="4DCDDCF1" w14:textId="77777777" w:rsidR="00C1341E" w:rsidRDefault="00000000">
            <w:pPr>
              <w:jc w:val="center"/>
              <w:rPr>
                <w:color w:val="000000"/>
              </w:rPr>
            </w:pPr>
            <w:r>
              <w:rPr>
                <w:color w:val="000000"/>
              </w:rPr>
              <w:t>Bajo</w:t>
            </w:r>
          </w:p>
        </w:tc>
        <w:tc>
          <w:tcPr>
            <w:tcW w:w="1193" w:type="dxa"/>
            <w:vAlign w:val="center"/>
          </w:tcPr>
          <w:p w14:paraId="6DA1F36C" w14:textId="77777777" w:rsidR="00C1341E" w:rsidRDefault="00000000">
            <w:pPr>
              <w:jc w:val="center"/>
              <w:rPr>
                <w:color w:val="000000"/>
              </w:rPr>
            </w:pPr>
            <w:r>
              <w:rPr>
                <w:color w:val="000000"/>
              </w:rPr>
              <w:t>17</w:t>
            </w:r>
          </w:p>
        </w:tc>
        <w:tc>
          <w:tcPr>
            <w:tcW w:w="1153" w:type="dxa"/>
            <w:vAlign w:val="center"/>
          </w:tcPr>
          <w:p w14:paraId="79046952" w14:textId="77777777" w:rsidR="00C1341E" w:rsidRDefault="00000000">
            <w:pPr>
              <w:jc w:val="center"/>
              <w:rPr>
                <w:color w:val="000000"/>
              </w:rPr>
            </w:pPr>
            <w:r>
              <w:rPr>
                <w:color w:val="000000"/>
              </w:rPr>
              <w:t>21.79%</w:t>
            </w:r>
          </w:p>
        </w:tc>
      </w:tr>
      <w:tr w:rsidR="00C1341E" w14:paraId="5E4B6A65" w14:textId="77777777">
        <w:trPr>
          <w:trHeight w:val="288"/>
        </w:trPr>
        <w:tc>
          <w:tcPr>
            <w:tcW w:w="2582" w:type="dxa"/>
            <w:shd w:val="clear" w:color="auto" w:fill="auto"/>
            <w:vAlign w:val="center"/>
          </w:tcPr>
          <w:p w14:paraId="5133D805" w14:textId="77777777" w:rsidR="00C1341E" w:rsidRDefault="00000000">
            <w:pPr>
              <w:jc w:val="center"/>
              <w:rPr>
                <w:color w:val="000000"/>
              </w:rPr>
            </w:pPr>
            <w:r>
              <w:rPr>
                <w:color w:val="000000"/>
              </w:rPr>
              <w:t>Total</w:t>
            </w:r>
          </w:p>
        </w:tc>
        <w:tc>
          <w:tcPr>
            <w:tcW w:w="1241" w:type="dxa"/>
            <w:shd w:val="clear" w:color="auto" w:fill="auto"/>
            <w:vAlign w:val="center"/>
          </w:tcPr>
          <w:p w14:paraId="4CF3182C" w14:textId="77777777" w:rsidR="00C1341E" w:rsidRDefault="00000000">
            <w:pPr>
              <w:jc w:val="center"/>
              <w:rPr>
                <w:color w:val="000000"/>
              </w:rPr>
            </w:pPr>
            <w:r>
              <w:rPr>
                <w:color w:val="000000"/>
              </w:rPr>
              <w:t>78</w:t>
            </w:r>
          </w:p>
        </w:tc>
        <w:tc>
          <w:tcPr>
            <w:tcW w:w="1240" w:type="dxa"/>
            <w:shd w:val="clear" w:color="auto" w:fill="auto"/>
            <w:vAlign w:val="center"/>
          </w:tcPr>
          <w:p w14:paraId="24F34074" w14:textId="77777777" w:rsidR="00C1341E" w:rsidRDefault="00000000">
            <w:pPr>
              <w:jc w:val="center"/>
              <w:rPr>
                <w:color w:val="000000"/>
              </w:rPr>
            </w:pPr>
            <w:r>
              <w:rPr>
                <w:color w:val="000000"/>
              </w:rPr>
              <w:t>100.00%</w:t>
            </w:r>
          </w:p>
        </w:tc>
        <w:tc>
          <w:tcPr>
            <w:tcW w:w="1367" w:type="dxa"/>
            <w:vAlign w:val="center"/>
          </w:tcPr>
          <w:p w14:paraId="22FC6E45" w14:textId="77777777" w:rsidR="00C1341E" w:rsidRDefault="00000000">
            <w:pPr>
              <w:jc w:val="center"/>
              <w:rPr>
                <w:color w:val="000000"/>
              </w:rPr>
            </w:pPr>
            <w:r>
              <w:rPr>
                <w:color w:val="000000"/>
              </w:rPr>
              <w:t>Total</w:t>
            </w:r>
          </w:p>
        </w:tc>
        <w:tc>
          <w:tcPr>
            <w:tcW w:w="1193" w:type="dxa"/>
            <w:vAlign w:val="center"/>
          </w:tcPr>
          <w:p w14:paraId="491F1586" w14:textId="77777777" w:rsidR="00C1341E" w:rsidRDefault="00000000">
            <w:pPr>
              <w:jc w:val="center"/>
              <w:rPr>
                <w:color w:val="000000"/>
              </w:rPr>
            </w:pPr>
            <w:r>
              <w:rPr>
                <w:color w:val="000000"/>
              </w:rPr>
              <w:t>78</w:t>
            </w:r>
          </w:p>
        </w:tc>
        <w:tc>
          <w:tcPr>
            <w:tcW w:w="1153" w:type="dxa"/>
            <w:vAlign w:val="center"/>
          </w:tcPr>
          <w:p w14:paraId="488981F5" w14:textId="77777777" w:rsidR="00C1341E" w:rsidRDefault="00000000">
            <w:pPr>
              <w:jc w:val="center"/>
              <w:rPr>
                <w:color w:val="000000"/>
              </w:rPr>
            </w:pPr>
            <w:r>
              <w:rPr>
                <w:color w:val="000000"/>
              </w:rPr>
              <w:t>100.00%</w:t>
            </w:r>
          </w:p>
        </w:tc>
      </w:tr>
    </w:tbl>
    <w:p w14:paraId="0E3D8F18" w14:textId="77777777" w:rsidR="00C1341E" w:rsidRDefault="00000000">
      <w:pPr>
        <w:jc w:val="center"/>
      </w:pPr>
      <w:r>
        <w:rPr>
          <w:i/>
        </w:rPr>
        <w:t>Fuente</w:t>
      </w:r>
      <w:r>
        <w:t>: Análisis de datos en SPSS ®.</w:t>
      </w:r>
    </w:p>
    <w:p w14:paraId="6AA73C7F" w14:textId="77777777" w:rsidR="00C1341E" w:rsidRDefault="00C1341E">
      <w:pPr>
        <w:ind w:left="567" w:hanging="567"/>
      </w:pPr>
    </w:p>
    <w:p w14:paraId="2CC8B77E" w14:textId="77777777" w:rsidR="00C1341E" w:rsidRDefault="00000000">
      <w:pPr>
        <w:jc w:val="center"/>
        <w:rPr>
          <w:sz w:val="32"/>
          <w:szCs w:val="32"/>
        </w:rPr>
      </w:pPr>
      <w:bookmarkStart w:id="16" w:name="_35nkun2" w:colFirst="0" w:colLast="0"/>
      <w:bookmarkEnd w:id="16"/>
      <w:r>
        <w:rPr>
          <w:b/>
          <w:sz w:val="32"/>
          <w:szCs w:val="32"/>
        </w:rPr>
        <w:t>Discusión</w:t>
      </w:r>
    </w:p>
    <w:p w14:paraId="2B343112" w14:textId="77777777" w:rsidR="00C1341E" w:rsidRDefault="00000000">
      <w:bookmarkStart w:id="17" w:name="_1ksv4uv" w:colFirst="0" w:colLast="0"/>
      <w:bookmarkEnd w:id="17"/>
      <w:r>
        <w:t xml:space="preserve">Luego de examinar los resultados, se afirma la existencia de una relación significativa entre trabajo colaborativo y expectativa docente en el proceso inclusivo, teniendo como coeficiente de correlación de </w:t>
      </w:r>
      <w:r>
        <w:rPr>
          <w:color w:val="010205"/>
          <w:sz w:val="20"/>
          <w:szCs w:val="20"/>
        </w:rPr>
        <w:t>17.267</w:t>
      </w:r>
      <w:r>
        <w:t xml:space="preserve">, con una significancia 0.045. Esto sugiere que ambas variables están asociadas. En consonancia a lo encontrado, Muñoz </w:t>
      </w:r>
      <w:r>
        <w:rPr>
          <w:i/>
        </w:rPr>
        <w:t xml:space="preserve">et al. </w:t>
      </w:r>
      <w:r>
        <w:t xml:space="preserve">(2021), quienes evaluaron las actitudes y expectativas de aprendizaje del personal educativo hacia los alumnos con síndrome de Down (SD). encontraron que las actitudes favorables generan mejores expectativas docentes y auxiliares de instituciones educativas municipales. Según Sevilla-Santo </w:t>
      </w:r>
      <w:r>
        <w:rPr>
          <w:i/>
        </w:rPr>
        <w:t xml:space="preserve">et al </w:t>
      </w:r>
      <w:r>
        <w:t>(2020), las limitaciones de aprendizaje se encuentran producto de no darse cuenta de sus capacidades o por subestimarlas (autoimagen negativa); Además de no tener metas que orienten sus acciones, lo que se traduce en un menor compromiso por no encontrarle sentido al aprendizaje (sentido a la vida). Por ello, se enfatiza la necesidad de capacitar a los docentes en estrategias formativas en la vida. Por su parte, López y Molina (2018) proponen la enseñanza colaborativa como una estrategia institucional que puede mejorar la enseñanza y el aprendizaje a lo largo del currículo.</w:t>
      </w:r>
    </w:p>
    <w:p w14:paraId="0C4B4048" w14:textId="77777777" w:rsidR="00C1341E" w:rsidRDefault="00000000">
      <w:pPr>
        <w:ind w:firstLine="709"/>
      </w:pPr>
      <w:r>
        <w:t xml:space="preserve">Se señala que Cruz (2019) describe las relaciones construidas a partir de la experiencia de integración escolar de estudiantes con discapacidad desde la mirada del docente; esto permite enfatizar que las relaciones pueden ser vistas desde tres características: relaciones cuyos intereses se sustentan en un sentido técnico; relaciones basadas en intereses con un sentido de practicidad y relaciones nutridas con atención transformadora. También Bonilla </w:t>
      </w:r>
      <w:r>
        <w:rPr>
          <w:i/>
        </w:rPr>
        <w:t>et al.</w:t>
      </w:r>
      <w:r>
        <w:t xml:space="preserve"> (2019), mostraron que </w:t>
      </w:r>
      <w:proofErr w:type="gramStart"/>
      <w:r>
        <w:t>las escuelas no contaba</w:t>
      </w:r>
      <w:proofErr w:type="gramEnd"/>
      <w:r>
        <w:t xml:space="preserve"> con los factores que deben ser </w:t>
      </w:r>
      <w:r>
        <w:lastRenderedPageBreak/>
        <w:t>considerados un centro de integración, maestros cuyas inseguridades provocan desconfianza, ansiedad y resentimiento. Su liderazgo, lejos de promover el trabajo colaborativo, provoca el descontento de miembros del cuerpo académico. El diagnóstico realizado ayuda a identificar los factores para el desarrollo del proceso de intervención dirigido a la psicoeducación con un plan de acción investigativo. Por su parte, Rivera y Aparicio (2020), señalan que las características del liderazgo educativo en el contexto de las escuelas integrales (PIE), permite mejorar el desarrollo de buenas prácticas educativas.</w:t>
      </w:r>
    </w:p>
    <w:p w14:paraId="3DEDBB3C" w14:textId="77777777" w:rsidR="00C1341E" w:rsidRDefault="00000000">
      <w:pPr>
        <w:ind w:firstLine="709"/>
      </w:pPr>
      <w:r>
        <w:t>De acuerdo a Mora-</w:t>
      </w:r>
      <w:proofErr w:type="spellStart"/>
      <w:r>
        <w:t>Castelletto</w:t>
      </w:r>
      <w:proofErr w:type="spellEnd"/>
      <w:r>
        <w:t xml:space="preserve"> </w:t>
      </w:r>
      <w:r>
        <w:rPr>
          <w:i/>
        </w:rPr>
        <w:t>et al.</w:t>
      </w:r>
      <w:r>
        <w:t xml:space="preserve"> (2021), la intervención a través de trabajo colaborativo provoca cambios positivos en la actitud del personal escolar hacia los estudiantes. Lo confirma </w:t>
      </w:r>
      <w:proofErr w:type="spellStart"/>
      <w:r>
        <w:t>Krichesky</w:t>
      </w:r>
      <w:proofErr w:type="spellEnd"/>
      <w:r>
        <w:t xml:space="preserve"> y Murillo (2018), señalando que la cooperación docente puede manifestarse a través de prácticas que involucran la coordinación, el desarrollo conjunto y la resolución de problemas. La coordinación parece ser una de las formas más débiles de cooperación: no requiere valores compartidos, no crea una fuerte interdependencia y no necesariamente fomenta el aprendizaje de los estudiantes. Por otro lado, desarrollar proyectos interdisciplinarios y resolver problemas comunes requiere una fuerte interdependencia basada en valores compartidos y en intercambios que tienen un gran potencial para generar aprendizaje. nuevo.  A su vez, Aparicio y Sepúlveda (2019), señalan que las experiencias de docentes en ejercicio que trabajan en colaboración con sus pares, examinando los factores que los facilitan y los desalientan, permite la participación en todas las etapas del desarrollo profesional y está asociada a diferentes etapas de la vida y la carrera.</w:t>
      </w:r>
    </w:p>
    <w:p w14:paraId="6434C5A9" w14:textId="77777777" w:rsidR="00C1341E" w:rsidRDefault="00000000">
      <w:pPr>
        <w:ind w:firstLine="709"/>
      </w:pPr>
      <w:r>
        <w:t xml:space="preserve">Si bien el estudio abordó una necesidad latente de comprensión dentro del campo educativo, durante su desarrollo ha presentado diversas limitaciones, centradas principalmente a nivel metodológicas. Donde el tamaño de muestra o participantes se consideró como uno de los elementos que mitigan la generalización de los resultados; sin embargo, para reportar consistencia sobre los datos es necesario aclarar </w:t>
      </w:r>
      <w:proofErr w:type="gramStart"/>
      <w:r>
        <w:t>que</w:t>
      </w:r>
      <w:proofErr w:type="gramEnd"/>
      <w:r>
        <w:t xml:space="preserve"> dado la especialización de los docentes en educación inclusiva, estos fueron más del 90%, lo que resulta con implicancias significativas para diversos escenarios. Otra de las limitaciones corresponde a la duración del tiempo para la recolección de la información, toda vez que muchos de los docentes presentaron una agenda muy reducida para responder.</w:t>
      </w:r>
    </w:p>
    <w:p w14:paraId="4015B58E" w14:textId="77777777" w:rsidR="00227DD7" w:rsidRDefault="00227DD7">
      <w:pPr>
        <w:jc w:val="center"/>
        <w:rPr>
          <w:b/>
          <w:sz w:val="32"/>
          <w:szCs w:val="32"/>
        </w:rPr>
      </w:pPr>
    </w:p>
    <w:p w14:paraId="66FBE4F6" w14:textId="77777777" w:rsidR="00227DD7" w:rsidRDefault="00227DD7">
      <w:pPr>
        <w:jc w:val="center"/>
        <w:rPr>
          <w:b/>
          <w:sz w:val="32"/>
          <w:szCs w:val="32"/>
        </w:rPr>
      </w:pPr>
    </w:p>
    <w:p w14:paraId="501157C4" w14:textId="77777777" w:rsidR="00227DD7" w:rsidRDefault="00227DD7">
      <w:pPr>
        <w:jc w:val="center"/>
        <w:rPr>
          <w:b/>
          <w:sz w:val="32"/>
          <w:szCs w:val="32"/>
        </w:rPr>
      </w:pPr>
    </w:p>
    <w:p w14:paraId="578FCE91" w14:textId="688BA3A1" w:rsidR="00C1341E" w:rsidRDefault="00000000">
      <w:pPr>
        <w:jc w:val="center"/>
        <w:rPr>
          <w:sz w:val="32"/>
          <w:szCs w:val="32"/>
        </w:rPr>
      </w:pPr>
      <w:r>
        <w:rPr>
          <w:b/>
          <w:sz w:val="32"/>
          <w:szCs w:val="32"/>
        </w:rPr>
        <w:lastRenderedPageBreak/>
        <w:t>Conclusiones</w:t>
      </w:r>
    </w:p>
    <w:p w14:paraId="42F47947" w14:textId="77777777" w:rsidR="00C1341E" w:rsidRDefault="00000000" w:rsidP="00227DD7">
      <w:pPr>
        <w:ind w:firstLine="709"/>
      </w:pPr>
      <w:r>
        <w:t>En síntesis, se concluye que existe una relación significativa entre el trabajo colaborativo y las expectativas en el proceso de inclusión en instituciones educativas de la Región San Martín, como lo evidencia el valor χ2 obtenido de 17.267 con un nivel de significancia de 0.002. Se identificó que el nivel de trabajo colaborativo percibido como más frecuente es el regular, representando el 48.72% de las respuestas, lo que sugiere una percepción media. Además, el 35.90% de los participantes percibió un nivel insatisfactorio, mientras que el 15.38% interpretó un nivel satisfactorio. En cuanto a las expectativas docentes, se observó que el nivel más frecuente es el medio, con un porcentaje del 53.85%, seguido por un nivel alto con el 24.36%, y un nivel bajo con el 21.79%. Se encontró una relación significativa entre las dimensiones de trabajo en equipo y reconocimiento con las expectativas, lo que respalda la idea de que el trabajo colaborativo influye positivamente en las expectativas en el proceso de inclusión. Sin embargo, no se halló relación con los objetivos grupales, lo cual sugiere una perspectiva no global del proceso de inclusión.</w:t>
      </w:r>
    </w:p>
    <w:p w14:paraId="37DD6226" w14:textId="77777777" w:rsidR="00C1341E" w:rsidRDefault="00C1341E"/>
    <w:p w14:paraId="430B1EFA" w14:textId="77777777" w:rsidR="00C1341E" w:rsidRDefault="00000000">
      <w:pPr>
        <w:jc w:val="center"/>
        <w:rPr>
          <w:b/>
          <w:sz w:val="28"/>
          <w:szCs w:val="28"/>
        </w:rPr>
      </w:pPr>
      <w:r>
        <w:rPr>
          <w:b/>
          <w:sz w:val="28"/>
          <w:szCs w:val="28"/>
        </w:rPr>
        <w:t>Futuras líneas de investigación</w:t>
      </w:r>
    </w:p>
    <w:p w14:paraId="1CB02820" w14:textId="77777777" w:rsidR="00C1341E" w:rsidRDefault="00000000">
      <w:r>
        <w:t xml:space="preserve">A partir de estos resultados, para ampliar el entendimiento sobre la relación entre el trabajo colaborativo, las expectativas del profesorado y la inclusión educativa de estudiantes con discapacidad, se sugieren varias áreas de investigación futura como </w:t>
      </w:r>
      <w:proofErr w:type="gramStart"/>
      <w:r>
        <w:t>estudios longitudinal</w:t>
      </w:r>
      <w:proofErr w:type="gramEnd"/>
      <w:r>
        <w:t xml:space="preserve"> para realizar un seguimiento a largo plazo de estas variables y examinar cómo evolucionan a lo largo del tiempo, así como su impacto en el rendimiento académico y el bienestar de los estudiantes con discapacidad. Otra línea de investigación corresponde al diseño e implementación de intervenciones específicas en las aulas para fomentar un mayor trabajo colaborativo entre el profesorado y evaluar su efectividad en relación con las expectativas y la inclusión de los estudiantes con discapacidad. Además, sería interesante realizar estudios comparativos entre diferentes contextos culturales y educativos para examinar cómo varían las percepciones del trabajo colaborativo y las expectativas del profesorado en la inclusión educativa, y qué factores contextuales pueden influir en estas diferencias. Sería relevante explorar la implicación de otros actores educativos, como padres, administradores escolares y profesionales de apoyo, en el trabajo colaborativo y cómo esto influye en las expectativas del profesorado y en la inclusión de los estudiantes con discapacidad.</w:t>
      </w:r>
    </w:p>
    <w:p w14:paraId="2D001C28" w14:textId="77777777" w:rsidR="00C1341E" w:rsidRDefault="00C1341E"/>
    <w:p w14:paraId="1FE87E4B" w14:textId="77777777" w:rsidR="00227DD7" w:rsidRDefault="00227DD7"/>
    <w:p w14:paraId="7844FDC6" w14:textId="77777777" w:rsidR="00C1341E" w:rsidRDefault="00000000">
      <w:r>
        <w:rPr>
          <w:b/>
        </w:rPr>
        <w:lastRenderedPageBreak/>
        <w:t>Agradecimiento</w:t>
      </w:r>
    </w:p>
    <w:p w14:paraId="09C88D91" w14:textId="77777777" w:rsidR="00C1341E" w:rsidRDefault="00000000">
      <w:r>
        <w:t>A la Universidad César Vallejo, por la oportunidad de desarrollar un estudio de vital importancia para la comunidad educativa, donde realza la necesidad de abordar la educación inclusiva bajo la perspectiva de los docentes y demás miembros.</w:t>
      </w:r>
    </w:p>
    <w:p w14:paraId="6DEBB83C" w14:textId="77777777" w:rsidR="00C1341E" w:rsidRDefault="00C1341E"/>
    <w:p w14:paraId="0707B75B" w14:textId="77777777" w:rsidR="00C1341E" w:rsidRDefault="00000000">
      <w:pPr>
        <w:rPr>
          <w:rFonts w:ascii="Calibri" w:eastAsia="Calibri" w:hAnsi="Calibri" w:cs="Calibri"/>
          <w:sz w:val="28"/>
          <w:szCs w:val="28"/>
        </w:rPr>
      </w:pPr>
      <w:bookmarkStart w:id="18" w:name="_44sinio" w:colFirst="0" w:colLast="0"/>
      <w:bookmarkEnd w:id="18"/>
      <w:r>
        <w:rPr>
          <w:rFonts w:ascii="Calibri" w:eastAsia="Calibri" w:hAnsi="Calibri" w:cs="Calibri"/>
          <w:b/>
          <w:sz w:val="28"/>
          <w:szCs w:val="28"/>
        </w:rPr>
        <w:t>Referencias</w:t>
      </w:r>
    </w:p>
    <w:p w14:paraId="4E11E4B7" w14:textId="77777777" w:rsidR="00C1341E" w:rsidRDefault="00000000">
      <w:pPr>
        <w:ind w:left="709" w:hanging="709"/>
      </w:pPr>
      <w:proofErr w:type="spellStart"/>
      <w:r>
        <w:t>Aguero</w:t>
      </w:r>
      <w:proofErr w:type="spellEnd"/>
      <w:r>
        <w:t xml:space="preserve">, F., Barriga, N., Elgueta, C., Quezada, D. y Tapia, C. (2019). Trabajo colaborativo entre profesores de Educación Diferencial y Educación Básica en una escuela municipal. </w:t>
      </w:r>
      <w:proofErr w:type="spellStart"/>
      <w:r>
        <w:rPr>
          <w:i/>
        </w:rPr>
        <w:t>Paideia</w:t>
      </w:r>
      <w:proofErr w:type="spellEnd"/>
      <w:r>
        <w:rPr>
          <w:i/>
        </w:rPr>
        <w:t>. Revista de Educación</w:t>
      </w:r>
      <w:r>
        <w:t xml:space="preserve">, </w:t>
      </w:r>
      <w:r>
        <w:rPr>
          <w:i/>
        </w:rPr>
        <w:t>65</w:t>
      </w:r>
      <w:r>
        <w:t xml:space="preserve">(65), 109-132. </w:t>
      </w:r>
      <w:hyperlink r:id="rId6">
        <w:r w:rsidR="00C1341E">
          <w:rPr>
            <w:color w:val="0563C1"/>
            <w:u w:val="single"/>
          </w:rPr>
          <w:t>https://doi.org/10.29393/pa65-13jfad40013</w:t>
        </w:r>
      </w:hyperlink>
    </w:p>
    <w:p w14:paraId="1F802556" w14:textId="77777777" w:rsidR="00C1341E" w:rsidRDefault="00000000">
      <w:pPr>
        <w:ind w:left="709" w:hanging="709"/>
      </w:pPr>
      <w:proofErr w:type="spellStart"/>
      <w:r>
        <w:t>Ajzen</w:t>
      </w:r>
      <w:proofErr w:type="spellEnd"/>
      <w:r>
        <w:t xml:space="preserve">, I. y </w:t>
      </w:r>
      <w:proofErr w:type="spellStart"/>
      <w:r>
        <w:t>Fishbein</w:t>
      </w:r>
      <w:proofErr w:type="spellEnd"/>
      <w:r>
        <w:t xml:space="preserve">, M. (1980). </w:t>
      </w:r>
      <w:proofErr w:type="spellStart"/>
      <w:r>
        <w:rPr>
          <w:i/>
        </w:rPr>
        <w:t>Understanding</w:t>
      </w:r>
      <w:proofErr w:type="spellEnd"/>
      <w:r>
        <w:rPr>
          <w:i/>
        </w:rPr>
        <w:t xml:space="preserve"> </w:t>
      </w:r>
      <w:proofErr w:type="spellStart"/>
      <w:r>
        <w:rPr>
          <w:i/>
        </w:rPr>
        <w:t>attitudes</w:t>
      </w:r>
      <w:proofErr w:type="spellEnd"/>
      <w:r>
        <w:rPr>
          <w:i/>
        </w:rPr>
        <w:t xml:space="preserve"> and </w:t>
      </w:r>
      <w:proofErr w:type="spellStart"/>
      <w:r>
        <w:rPr>
          <w:i/>
        </w:rPr>
        <w:t>predicting</w:t>
      </w:r>
      <w:proofErr w:type="spellEnd"/>
      <w:r>
        <w:rPr>
          <w:i/>
        </w:rPr>
        <w:t xml:space="preserve"> social </w:t>
      </w:r>
      <w:proofErr w:type="spellStart"/>
      <w:r>
        <w:rPr>
          <w:i/>
        </w:rPr>
        <w:t>behavior</w:t>
      </w:r>
      <w:proofErr w:type="spellEnd"/>
      <w:r>
        <w:t>. Prentice-Hall.</w:t>
      </w:r>
    </w:p>
    <w:p w14:paraId="12251A74" w14:textId="77777777" w:rsidR="00C1341E" w:rsidRDefault="00000000">
      <w:pPr>
        <w:ind w:left="709" w:hanging="709"/>
      </w:pPr>
      <w:r>
        <w:t xml:space="preserve">Aparicio Molina, C. y Sepúlveda López, F. (2019). Trabajo colaborativo docente: nuevas perspectivas para el desarrollo docente. </w:t>
      </w:r>
      <w:r>
        <w:rPr>
          <w:i/>
        </w:rPr>
        <w:t>Artigo</w:t>
      </w:r>
      <w:r>
        <w:t xml:space="preserve">, 1-7. </w:t>
      </w:r>
      <w:hyperlink r:id="rId7">
        <w:r w:rsidR="00C1341E">
          <w:rPr>
            <w:color w:val="0563C1"/>
            <w:u w:val="single"/>
          </w:rPr>
          <w:t>http://dx.doi.org/10.1590/2175-35392019017926</w:t>
        </w:r>
      </w:hyperlink>
    </w:p>
    <w:p w14:paraId="34748F2F" w14:textId="77777777" w:rsidR="00C1341E" w:rsidRDefault="00000000">
      <w:pPr>
        <w:ind w:left="709" w:hanging="709"/>
      </w:pPr>
      <w:proofErr w:type="spellStart"/>
      <w:r>
        <w:t>Bizama</w:t>
      </w:r>
      <w:proofErr w:type="spellEnd"/>
      <w:r>
        <w:t xml:space="preserve">, M. y Martínez, J. (2021). Prácticas evaluativas de personal docente de educación especial para estudiantado con discapacidad intelectual, integrado en escuelas regulares. </w:t>
      </w:r>
      <w:r>
        <w:rPr>
          <w:i/>
        </w:rPr>
        <w:t>Revista Electrónica Educare</w:t>
      </w:r>
      <w:r>
        <w:t xml:space="preserve">, </w:t>
      </w:r>
      <w:r>
        <w:rPr>
          <w:i/>
        </w:rPr>
        <w:t>25</w:t>
      </w:r>
      <w:r>
        <w:t xml:space="preserve">(3), 1-15. </w:t>
      </w:r>
      <w:hyperlink r:id="rId8">
        <w:r w:rsidR="00C1341E">
          <w:rPr>
            <w:color w:val="0563C1"/>
            <w:u w:val="single"/>
          </w:rPr>
          <w:t>https://doi.org/10.15359/ree.25-3.22</w:t>
        </w:r>
      </w:hyperlink>
    </w:p>
    <w:p w14:paraId="76A5DD01" w14:textId="77777777" w:rsidR="00C1341E" w:rsidRDefault="00000000">
      <w:pPr>
        <w:ind w:left="709" w:hanging="709"/>
      </w:pPr>
      <w:r>
        <w:t xml:space="preserve">Bonilla, M., Fernández, J. y Vázquez, M. (2019). Diagnóstico del trabajo colaborativo en un centro escolar como indicador de inclusión educativa. </w:t>
      </w:r>
      <w:r>
        <w:rPr>
          <w:i/>
        </w:rPr>
        <w:t>RIDE Revista Iberoamericana para la Investigación y el Desarrollo Educativo</w:t>
      </w:r>
      <w:r>
        <w:t xml:space="preserve">, </w:t>
      </w:r>
      <w:r>
        <w:rPr>
          <w:i/>
        </w:rPr>
        <w:t>10</w:t>
      </w:r>
      <w:r>
        <w:t xml:space="preserve">(19). </w:t>
      </w:r>
      <w:hyperlink r:id="rId9">
        <w:r w:rsidR="00C1341E">
          <w:rPr>
            <w:color w:val="0563C1"/>
            <w:u w:val="single"/>
          </w:rPr>
          <w:t>https://doi.org/10.23913/ride.v10i19.518</w:t>
        </w:r>
      </w:hyperlink>
    </w:p>
    <w:p w14:paraId="541C74E2" w14:textId="77777777" w:rsidR="00C1341E" w:rsidRDefault="00000000">
      <w:pPr>
        <w:ind w:left="709" w:hanging="709"/>
      </w:pPr>
      <w:r>
        <w:t xml:space="preserve">Bulnes, M. S., </w:t>
      </w:r>
      <w:proofErr w:type="spellStart"/>
      <w:r>
        <w:t>Alvarez</w:t>
      </w:r>
      <w:proofErr w:type="spellEnd"/>
      <w:r>
        <w:t xml:space="preserve">, C. L. y Morales, C. (2018). Social </w:t>
      </w:r>
      <w:proofErr w:type="spellStart"/>
      <w:r>
        <w:t>anxiety</w:t>
      </w:r>
      <w:proofErr w:type="spellEnd"/>
      <w:r>
        <w:t xml:space="preserve"> and </w:t>
      </w:r>
      <w:proofErr w:type="spellStart"/>
      <w:r>
        <w:t>emotional</w:t>
      </w:r>
      <w:proofErr w:type="spellEnd"/>
      <w:r>
        <w:t xml:space="preserve"> </w:t>
      </w:r>
      <w:proofErr w:type="spellStart"/>
      <w:r>
        <w:t>regulation</w:t>
      </w:r>
      <w:proofErr w:type="spellEnd"/>
      <w:r>
        <w:t xml:space="preserve"> in </w:t>
      </w:r>
      <w:proofErr w:type="spellStart"/>
      <w:r>
        <w:t>adolescents</w:t>
      </w:r>
      <w:proofErr w:type="spellEnd"/>
      <w:r>
        <w:t xml:space="preserve"> in Lima Metropolitana </w:t>
      </w:r>
      <w:proofErr w:type="spellStart"/>
      <w:r>
        <w:t>with</w:t>
      </w:r>
      <w:proofErr w:type="spellEnd"/>
      <w:r>
        <w:t xml:space="preserve"> and </w:t>
      </w:r>
      <w:proofErr w:type="spellStart"/>
      <w:r>
        <w:t>without</w:t>
      </w:r>
      <w:proofErr w:type="spellEnd"/>
      <w:r>
        <w:t xml:space="preserve"> </w:t>
      </w:r>
      <w:proofErr w:type="spellStart"/>
      <w:r>
        <w:t>the</w:t>
      </w:r>
      <w:proofErr w:type="spellEnd"/>
      <w:r>
        <w:t xml:space="preserve"> </w:t>
      </w:r>
      <w:proofErr w:type="spellStart"/>
      <w:r>
        <w:t>presence</w:t>
      </w:r>
      <w:proofErr w:type="spellEnd"/>
      <w:r>
        <w:t xml:space="preserve"> </w:t>
      </w:r>
      <w:proofErr w:type="spellStart"/>
      <w:r>
        <w:t>of</w:t>
      </w:r>
      <w:proofErr w:type="spellEnd"/>
      <w:r>
        <w:t xml:space="preserve"> </w:t>
      </w:r>
      <w:proofErr w:type="spellStart"/>
      <w:r>
        <w:t>somatic</w:t>
      </w:r>
      <w:proofErr w:type="spellEnd"/>
      <w:r>
        <w:t xml:space="preserve"> </w:t>
      </w:r>
      <w:proofErr w:type="spellStart"/>
      <w:r>
        <w:t>symptoms</w:t>
      </w:r>
      <w:proofErr w:type="spellEnd"/>
      <w:r>
        <w:t xml:space="preserve">. </w:t>
      </w:r>
      <w:r>
        <w:rPr>
          <w:i/>
        </w:rPr>
        <w:t>Temática Psicológica</w:t>
      </w:r>
      <w:r>
        <w:t xml:space="preserve">, </w:t>
      </w:r>
      <w:r>
        <w:rPr>
          <w:i/>
        </w:rPr>
        <w:t>14</w:t>
      </w:r>
      <w:r>
        <w:t xml:space="preserve">(1), 51-68. </w:t>
      </w:r>
      <w:hyperlink r:id="rId10">
        <w:r w:rsidR="00C1341E">
          <w:rPr>
            <w:color w:val="0563C1"/>
            <w:u w:val="single"/>
          </w:rPr>
          <w:t>https://doi.org/10.33539/tematpsicol.2018.n14.1810</w:t>
        </w:r>
      </w:hyperlink>
    </w:p>
    <w:p w14:paraId="62BCF650" w14:textId="77777777" w:rsidR="00C1341E" w:rsidRDefault="00000000">
      <w:pPr>
        <w:ind w:left="709" w:hanging="709"/>
      </w:pPr>
      <w:r>
        <w:t xml:space="preserve">Castillo, A. (2018). </w:t>
      </w:r>
      <w:proofErr w:type="spellStart"/>
      <w:r>
        <w:t>Attitudes</w:t>
      </w:r>
      <w:proofErr w:type="spellEnd"/>
      <w:r>
        <w:t xml:space="preserve"> </w:t>
      </w:r>
      <w:proofErr w:type="spellStart"/>
      <w:r>
        <w:t>Toward</w:t>
      </w:r>
      <w:proofErr w:type="spellEnd"/>
      <w:r>
        <w:t xml:space="preserve"> </w:t>
      </w:r>
      <w:proofErr w:type="spellStart"/>
      <w:r>
        <w:t>the</w:t>
      </w:r>
      <w:proofErr w:type="spellEnd"/>
      <w:r>
        <w:t xml:space="preserve"> </w:t>
      </w:r>
      <w:proofErr w:type="spellStart"/>
      <w:r>
        <w:t>Dissemination</w:t>
      </w:r>
      <w:proofErr w:type="spellEnd"/>
      <w:r>
        <w:t xml:space="preserve"> </w:t>
      </w:r>
      <w:proofErr w:type="spellStart"/>
      <w:r>
        <w:t>of</w:t>
      </w:r>
      <w:proofErr w:type="spellEnd"/>
      <w:r>
        <w:t xml:space="preserve"> </w:t>
      </w:r>
      <w:proofErr w:type="spellStart"/>
      <w:r>
        <w:t>Science</w:t>
      </w:r>
      <w:proofErr w:type="spellEnd"/>
      <w:r>
        <w:t xml:space="preserve">. </w:t>
      </w:r>
      <w:r>
        <w:rPr>
          <w:i/>
        </w:rPr>
        <w:t>Revista Reflexiones</w:t>
      </w:r>
      <w:r>
        <w:t xml:space="preserve">, </w:t>
      </w:r>
      <w:r>
        <w:rPr>
          <w:i/>
        </w:rPr>
        <w:t>97</w:t>
      </w:r>
      <w:r>
        <w:t xml:space="preserve">(1), 11-25. </w:t>
      </w:r>
      <w:hyperlink r:id="rId11">
        <w:r w:rsidR="00C1341E">
          <w:rPr>
            <w:color w:val="0563C1"/>
            <w:u w:val="single"/>
          </w:rPr>
          <w:t>http://dx.doi.org/10.15517/rr.v97i1.33284</w:t>
        </w:r>
      </w:hyperlink>
    </w:p>
    <w:p w14:paraId="064250B4" w14:textId="77777777" w:rsidR="00C1341E" w:rsidRDefault="00000000">
      <w:pPr>
        <w:ind w:left="709" w:hanging="709"/>
      </w:pPr>
      <w:r>
        <w:t xml:space="preserve">Cruz, R. (2019). Educación inclusiva, profesores y estudiantes con discapacidad: una mirada desde lo relacional. </w:t>
      </w:r>
      <w:r>
        <w:rPr>
          <w:i/>
        </w:rPr>
        <w:t>Sinéctica, Revista Electrónica de Educación</w:t>
      </w:r>
      <w:r>
        <w:t xml:space="preserve">, </w:t>
      </w:r>
      <w:r>
        <w:rPr>
          <w:i/>
        </w:rPr>
        <w:t>7033</w:t>
      </w:r>
      <w:r>
        <w:t xml:space="preserve">(53), 1-28. </w:t>
      </w:r>
      <w:hyperlink r:id="rId12">
        <w:r w:rsidR="00C1341E">
          <w:rPr>
            <w:color w:val="0563C1"/>
            <w:u w:val="single"/>
          </w:rPr>
          <w:t>https://doi.org/10.31391/s2007-7033(2019)0053-004</w:t>
        </w:r>
      </w:hyperlink>
    </w:p>
    <w:p w14:paraId="391EC39C" w14:textId="77777777" w:rsidR="00C1341E" w:rsidRDefault="00000000">
      <w:pPr>
        <w:ind w:left="709" w:hanging="709"/>
      </w:pPr>
      <w:r>
        <w:lastRenderedPageBreak/>
        <w:t xml:space="preserve">Cuevas-Solar, D. D. y Arancibia, B. M. (2020). Percepciones y expectativas de docentes de ingeniería y educación en torno a la retroalimentación en tareas de escritura. </w:t>
      </w:r>
      <w:r>
        <w:rPr>
          <w:i/>
        </w:rPr>
        <w:t>Formación universitaria</w:t>
      </w:r>
      <w:r>
        <w:t xml:space="preserve">, </w:t>
      </w:r>
      <w:r>
        <w:rPr>
          <w:i/>
        </w:rPr>
        <w:t>13</w:t>
      </w:r>
      <w:r>
        <w:t xml:space="preserve">(4), 31-44. </w:t>
      </w:r>
      <w:hyperlink r:id="rId13">
        <w:r w:rsidR="00C1341E">
          <w:rPr>
            <w:color w:val="0563C1"/>
            <w:u w:val="single"/>
          </w:rPr>
          <w:t>https://doi.org/10.4067/s0718-50062020000400031</w:t>
        </w:r>
      </w:hyperlink>
    </w:p>
    <w:p w14:paraId="6C4316AE" w14:textId="77777777" w:rsidR="00C1341E" w:rsidRDefault="00000000">
      <w:pPr>
        <w:ind w:left="709" w:hanging="709"/>
      </w:pPr>
      <w:proofErr w:type="spellStart"/>
      <w:r>
        <w:t>Duk</w:t>
      </w:r>
      <w:proofErr w:type="spellEnd"/>
      <w:r>
        <w:t xml:space="preserve">, C., Cisternas, T. y Ramos, L. (2019). Formación docente desde un enfoque inclusivo. A 25 Años de la Declaración de Salamanca, nuevos y viejos desafíos. </w:t>
      </w:r>
      <w:r>
        <w:rPr>
          <w:i/>
        </w:rPr>
        <w:t>Revista latinoamericana de educación inclusiva</w:t>
      </w:r>
      <w:r>
        <w:t xml:space="preserve">, </w:t>
      </w:r>
      <w:r>
        <w:rPr>
          <w:i/>
        </w:rPr>
        <w:t>13</w:t>
      </w:r>
      <w:r>
        <w:t xml:space="preserve">(2), 91-109. </w:t>
      </w:r>
      <w:hyperlink r:id="rId14">
        <w:r w:rsidR="00C1341E">
          <w:rPr>
            <w:color w:val="0563C1"/>
            <w:u w:val="single"/>
          </w:rPr>
          <w:t>https://doi.org/10.4067/s0718-73782019000200091</w:t>
        </w:r>
      </w:hyperlink>
    </w:p>
    <w:p w14:paraId="64C9F756" w14:textId="77777777" w:rsidR="00C1341E" w:rsidRDefault="00000000">
      <w:pPr>
        <w:ind w:left="709" w:hanging="709"/>
      </w:pPr>
      <w:proofErr w:type="spellStart"/>
      <w:r>
        <w:t>Ehulech</w:t>
      </w:r>
      <w:proofErr w:type="spellEnd"/>
      <w:r>
        <w:t xml:space="preserve">, R. (2021). </w:t>
      </w:r>
      <w:r>
        <w:rPr>
          <w:i/>
        </w:rPr>
        <w:t>Expectativas y actitudes parentales en la adquisición de la lectoescritura infantil</w:t>
      </w:r>
      <w:r>
        <w:t xml:space="preserve">. [Tesis de pregrado, Pontificia Universidad Católica de Argentina]. </w:t>
      </w:r>
      <w:hyperlink r:id="rId15">
        <w:r w:rsidR="00C1341E">
          <w:rPr>
            <w:color w:val="0563C1"/>
            <w:u w:val="single"/>
          </w:rPr>
          <w:t>https://repositorio.uca.edu.ar/handle/123456789/12456</w:t>
        </w:r>
      </w:hyperlink>
    </w:p>
    <w:p w14:paraId="33228E43" w14:textId="77777777" w:rsidR="00C1341E" w:rsidRDefault="00000000">
      <w:pPr>
        <w:ind w:left="709" w:hanging="709"/>
      </w:pPr>
      <w:r>
        <w:t xml:space="preserve">Ferro, L. (2005). </w:t>
      </w:r>
      <w:r>
        <w:rPr>
          <w:i/>
        </w:rPr>
        <w:t>Mujeres y participación política en los 70: El caso de Santa Fe</w:t>
      </w:r>
      <w:r>
        <w:t xml:space="preserve">. </w:t>
      </w:r>
      <w:proofErr w:type="spellStart"/>
      <w:r>
        <w:t>Feminaria</w:t>
      </w:r>
      <w:proofErr w:type="spellEnd"/>
      <w:r>
        <w:t xml:space="preserve"> editora.</w:t>
      </w:r>
    </w:p>
    <w:p w14:paraId="4FB86905" w14:textId="77777777" w:rsidR="00C1341E" w:rsidRDefault="00000000">
      <w:pPr>
        <w:ind w:left="709" w:hanging="709"/>
      </w:pPr>
      <w:r>
        <w:t xml:space="preserve">García, M. E. (2019). La importancia de la formación integral en los procesos de inclusión de estudiantes con discapacidad cognitiva. </w:t>
      </w:r>
      <w:proofErr w:type="spellStart"/>
      <w:r>
        <w:rPr>
          <w:i/>
        </w:rPr>
        <w:t>ReHuSo</w:t>
      </w:r>
      <w:proofErr w:type="spellEnd"/>
      <w:r>
        <w:rPr>
          <w:i/>
        </w:rPr>
        <w:t>: Revista de Ciencias Humanísticas y Sociales</w:t>
      </w:r>
      <w:r>
        <w:t xml:space="preserve">, </w:t>
      </w:r>
      <w:r>
        <w:rPr>
          <w:i/>
        </w:rPr>
        <w:t>4</w:t>
      </w:r>
      <w:r>
        <w:t xml:space="preserve">(2), 46. </w:t>
      </w:r>
      <w:hyperlink r:id="rId16">
        <w:r w:rsidR="00C1341E">
          <w:rPr>
            <w:color w:val="0563C1"/>
            <w:u w:val="single"/>
          </w:rPr>
          <w:t>https://doi.org/10.33936/rehuso.v4i2.1747</w:t>
        </w:r>
      </w:hyperlink>
    </w:p>
    <w:p w14:paraId="70A1C5FF" w14:textId="77777777" w:rsidR="00C1341E" w:rsidRDefault="00000000">
      <w:pPr>
        <w:ind w:left="709" w:hanging="709"/>
      </w:pPr>
      <w:proofErr w:type="spellStart"/>
      <w:r>
        <w:t>Gelber</w:t>
      </w:r>
      <w:proofErr w:type="spellEnd"/>
      <w:r>
        <w:t xml:space="preserve">, D. A., Treviño, E., González, A., Escribano, R. y Ortega, L. (2019). Del dicho al hecho: Creencias y prácticas inclusivas en establecimientos municipales de Santiago. </w:t>
      </w:r>
      <w:r>
        <w:rPr>
          <w:i/>
        </w:rPr>
        <w:t>Perspectiva Educacional</w:t>
      </w:r>
      <w:r>
        <w:t xml:space="preserve">, </w:t>
      </w:r>
      <w:r>
        <w:rPr>
          <w:i/>
        </w:rPr>
        <w:t>58</w:t>
      </w:r>
      <w:r>
        <w:t xml:space="preserve">(3), 73-101. </w:t>
      </w:r>
      <w:hyperlink r:id="rId17">
        <w:r w:rsidR="00C1341E">
          <w:rPr>
            <w:color w:val="0563C1"/>
            <w:u w:val="single"/>
          </w:rPr>
          <w:t>https://doi.org/10.4151/07189729-vol.58-iss.3-art.967</w:t>
        </w:r>
      </w:hyperlink>
    </w:p>
    <w:p w14:paraId="0935B808" w14:textId="77777777" w:rsidR="00C1341E" w:rsidRDefault="00000000">
      <w:pPr>
        <w:ind w:left="709" w:hanging="709"/>
      </w:pPr>
      <w:r>
        <w:t xml:space="preserve">Hernández, R., Fernández, C. y Baptista, P. (2014). </w:t>
      </w:r>
      <w:r>
        <w:rPr>
          <w:i/>
        </w:rPr>
        <w:t>Metodología de la investigación</w:t>
      </w:r>
      <w:r>
        <w:t xml:space="preserve">. Mc Graw Hill, </w:t>
      </w:r>
      <w:proofErr w:type="spellStart"/>
      <w:r>
        <w:t>Education</w:t>
      </w:r>
      <w:proofErr w:type="spellEnd"/>
      <w:r>
        <w:t>.</w:t>
      </w:r>
    </w:p>
    <w:p w14:paraId="6CE1D010" w14:textId="77777777" w:rsidR="00C1341E" w:rsidRDefault="00000000">
      <w:pPr>
        <w:ind w:left="709" w:hanging="709"/>
      </w:pPr>
      <w:r>
        <w:t xml:space="preserve">Jara, M. y Jara, P. (2018). Concepciones y prácticas evaluativas declaradas por los docentes en respuesta a las necesidades educativas especiales de carácter permanente. </w:t>
      </w:r>
      <w:r>
        <w:rPr>
          <w:i/>
        </w:rPr>
        <w:t>Revista Latinoamericana de Educación Inclusiva</w:t>
      </w:r>
      <w:r>
        <w:t xml:space="preserve">, </w:t>
      </w:r>
      <w:r>
        <w:rPr>
          <w:i/>
        </w:rPr>
        <w:t>12</w:t>
      </w:r>
      <w:r>
        <w:t xml:space="preserve">(2), 59-77. </w:t>
      </w:r>
      <w:hyperlink r:id="rId18">
        <w:r w:rsidR="00C1341E">
          <w:rPr>
            <w:color w:val="0563C1"/>
            <w:u w:val="single"/>
          </w:rPr>
          <w:t>https://doi.org/10.4067/S0718-73782018000200005</w:t>
        </w:r>
      </w:hyperlink>
    </w:p>
    <w:p w14:paraId="2DF7E8C1" w14:textId="77777777" w:rsidR="00C1341E" w:rsidRDefault="00000000">
      <w:pPr>
        <w:ind w:left="709" w:hanging="709"/>
      </w:pPr>
      <w:proofErr w:type="spellStart"/>
      <w:r>
        <w:t>Krichesky</w:t>
      </w:r>
      <w:proofErr w:type="spellEnd"/>
      <w:r>
        <w:t xml:space="preserve">, G. y Murillo, J. (2018). La colaboración docente como factor de aprendizaje y promotor de mejora: un estudio de casos. </w:t>
      </w:r>
      <w:r>
        <w:rPr>
          <w:i/>
        </w:rPr>
        <w:t>Educación XX1</w:t>
      </w:r>
      <w:r>
        <w:t xml:space="preserve">. </w:t>
      </w:r>
      <w:hyperlink r:id="rId19">
        <w:r w:rsidR="00C1341E">
          <w:rPr>
            <w:color w:val="0563C1"/>
            <w:u w:val="single"/>
          </w:rPr>
          <w:t>https://doi.org/10.5944/educXX1.15080</w:t>
        </w:r>
      </w:hyperlink>
    </w:p>
    <w:p w14:paraId="1AA9002B" w14:textId="77777777" w:rsidR="00C1341E" w:rsidRDefault="00000000">
      <w:pPr>
        <w:ind w:left="709" w:hanging="709"/>
      </w:pPr>
      <w:r>
        <w:t xml:space="preserve">Lobos, K., Bustos, C., Cobo-Rendón, R. C. y Cisternas, N. V. (2022). Características psicométricas de un cuestionario de expectativas hacia la educación virtual en estudiantes universitarios durante la pandemia COVID-19. </w:t>
      </w:r>
      <w:r>
        <w:rPr>
          <w:i/>
        </w:rPr>
        <w:t>Formación Universitaria</w:t>
      </w:r>
      <w:r>
        <w:t xml:space="preserve">, </w:t>
      </w:r>
      <w:r>
        <w:rPr>
          <w:i/>
        </w:rPr>
        <w:t>15</w:t>
      </w:r>
      <w:r>
        <w:t xml:space="preserve">(1), 3-18. </w:t>
      </w:r>
      <w:hyperlink r:id="rId20">
        <w:r w:rsidR="00C1341E">
          <w:rPr>
            <w:color w:val="0563C1"/>
            <w:u w:val="single"/>
          </w:rPr>
          <w:t>https://doi.org/10.4067/S0718-50062022000100003</w:t>
        </w:r>
      </w:hyperlink>
    </w:p>
    <w:p w14:paraId="6078331B" w14:textId="77777777" w:rsidR="00C1341E" w:rsidRDefault="00000000">
      <w:pPr>
        <w:ind w:left="709" w:hanging="709"/>
      </w:pPr>
      <w:r>
        <w:lastRenderedPageBreak/>
        <w:t xml:space="preserve">López, I. M., y Valenzuela, G. E. (2015). Niños y adolescentes con necesidades educativas especiales. </w:t>
      </w:r>
      <w:r>
        <w:rPr>
          <w:i/>
        </w:rPr>
        <w:t>Revista Médica Clínica Las Condes, 26</w:t>
      </w:r>
      <w:r>
        <w:t xml:space="preserve">(1). 42-51. </w:t>
      </w:r>
      <w:hyperlink r:id="rId21">
        <w:r w:rsidR="00C1341E">
          <w:rPr>
            <w:color w:val="0563C1"/>
            <w:u w:val="single"/>
          </w:rPr>
          <w:t>https://doi.org/10.1016/j.rmclc.2015.02.004</w:t>
        </w:r>
      </w:hyperlink>
    </w:p>
    <w:p w14:paraId="7E4D8991" w14:textId="77777777" w:rsidR="00C1341E" w:rsidRDefault="00000000">
      <w:pPr>
        <w:ind w:left="709" w:hanging="709"/>
      </w:pPr>
      <w:r>
        <w:t xml:space="preserve">López, J. y </w:t>
      </w:r>
      <w:proofErr w:type="spellStart"/>
      <w:r>
        <w:t>Manghi</w:t>
      </w:r>
      <w:proofErr w:type="spellEnd"/>
      <w:r>
        <w:t xml:space="preserve">, D. (2021). ¿Es posible transformar las prácticas evaluativas mediante el trabajo colaborativo? Una mirada inclusiva a la evaluación en aula. </w:t>
      </w:r>
      <w:r>
        <w:rPr>
          <w:i/>
        </w:rPr>
        <w:t>Revista latinoamericana de educación inclusiva</w:t>
      </w:r>
      <w:r>
        <w:t xml:space="preserve">, </w:t>
      </w:r>
      <w:r>
        <w:rPr>
          <w:i/>
        </w:rPr>
        <w:t>15</w:t>
      </w:r>
      <w:r>
        <w:t xml:space="preserve">(1), 173-187. </w:t>
      </w:r>
      <w:hyperlink r:id="rId22">
        <w:r w:rsidR="00C1341E">
          <w:rPr>
            <w:color w:val="0563C1"/>
            <w:u w:val="single"/>
          </w:rPr>
          <w:t>https://doi.org/10.4067/s0718-73782021000100173</w:t>
        </w:r>
      </w:hyperlink>
    </w:p>
    <w:p w14:paraId="7FA37C0E" w14:textId="77777777" w:rsidR="00C1341E" w:rsidRDefault="00000000">
      <w:pPr>
        <w:ind w:left="709" w:hanging="709"/>
      </w:pPr>
      <w:r>
        <w:t xml:space="preserve">López, K. y Molina, V. (2018). Incidencia del trabajo colaborativo docente en la enseñanza y el aprendizaje de la escritura académica. </w:t>
      </w:r>
      <w:r>
        <w:rPr>
          <w:i/>
        </w:rPr>
        <w:t>Revista Electrónica de Investigación Educativa</w:t>
      </w:r>
      <w:r>
        <w:t xml:space="preserve">, </w:t>
      </w:r>
      <w:r>
        <w:rPr>
          <w:i/>
        </w:rPr>
        <w:t>20</w:t>
      </w:r>
      <w:r>
        <w:t xml:space="preserve">(1), 1-13. </w:t>
      </w:r>
      <w:hyperlink r:id="rId23">
        <w:r w:rsidR="00C1341E">
          <w:rPr>
            <w:color w:val="0563C1"/>
            <w:u w:val="single"/>
          </w:rPr>
          <w:t>https://doi.org/10.24320/redie.2018.20.1.1477</w:t>
        </w:r>
      </w:hyperlink>
    </w:p>
    <w:p w14:paraId="3DDB1302" w14:textId="77777777" w:rsidR="00C1341E" w:rsidRDefault="00000000">
      <w:pPr>
        <w:ind w:left="709" w:hanging="709"/>
      </w:pPr>
      <w:r>
        <w:t xml:space="preserve">López, L. (2017). Expectativas del profesor y logros de aprendizaje de los estudiantes de la opción laboral de “Confección Textil” en el CETPRO- Juanjuí, 2016. </w:t>
      </w:r>
      <w:r>
        <w:rPr>
          <w:i/>
        </w:rPr>
        <w:t>Universidad César Vallejo</w:t>
      </w:r>
      <w:r>
        <w:t xml:space="preserve">. </w:t>
      </w:r>
      <w:hyperlink r:id="rId24">
        <w:r w:rsidR="00C1341E">
          <w:rPr>
            <w:color w:val="0563C1"/>
            <w:u w:val="single"/>
          </w:rPr>
          <w:t>https://repositorio.ucv.edu.pe/handle/20.500.12692/12828</w:t>
        </w:r>
      </w:hyperlink>
    </w:p>
    <w:p w14:paraId="1874F930" w14:textId="77777777" w:rsidR="00C1341E" w:rsidRDefault="00000000">
      <w:pPr>
        <w:ind w:left="709" w:hanging="709"/>
      </w:pPr>
      <w:r>
        <w:t>Mora-</w:t>
      </w:r>
      <w:proofErr w:type="spellStart"/>
      <w:r>
        <w:t>Castelletto</w:t>
      </w:r>
      <w:proofErr w:type="spellEnd"/>
      <w:r>
        <w:t>, V., Muñoz-montes, M. M., Pozo-tapia, F., Fuentes-López, E., Dos Santos Alves, G. y Rivera-</w:t>
      </w:r>
      <w:proofErr w:type="spellStart"/>
      <w:r>
        <w:t>Bahamonte</w:t>
      </w:r>
      <w:proofErr w:type="spellEnd"/>
      <w:r>
        <w:t xml:space="preserve">, C. (2021). Efecto de una intervención en actitudes y expectativas de aprendizaje de profesores y asistentes de la educación hacia la inclusión escolar de estudiantes con síndrome de Down. </w:t>
      </w:r>
      <w:r>
        <w:rPr>
          <w:i/>
        </w:rPr>
        <w:t>Revista CEFAC</w:t>
      </w:r>
      <w:r>
        <w:t xml:space="preserve">, </w:t>
      </w:r>
      <w:r>
        <w:rPr>
          <w:i/>
        </w:rPr>
        <w:t>23</w:t>
      </w:r>
      <w:r>
        <w:t xml:space="preserve">(6). </w:t>
      </w:r>
      <w:hyperlink r:id="rId25">
        <w:r w:rsidR="00C1341E">
          <w:rPr>
            <w:color w:val="0563C1"/>
            <w:u w:val="single"/>
          </w:rPr>
          <w:t>https://doi.org/10.1590/1982-0216/20212368421</w:t>
        </w:r>
      </w:hyperlink>
    </w:p>
    <w:p w14:paraId="5A886886" w14:textId="77777777" w:rsidR="00C1341E" w:rsidRDefault="00000000">
      <w:pPr>
        <w:ind w:left="709" w:hanging="709"/>
      </w:pPr>
      <w:r>
        <w:t xml:space="preserve">Mújica, A., Guido, P., &amp; Mercado, S.J. (2011). Actitudes y comportamiento lector: Una aplicación de la teoría de la conducta planeada en estudiantes de nivel medio superior. </w:t>
      </w:r>
      <w:proofErr w:type="spellStart"/>
      <w:r>
        <w:rPr>
          <w:i/>
        </w:rPr>
        <w:t>Liberabit</w:t>
      </w:r>
      <w:proofErr w:type="spellEnd"/>
      <w:r>
        <w:rPr>
          <w:i/>
        </w:rPr>
        <w:t>, 17</w:t>
      </w:r>
      <w:r>
        <w:t xml:space="preserve">(1). 77-84. </w:t>
      </w:r>
      <w:hyperlink r:id="rId26">
        <w:r w:rsidR="00C1341E">
          <w:rPr>
            <w:color w:val="0563C1"/>
            <w:u w:val="single"/>
          </w:rPr>
          <w:t>https://www.redalyc.org/articulo.oa?id=68619288009</w:t>
        </w:r>
      </w:hyperlink>
    </w:p>
    <w:p w14:paraId="3E1EBE76" w14:textId="77777777" w:rsidR="00C1341E" w:rsidRDefault="00000000">
      <w:pPr>
        <w:ind w:left="709" w:hanging="709"/>
      </w:pPr>
      <w:r>
        <w:t xml:space="preserve">Muñoz, M. M., Pozo, F. J., Rivera, C. R., Gutiérrez, A. R., Mora, V. M., León, C. S., Aracena, G. S. y Fuentes, E. (2021). Actitudes y expectativas de aprendizaje sobre estudiantes con síndrome de Down: validación de un instrumento. </w:t>
      </w:r>
      <w:r>
        <w:rPr>
          <w:i/>
        </w:rPr>
        <w:t>Perspectiva Educacional</w:t>
      </w:r>
      <w:r>
        <w:t xml:space="preserve">, </w:t>
      </w:r>
      <w:r>
        <w:rPr>
          <w:i/>
        </w:rPr>
        <w:t>60</w:t>
      </w:r>
      <w:r>
        <w:t xml:space="preserve">(2), 48-74. </w:t>
      </w:r>
      <w:hyperlink r:id="rId27">
        <w:r w:rsidR="00C1341E">
          <w:rPr>
            <w:color w:val="0563C1"/>
            <w:u w:val="single"/>
          </w:rPr>
          <w:t>https://doi.org/10.4151/07189729-vol.60-iss.2-art.1181</w:t>
        </w:r>
      </w:hyperlink>
    </w:p>
    <w:p w14:paraId="3C7D9048" w14:textId="77777777" w:rsidR="00C1341E" w:rsidRDefault="00000000">
      <w:pPr>
        <w:ind w:left="709" w:hanging="709"/>
      </w:pPr>
      <w:r>
        <w:t xml:space="preserve">Orozco, I. y </w:t>
      </w:r>
      <w:proofErr w:type="spellStart"/>
      <w:r>
        <w:t>Moriña</w:t>
      </w:r>
      <w:proofErr w:type="spellEnd"/>
      <w:r>
        <w:t xml:space="preserve">, A. (2019). Prácticas docentes para una pedagogía inclusiva en Educación Primaria: escuchando las voces del profesorado. </w:t>
      </w:r>
      <w:r>
        <w:rPr>
          <w:i/>
        </w:rPr>
        <w:t>Aula Abierta</w:t>
      </w:r>
      <w:r>
        <w:t xml:space="preserve">, </w:t>
      </w:r>
      <w:r>
        <w:rPr>
          <w:i/>
        </w:rPr>
        <w:t>48</w:t>
      </w:r>
      <w:r>
        <w:t xml:space="preserve">(3), 331-338. </w:t>
      </w:r>
      <w:hyperlink r:id="rId28">
        <w:r w:rsidR="00C1341E">
          <w:rPr>
            <w:color w:val="0563C1"/>
            <w:u w:val="single"/>
          </w:rPr>
          <w:t>https://doi.org/10.17811/rifie.48.3.2019.331-338</w:t>
        </w:r>
      </w:hyperlink>
    </w:p>
    <w:p w14:paraId="3814E4B6" w14:textId="77777777" w:rsidR="00C1341E" w:rsidRDefault="00000000">
      <w:pPr>
        <w:ind w:left="709" w:hanging="709"/>
      </w:pPr>
      <w:r>
        <w:t xml:space="preserve">Organización de las Naciones Unidas (ONU). (2023). Discapacidad y educación superior: Inclusión en un mundo académico cada vez más inclinado a la tecnología. </w:t>
      </w:r>
      <w:hyperlink r:id="rId29">
        <w:r w:rsidR="00C1341E">
          <w:rPr>
            <w:color w:val="0563C1"/>
            <w:u w:val="single"/>
          </w:rPr>
          <w:t>https://www.un.org/es/impacto-acad%C3%A9mico/discapacidad-y-educaci%C3%B3n-superior-inclusi%C3%B3n-en-un-mundo-acad%C3%A9mico-cada-vez-m%C3%A1s</w:t>
        </w:r>
      </w:hyperlink>
    </w:p>
    <w:p w14:paraId="1496E9B2" w14:textId="77777777" w:rsidR="00C1341E" w:rsidRDefault="00000000">
      <w:pPr>
        <w:ind w:left="709" w:hanging="709"/>
      </w:pPr>
      <w:r>
        <w:lastRenderedPageBreak/>
        <w:t xml:space="preserve">Organización de las Naciones Unidas para la Educación, la Ciencia y la Cultura (UNESCO). (2023). La inclusión en la educación: Que nadie quede rezagado. </w:t>
      </w:r>
      <w:hyperlink r:id="rId30">
        <w:r w:rsidR="00C1341E">
          <w:rPr>
            <w:color w:val="0563C1"/>
            <w:u w:val="single"/>
          </w:rPr>
          <w:t>https://www.unesco.org/es/education/inclusion</w:t>
        </w:r>
      </w:hyperlink>
    </w:p>
    <w:p w14:paraId="7C900164" w14:textId="77777777" w:rsidR="00C1341E" w:rsidRDefault="00000000">
      <w:pPr>
        <w:ind w:left="709" w:hanging="709"/>
      </w:pPr>
      <w:r>
        <w:t xml:space="preserve">Rivera, Y. D. C. y Aparicio, C. (2020). Características de las prácticas de liderazgo pedagógico en programas de integración escolar que favorecen el trabajo colaborativo entre docentes. </w:t>
      </w:r>
      <w:r>
        <w:rPr>
          <w:i/>
        </w:rPr>
        <w:t>Perspectiva Educacional</w:t>
      </w:r>
      <w:r>
        <w:t xml:space="preserve">, </w:t>
      </w:r>
      <w:r>
        <w:rPr>
          <w:i/>
        </w:rPr>
        <w:t>59</w:t>
      </w:r>
      <w:r>
        <w:t xml:space="preserve">(2), 27-44. </w:t>
      </w:r>
      <w:hyperlink r:id="rId31">
        <w:r w:rsidR="00C1341E">
          <w:rPr>
            <w:color w:val="0563C1"/>
            <w:u w:val="single"/>
          </w:rPr>
          <w:t>https://doi.org/10.4151/07189729-vol.59-iss.2-art.1055</w:t>
        </w:r>
      </w:hyperlink>
    </w:p>
    <w:p w14:paraId="3B924E38" w14:textId="77777777" w:rsidR="00C1341E" w:rsidRDefault="00000000">
      <w:pPr>
        <w:ind w:left="709" w:hanging="709"/>
      </w:pPr>
      <w:r>
        <w:t xml:space="preserve">Sagredo-Lillo, E. J., Muñoz, M. P. B. y </w:t>
      </w:r>
      <w:proofErr w:type="spellStart"/>
      <w:r>
        <w:t>Butter</w:t>
      </w:r>
      <w:proofErr w:type="spellEnd"/>
      <w:r>
        <w:t xml:space="preserve">, M. C. (2020). Time </w:t>
      </w:r>
      <w:proofErr w:type="spellStart"/>
      <w:r>
        <w:t>management</w:t>
      </w:r>
      <w:proofErr w:type="spellEnd"/>
      <w:r>
        <w:t xml:space="preserve">, </w:t>
      </w:r>
      <w:proofErr w:type="spellStart"/>
      <w:r>
        <w:t>co-teaching</w:t>
      </w:r>
      <w:proofErr w:type="spellEnd"/>
      <w:r>
        <w:t xml:space="preserve"> and </w:t>
      </w:r>
      <w:proofErr w:type="spellStart"/>
      <w:r>
        <w:t>educational</w:t>
      </w:r>
      <w:proofErr w:type="spellEnd"/>
      <w:r>
        <w:t xml:space="preserve"> </w:t>
      </w:r>
      <w:proofErr w:type="spellStart"/>
      <w:r>
        <w:t>inclusion</w:t>
      </w:r>
      <w:proofErr w:type="spellEnd"/>
      <w:r>
        <w:t xml:space="preserve">. </w:t>
      </w:r>
      <w:r>
        <w:rPr>
          <w:i/>
        </w:rPr>
        <w:t>Revista Colombiana de Educación</w:t>
      </w:r>
      <w:r>
        <w:t xml:space="preserve">, </w:t>
      </w:r>
      <w:r>
        <w:rPr>
          <w:i/>
        </w:rPr>
        <w:t>1</w:t>
      </w:r>
      <w:r>
        <w:t xml:space="preserve">(78), 343-360. </w:t>
      </w:r>
      <w:hyperlink r:id="rId32">
        <w:r w:rsidR="00C1341E">
          <w:rPr>
            <w:color w:val="0563C1"/>
            <w:u w:val="single"/>
          </w:rPr>
          <w:t>https://doi.org/10.17227/rce.num78-9526</w:t>
        </w:r>
      </w:hyperlink>
    </w:p>
    <w:p w14:paraId="76CF7B9A" w14:textId="77777777" w:rsidR="00C1341E" w:rsidRDefault="00000000">
      <w:pPr>
        <w:ind w:left="709" w:hanging="709"/>
      </w:pPr>
      <w:r>
        <w:t xml:space="preserve">Schlegel, D., </w:t>
      </w:r>
      <w:proofErr w:type="spellStart"/>
      <w:r>
        <w:t>Paoloni</w:t>
      </w:r>
      <w:proofErr w:type="spellEnd"/>
      <w:r>
        <w:t xml:space="preserve">, P. V. y </w:t>
      </w:r>
      <w:proofErr w:type="spellStart"/>
      <w:r>
        <w:t>Donolo</w:t>
      </w:r>
      <w:proofErr w:type="spellEnd"/>
      <w:r>
        <w:t xml:space="preserve">, D. (2020). Expectativas y valoraciones sobre el contexto de aprendizaje. Un estudio longitudinal en carreras de ingeniería. </w:t>
      </w:r>
      <w:r>
        <w:rPr>
          <w:i/>
        </w:rPr>
        <w:t>Revista Educación en Ingeniería</w:t>
      </w:r>
      <w:r>
        <w:t xml:space="preserve">, </w:t>
      </w:r>
      <w:r>
        <w:rPr>
          <w:i/>
        </w:rPr>
        <w:t>16</w:t>
      </w:r>
      <w:r>
        <w:t xml:space="preserve">(31), 35-48. </w:t>
      </w:r>
      <w:hyperlink r:id="rId33">
        <w:r w:rsidR="00C1341E">
          <w:rPr>
            <w:color w:val="0563C1"/>
            <w:u w:val="single"/>
          </w:rPr>
          <w:t>https://doi.org/10.26507/rei.v16n31.1130</w:t>
        </w:r>
      </w:hyperlink>
    </w:p>
    <w:p w14:paraId="10C5CB2B" w14:textId="77777777" w:rsidR="00C1341E" w:rsidRDefault="00000000">
      <w:pPr>
        <w:ind w:left="709" w:hanging="709"/>
      </w:pPr>
      <w:r>
        <w:t xml:space="preserve">Sevilla-Santo, D. E., Martín-Pavón, M. J., </w:t>
      </w:r>
      <w:proofErr w:type="spellStart"/>
      <w:r>
        <w:t>Sunza</w:t>
      </w:r>
      <w:proofErr w:type="spellEnd"/>
      <w:r>
        <w:t xml:space="preserve">-Chan, S. P. y </w:t>
      </w:r>
      <w:proofErr w:type="spellStart"/>
      <w:r>
        <w:t>Druet</w:t>
      </w:r>
      <w:proofErr w:type="spellEnd"/>
      <w:r>
        <w:t xml:space="preserve">-Domínguez, N. V. (2020). </w:t>
      </w:r>
      <w:proofErr w:type="spellStart"/>
      <w:r>
        <w:t>Self</w:t>
      </w:r>
      <w:proofErr w:type="spellEnd"/>
      <w:r>
        <w:t xml:space="preserve">-concept, </w:t>
      </w:r>
      <w:proofErr w:type="spellStart"/>
      <w:r>
        <w:t>expectations</w:t>
      </w:r>
      <w:proofErr w:type="spellEnd"/>
      <w:r>
        <w:t xml:space="preserve">, and </w:t>
      </w:r>
      <w:proofErr w:type="spellStart"/>
      <w:r>
        <w:t>meaning</w:t>
      </w:r>
      <w:proofErr w:type="spellEnd"/>
      <w:r>
        <w:t xml:space="preserve"> </w:t>
      </w:r>
      <w:proofErr w:type="spellStart"/>
      <w:r>
        <w:t>of</w:t>
      </w:r>
      <w:proofErr w:type="spellEnd"/>
      <w:r>
        <w:t xml:space="preserve"> </w:t>
      </w:r>
      <w:proofErr w:type="spellStart"/>
      <w:r>
        <w:t>life</w:t>
      </w:r>
      <w:proofErr w:type="spellEnd"/>
      <w:r>
        <w:t xml:space="preserve">: Sinergy </w:t>
      </w:r>
      <w:proofErr w:type="spellStart"/>
      <w:r>
        <w:t>that</w:t>
      </w:r>
      <w:proofErr w:type="spellEnd"/>
      <w:r>
        <w:t xml:space="preserve"> determines </w:t>
      </w:r>
      <w:proofErr w:type="spellStart"/>
      <w:r>
        <w:t>learning</w:t>
      </w:r>
      <w:proofErr w:type="spellEnd"/>
      <w:r>
        <w:t xml:space="preserve">. </w:t>
      </w:r>
      <w:r>
        <w:rPr>
          <w:i/>
        </w:rPr>
        <w:t>Revista Electrónica Educare</w:t>
      </w:r>
      <w:r>
        <w:t xml:space="preserve">, </w:t>
      </w:r>
      <w:r>
        <w:rPr>
          <w:i/>
        </w:rPr>
        <w:t>25</w:t>
      </w:r>
      <w:r>
        <w:t xml:space="preserve">(1), 1-23. </w:t>
      </w:r>
      <w:hyperlink r:id="rId34">
        <w:r w:rsidR="00C1341E">
          <w:rPr>
            <w:color w:val="0563C1"/>
            <w:u w:val="single"/>
          </w:rPr>
          <w:t>https://doi.org/10.15359/ree.25-1.12</w:t>
        </w:r>
      </w:hyperlink>
    </w:p>
    <w:p w14:paraId="0F0FECCB" w14:textId="77777777" w:rsidR="00C1341E" w:rsidRDefault="00000000">
      <w:pPr>
        <w:ind w:left="709" w:hanging="709"/>
      </w:pPr>
      <w:r>
        <w:t xml:space="preserve">Simón, C. y Barrios, Á. (2019). Las familias en el corazón de la educación inclusiva. </w:t>
      </w:r>
      <w:r>
        <w:rPr>
          <w:i/>
        </w:rPr>
        <w:t>Aula Abierta</w:t>
      </w:r>
      <w:r>
        <w:t xml:space="preserve">, </w:t>
      </w:r>
      <w:r>
        <w:rPr>
          <w:i/>
        </w:rPr>
        <w:t>48</w:t>
      </w:r>
      <w:r>
        <w:t xml:space="preserve">(1), 51. </w:t>
      </w:r>
      <w:hyperlink r:id="rId35">
        <w:r w:rsidR="00C1341E">
          <w:rPr>
            <w:color w:val="0563C1"/>
            <w:u w:val="single"/>
          </w:rPr>
          <w:t>https://doi.org/10.17811/rifie.48.1.2019.51-58</w:t>
        </w:r>
      </w:hyperlink>
    </w:p>
    <w:p w14:paraId="70FBD5C0" w14:textId="77777777" w:rsidR="00C1341E" w:rsidRDefault="00000000">
      <w:pPr>
        <w:ind w:left="709" w:hanging="709"/>
        <w:rPr>
          <w:i/>
        </w:rPr>
      </w:pPr>
      <w:r>
        <w:t xml:space="preserve">Vera, G. G., </w:t>
      </w:r>
      <w:proofErr w:type="spellStart"/>
      <w:r>
        <w:t>Muena</w:t>
      </w:r>
      <w:proofErr w:type="spellEnd"/>
      <w:r>
        <w:t xml:space="preserve">, M. R. y Guerrero, C. L. (2021). </w:t>
      </w:r>
      <w:proofErr w:type="spellStart"/>
      <w:r>
        <w:t>Expectations</w:t>
      </w:r>
      <w:proofErr w:type="spellEnd"/>
      <w:r>
        <w:t xml:space="preserve"> </w:t>
      </w:r>
      <w:proofErr w:type="spellStart"/>
      <w:r>
        <w:t>on</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from</w:t>
      </w:r>
      <w:proofErr w:type="spellEnd"/>
      <w:r>
        <w:t xml:space="preserve"> </w:t>
      </w:r>
      <w:proofErr w:type="spellStart"/>
      <w:r>
        <w:t>primary</w:t>
      </w:r>
      <w:proofErr w:type="spellEnd"/>
      <w:r>
        <w:t xml:space="preserve"> </w:t>
      </w:r>
      <w:proofErr w:type="spellStart"/>
      <w:r>
        <w:t>to</w:t>
      </w:r>
      <w:proofErr w:type="spellEnd"/>
      <w:r>
        <w:t xml:space="preserve"> </w:t>
      </w:r>
      <w:proofErr w:type="spellStart"/>
      <w:r>
        <w:t>secondary</w:t>
      </w:r>
      <w:proofErr w:type="spellEnd"/>
      <w:r>
        <w:t xml:space="preserve"> </w:t>
      </w:r>
      <w:proofErr w:type="spellStart"/>
      <w:r>
        <w:t>education</w:t>
      </w:r>
      <w:proofErr w:type="spellEnd"/>
      <w:r>
        <w:t xml:space="preserve"> </w:t>
      </w:r>
      <w:proofErr w:type="spellStart"/>
      <w:r>
        <w:t>for</w:t>
      </w:r>
      <w:proofErr w:type="spellEnd"/>
      <w:r>
        <w:t xml:space="preserve"> </w:t>
      </w:r>
      <w:proofErr w:type="spellStart"/>
      <w:r>
        <w:t>students</w:t>
      </w:r>
      <w:proofErr w:type="spellEnd"/>
      <w:r>
        <w:t xml:space="preserve"> </w:t>
      </w:r>
      <w:proofErr w:type="spellStart"/>
      <w:r>
        <w:t>from</w:t>
      </w:r>
      <w:proofErr w:type="spellEnd"/>
      <w:r>
        <w:t xml:space="preserve"> </w:t>
      </w:r>
      <w:proofErr w:type="spellStart"/>
      <w:r>
        <w:t>contexts</w:t>
      </w:r>
      <w:proofErr w:type="spellEnd"/>
      <w:r>
        <w:t xml:space="preserve"> </w:t>
      </w:r>
      <w:proofErr w:type="spellStart"/>
      <w:r>
        <w:t>of</w:t>
      </w:r>
      <w:proofErr w:type="spellEnd"/>
      <w:r>
        <w:t xml:space="preserve"> social </w:t>
      </w:r>
      <w:proofErr w:type="spellStart"/>
      <w:r>
        <w:t>vulnerability</w:t>
      </w:r>
      <w:proofErr w:type="spellEnd"/>
      <w:r>
        <w:t xml:space="preserve">. </w:t>
      </w:r>
      <w:r>
        <w:rPr>
          <w:i/>
        </w:rPr>
        <w:t>Pensamiento Educativo</w:t>
      </w:r>
      <w:r>
        <w:t xml:space="preserve">, </w:t>
      </w:r>
      <w:r>
        <w:rPr>
          <w:i/>
        </w:rPr>
        <w:t>58</w:t>
      </w:r>
      <w:r>
        <w:t xml:space="preserve">(1), 1-13. </w:t>
      </w:r>
      <w:hyperlink r:id="rId36">
        <w:r w:rsidR="00C1341E">
          <w:rPr>
            <w:color w:val="0563C1"/>
            <w:u w:val="single"/>
          </w:rPr>
          <w:t>https://doi.org/10.7764/PEL.58.1.2021.1</w:t>
        </w:r>
      </w:hyperlink>
    </w:p>
    <w:p w14:paraId="6E8CACFD" w14:textId="77777777" w:rsidR="00780860" w:rsidRPr="00780860" w:rsidRDefault="00780860" w:rsidP="00780860"/>
    <w:p w14:paraId="05FAA0E0" w14:textId="77777777" w:rsidR="00780860" w:rsidRPr="00780860" w:rsidRDefault="00780860" w:rsidP="00780860"/>
    <w:p w14:paraId="740CE494" w14:textId="77777777" w:rsidR="00780860" w:rsidRPr="00780860" w:rsidRDefault="00780860" w:rsidP="00780860"/>
    <w:p w14:paraId="6CDE2710" w14:textId="77777777" w:rsidR="00780860" w:rsidRPr="00780860" w:rsidRDefault="00780860" w:rsidP="00780860"/>
    <w:p w14:paraId="4EECF908" w14:textId="77777777" w:rsidR="00780860" w:rsidRDefault="00780860" w:rsidP="00780860">
      <w:pPr>
        <w:rPr>
          <w:i/>
        </w:rPr>
      </w:pPr>
    </w:p>
    <w:p w14:paraId="3671FF43" w14:textId="4E5A6B74" w:rsidR="00780860" w:rsidRDefault="00780860" w:rsidP="00780860">
      <w:pPr>
        <w:tabs>
          <w:tab w:val="left" w:pos="2280"/>
        </w:tabs>
      </w:pPr>
      <w:r>
        <w:tab/>
      </w:r>
    </w:p>
    <w:p w14:paraId="10429A73" w14:textId="77777777" w:rsidR="00780860" w:rsidRDefault="00780860" w:rsidP="00780860">
      <w:pPr>
        <w:tabs>
          <w:tab w:val="left" w:pos="2280"/>
        </w:tabs>
      </w:pPr>
    </w:p>
    <w:p w14:paraId="3CEBC698" w14:textId="77777777" w:rsidR="00780860" w:rsidRDefault="00780860" w:rsidP="00780860">
      <w:pPr>
        <w:tabs>
          <w:tab w:val="left" w:pos="2280"/>
        </w:tabs>
      </w:pPr>
    </w:p>
    <w:p w14:paraId="62B432CA" w14:textId="77777777" w:rsidR="00780860" w:rsidRDefault="00780860" w:rsidP="00780860">
      <w:pPr>
        <w:tabs>
          <w:tab w:val="left" w:pos="2280"/>
        </w:tabs>
      </w:pPr>
    </w:p>
    <w:p w14:paraId="3A28BA11" w14:textId="77777777" w:rsidR="00780860" w:rsidRDefault="00780860" w:rsidP="00780860">
      <w:pPr>
        <w:tabs>
          <w:tab w:val="left" w:pos="2280"/>
        </w:tabs>
      </w:pPr>
    </w:p>
    <w:p w14:paraId="363E6F5B" w14:textId="77777777" w:rsidR="00780860" w:rsidRDefault="00780860" w:rsidP="00780860">
      <w:pPr>
        <w:tabs>
          <w:tab w:val="left" w:pos="2280"/>
        </w:tabs>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80860" w:rsidRPr="00780860" w14:paraId="6A69203B" w14:textId="77777777" w:rsidTr="00550729">
        <w:tc>
          <w:tcPr>
            <w:tcW w:w="3045" w:type="dxa"/>
            <w:shd w:val="clear" w:color="auto" w:fill="auto"/>
            <w:tcMar>
              <w:top w:w="100" w:type="dxa"/>
              <w:left w:w="100" w:type="dxa"/>
              <w:bottom w:w="100" w:type="dxa"/>
              <w:right w:w="100" w:type="dxa"/>
            </w:tcMar>
          </w:tcPr>
          <w:p w14:paraId="6C4FCBCF" w14:textId="77777777" w:rsidR="00780860" w:rsidRPr="00780860" w:rsidRDefault="00780860" w:rsidP="00550729">
            <w:pPr>
              <w:pStyle w:val="Ttulo3"/>
              <w:widowControl w:val="0"/>
              <w:spacing w:before="0"/>
              <w:rPr>
                <w:b w:val="0"/>
                <w:bCs/>
              </w:rPr>
            </w:pPr>
            <w:r w:rsidRPr="00780860">
              <w:rPr>
                <w:b w:val="0"/>
                <w:bCs/>
              </w:rPr>
              <w:lastRenderedPageBreak/>
              <w:t>Rol de Contribución</w:t>
            </w:r>
          </w:p>
        </w:tc>
        <w:tc>
          <w:tcPr>
            <w:tcW w:w="6315" w:type="dxa"/>
            <w:shd w:val="clear" w:color="auto" w:fill="auto"/>
            <w:tcMar>
              <w:top w:w="100" w:type="dxa"/>
              <w:left w:w="100" w:type="dxa"/>
              <w:bottom w:w="100" w:type="dxa"/>
              <w:right w:w="100" w:type="dxa"/>
            </w:tcMar>
          </w:tcPr>
          <w:p w14:paraId="4C4ABE08" w14:textId="77777777" w:rsidR="00780860" w:rsidRPr="00780860" w:rsidRDefault="00780860" w:rsidP="00550729">
            <w:pPr>
              <w:pStyle w:val="Ttulo3"/>
              <w:widowControl w:val="0"/>
              <w:spacing w:before="0"/>
              <w:rPr>
                <w:b w:val="0"/>
                <w:bCs/>
              </w:rPr>
            </w:pPr>
            <w:bookmarkStart w:id="19" w:name="_btsjgdfgjwkr" w:colFirst="0" w:colLast="0"/>
            <w:bookmarkEnd w:id="19"/>
            <w:r w:rsidRPr="00780860">
              <w:rPr>
                <w:b w:val="0"/>
                <w:bCs/>
              </w:rPr>
              <w:t>Autores</w:t>
            </w:r>
          </w:p>
        </w:tc>
      </w:tr>
      <w:tr w:rsidR="00780860" w:rsidRPr="00780860" w14:paraId="39F535D4" w14:textId="77777777" w:rsidTr="00550729">
        <w:tc>
          <w:tcPr>
            <w:tcW w:w="3045" w:type="dxa"/>
            <w:shd w:val="clear" w:color="auto" w:fill="auto"/>
            <w:tcMar>
              <w:top w:w="100" w:type="dxa"/>
              <w:left w:w="100" w:type="dxa"/>
              <w:bottom w:w="100" w:type="dxa"/>
              <w:right w:w="100" w:type="dxa"/>
            </w:tcMar>
          </w:tcPr>
          <w:p w14:paraId="5E0663C7" w14:textId="77777777" w:rsidR="00780860" w:rsidRPr="00780860" w:rsidRDefault="00780860" w:rsidP="00550729">
            <w:pPr>
              <w:widowControl w:val="0"/>
              <w:spacing w:line="240" w:lineRule="auto"/>
              <w:rPr>
                <w:bCs/>
              </w:rPr>
            </w:pPr>
            <w:r w:rsidRPr="00780860">
              <w:rPr>
                <w:bCs/>
              </w:rPr>
              <w:t>Conceptualización</w:t>
            </w:r>
          </w:p>
        </w:tc>
        <w:tc>
          <w:tcPr>
            <w:tcW w:w="6315" w:type="dxa"/>
            <w:shd w:val="clear" w:color="auto" w:fill="auto"/>
            <w:tcMar>
              <w:top w:w="100" w:type="dxa"/>
              <w:left w:w="100" w:type="dxa"/>
              <w:bottom w:w="100" w:type="dxa"/>
              <w:right w:w="100" w:type="dxa"/>
            </w:tcMar>
          </w:tcPr>
          <w:p w14:paraId="362EBC29" w14:textId="77777777" w:rsidR="00780860" w:rsidRPr="00780860" w:rsidRDefault="00780860" w:rsidP="00550729">
            <w:pPr>
              <w:widowControl w:val="0"/>
              <w:spacing w:line="240" w:lineRule="auto"/>
              <w:rPr>
                <w:bCs/>
              </w:rPr>
            </w:pPr>
            <w:r w:rsidRPr="00780860">
              <w:rPr>
                <w:bCs/>
              </w:rPr>
              <w:t>Juan Rafael</w:t>
            </w:r>
          </w:p>
        </w:tc>
      </w:tr>
      <w:tr w:rsidR="00780860" w:rsidRPr="00780860" w14:paraId="6B2328B3" w14:textId="77777777" w:rsidTr="00550729">
        <w:tc>
          <w:tcPr>
            <w:tcW w:w="3045" w:type="dxa"/>
            <w:shd w:val="clear" w:color="auto" w:fill="auto"/>
            <w:tcMar>
              <w:top w:w="100" w:type="dxa"/>
              <w:left w:w="100" w:type="dxa"/>
              <w:bottom w:w="100" w:type="dxa"/>
              <w:right w:w="100" w:type="dxa"/>
            </w:tcMar>
          </w:tcPr>
          <w:p w14:paraId="0F1EE40E" w14:textId="77777777" w:rsidR="00780860" w:rsidRPr="00780860" w:rsidRDefault="00780860" w:rsidP="00550729">
            <w:pPr>
              <w:widowControl w:val="0"/>
              <w:spacing w:line="240" w:lineRule="auto"/>
              <w:rPr>
                <w:bCs/>
              </w:rPr>
            </w:pPr>
            <w:r w:rsidRPr="00780860">
              <w:rPr>
                <w:bCs/>
              </w:rPr>
              <w:t>Metodología</w:t>
            </w:r>
          </w:p>
        </w:tc>
        <w:tc>
          <w:tcPr>
            <w:tcW w:w="6315" w:type="dxa"/>
            <w:shd w:val="clear" w:color="auto" w:fill="auto"/>
            <w:tcMar>
              <w:top w:w="100" w:type="dxa"/>
              <w:left w:w="100" w:type="dxa"/>
              <w:bottom w:w="100" w:type="dxa"/>
              <w:right w:w="100" w:type="dxa"/>
            </w:tcMar>
          </w:tcPr>
          <w:p w14:paraId="2F1F9EFD" w14:textId="77777777" w:rsidR="00780860" w:rsidRPr="00780860" w:rsidRDefault="00780860" w:rsidP="00550729">
            <w:pPr>
              <w:widowControl w:val="0"/>
              <w:spacing w:line="240" w:lineRule="auto"/>
              <w:rPr>
                <w:bCs/>
              </w:rPr>
            </w:pPr>
            <w:proofErr w:type="spellStart"/>
            <w:r w:rsidRPr="00780860">
              <w:rPr>
                <w:bCs/>
              </w:rPr>
              <w:t>Heydi</w:t>
            </w:r>
            <w:proofErr w:type="spellEnd"/>
          </w:p>
        </w:tc>
      </w:tr>
      <w:tr w:rsidR="00780860" w:rsidRPr="00780860" w14:paraId="218EA983" w14:textId="77777777" w:rsidTr="00550729">
        <w:tc>
          <w:tcPr>
            <w:tcW w:w="3045" w:type="dxa"/>
            <w:shd w:val="clear" w:color="auto" w:fill="auto"/>
            <w:tcMar>
              <w:top w:w="100" w:type="dxa"/>
              <w:left w:w="100" w:type="dxa"/>
              <w:bottom w:w="100" w:type="dxa"/>
              <w:right w:w="100" w:type="dxa"/>
            </w:tcMar>
          </w:tcPr>
          <w:p w14:paraId="3EDD3E3C" w14:textId="77777777" w:rsidR="00780860" w:rsidRPr="00780860" w:rsidRDefault="00780860" w:rsidP="00550729">
            <w:pPr>
              <w:widowControl w:val="0"/>
              <w:spacing w:line="240" w:lineRule="auto"/>
              <w:rPr>
                <w:bCs/>
              </w:rPr>
            </w:pPr>
            <w:r w:rsidRPr="00780860">
              <w:rPr>
                <w:bCs/>
              </w:rPr>
              <w:t>Software</w:t>
            </w:r>
          </w:p>
        </w:tc>
        <w:tc>
          <w:tcPr>
            <w:tcW w:w="6315" w:type="dxa"/>
            <w:shd w:val="clear" w:color="auto" w:fill="auto"/>
            <w:tcMar>
              <w:top w:w="100" w:type="dxa"/>
              <w:left w:w="100" w:type="dxa"/>
              <w:bottom w:w="100" w:type="dxa"/>
              <w:right w:w="100" w:type="dxa"/>
            </w:tcMar>
          </w:tcPr>
          <w:p w14:paraId="48A94A28" w14:textId="77777777" w:rsidR="00780860" w:rsidRPr="00780860" w:rsidRDefault="00780860" w:rsidP="00550729">
            <w:pPr>
              <w:widowControl w:val="0"/>
              <w:spacing w:line="240" w:lineRule="auto"/>
              <w:rPr>
                <w:bCs/>
              </w:rPr>
            </w:pPr>
            <w:proofErr w:type="spellStart"/>
            <w:r w:rsidRPr="00780860">
              <w:rPr>
                <w:bCs/>
              </w:rPr>
              <w:t>Heydi</w:t>
            </w:r>
            <w:proofErr w:type="spellEnd"/>
          </w:p>
        </w:tc>
      </w:tr>
      <w:tr w:rsidR="00780860" w:rsidRPr="00780860" w14:paraId="29CB99D6" w14:textId="77777777" w:rsidTr="00550729">
        <w:tc>
          <w:tcPr>
            <w:tcW w:w="3045" w:type="dxa"/>
            <w:shd w:val="clear" w:color="auto" w:fill="auto"/>
            <w:tcMar>
              <w:top w:w="100" w:type="dxa"/>
              <w:left w:w="100" w:type="dxa"/>
              <w:bottom w:w="100" w:type="dxa"/>
              <w:right w:w="100" w:type="dxa"/>
            </w:tcMar>
          </w:tcPr>
          <w:p w14:paraId="7909DD47" w14:textId="77777777" w:rsidR="00780860" w:rsidRPr="00780860" w:rsidRDefault="00780860" w:rsidP="00550729">
            <w:pPr>
              <w:widowControl w:val="0"/>
              <w:spacing w:line="240" w:lineRule="auto"/>
              <w:rPr>
                <w:bCs/>
              </w:rPr>
            </w:pPr>
            <w:r w:rsidRPr="00780860">
              <w:rPr>
                <w:bCs/>
              </w:rPr>
              <w:t>Validación</w:t>
            </w:r>
          </w:p>
        </w:tc>
        <w:tc>
          <w:tcPr>
            <w:tcW w:w="6315" w:type="dxa"/>
            <w:shd w:val="clear" w:color="auto" w:fill="auto"/>
            <w:tcMar>
              <w:top w:w="100" w:type="dxa"/>
              <w:left w:w="100" w:type="dxa"/>
              <w:bottom w:w="100" w:type="dxa"/>
              <w:right w:w="100" w:type="dxa"/>
            </w:tcMar>
          </w:tcPr>
          <w:p w14:paraId="0A7AF311" w14:textId="77777777" w:rsidR="00780860" w:rsidRPr="00780860" w:rsidRDefault="00780860" w:rsidP="00550729">
            <w:pPr>
              <w:widowControl w:val="0"/>
              <w:spacing w:line="240" w:lineRule="auto"/>
              <w:rPr>
                <w:bCs/>
              </w:rPr>
            </w:pPr>
            <w:r w:rsidRPr="00780860">
              <w:rPr>
                <w:bCs/>
              </w:rPr>
              <w:t>-</w:t>
            </w:r>
          </w:p>
        </w:tc>
      </w:tr>
      <w:tr w:rsidR="00780860" w:rsidRPr="00780860" w14:paraId="444E88C6" w14:textId="77777777" w:rsidTr="00550729">
        <w:tc>
          <w:tcPr>
            <w:tcW w:w="3045" w:type="dxa"/>
            <w:shd w:val="clear" w:color="auto" w:fill="auto"/>
            <w:tcMar>
              <w:top w:w="100" w:type="dxa"/>
              <w:left w:w="100" w:type="dxa"/>
              <w:bottom w:w="100" w:type="dxa"/>
              <w:right w:w="100" w:type="dxa"/>
            </w:tcMar>
          </w:tcPr>
          <w:p w14:paraId="02D9653D" w14:textId="77777777" w:rsidR="00780860" w:rsidRPr="00780860" w:rsidRDefault="00780860" w:rsidP="00550729">
            <w:pPr>
              <w:widowControl w:val="0"/>
              <w:spacing w:line="240" w:lineRule="auto"/>
              <w:rPr>
                <w:bCs/>
              </w:rPr>
            </w:pPr>
            <w:r w:rsidRPr="00780860">
              <w:rPr>
                <w:bCs/>
              </w:rPr>
              <w:t>Análisis Formal</w:t>
            </w:r>
          </w:p>
        </w:tc>
        <w:tc>
          <w:tcPr>
            <w:tcW w:w="6315" w:type="dxa"/>
            <w:shd w:val="clear" w:color="auto" w:fill="auto"/>
            <w:tcMar>
              <w:top w:w="100" w:type="dxa"/>
              <w:left w:w="100" w:type="dxa"/>
              <w:bottom w:w="100" w:type="dxa"/>
              <w:right w:w="100" w:type="dxa"/>
            </w:tcMar>
          </w:tcPr>
          <w:p w14:paraId="690D7501" w14:textId="77777777" w:rsidR="00780860" w:rsidRPr="00780860" w:rsidRDefault="00780860" w:rsidP="00550729">
            <w:pPr>
              <w:widowControl w:val="0"/>
              <w:spacing w:line="240" w:lineRule="auto"/>
              <w:rPr>
                <w:bCs/>
              </w:rPr>
            </w:pPr>
            <w:proofErr w:type="spellStart"/>
            <w:r w:rsidRPr="00780860">
              <w:rPr>
                <w:bCs/>
              </w:rPr>
              <w:t>Heydi</w:t>
            </w:r>
            <w:proofErr w:type="spellEnd"/>
          </w:p>
        </w:tc>
      </w:tr>
      <w:tr w:rsidR="00780860" w:rsidRPr="00780860" w14:paraId="7A0F0287" w14:textId="77777777" w:rsidTr="00550729">
        <w:tc>
          <w:tcPr>
            <w:tcW w:w="3045" w:type="dxa"/>
            <w:shd w:val="clear" w:color="auto" w:fill="auto"/>
            <w:tcMar>
              <w:top w:w="100" w:type="dxa"/>
              <w:left w:w="100" w:type="dxa"/>
              <w:bottom w:w="100" w:type="dxa"/>
              <w:right w:w="100" w:type="dxa"/>
            </w:tcMar>
          </w:tcPr>
          <w:p w14:paraId="13E1E382" w14:textId="77777777" w:rsidR="00780860" w:rsidRPr="00780860" w:rsidRDefault="00780860" w:rsidP="00550729">
            <w:pPr>
              <w:widowControl w:val="0"/>
              <w:spacing w:line="240" w:lineRule="auto"/>
              <w:rPr>
                <w:bCs/>
              </w:rPr>
            </w:pPr>
            <w:r w:rsidRPr="00780860">
              <w:rPr>
                <w:bCs/>
              </w:rPr>
              <w:t>Investigación</w:t>
            </w:r>
          </w:p>
        </w:tc>
        <w:tc>
          <w:tcPr>
            <w:tcW w:w="6315" w:type="dxa"/>
            <w:shd w:val="clear" w:color="auto" w:fill="auto"/>
            <w:tcMar>
              <w:top w:w="100" w:type="dxa"/>
              <w:left w:w="100" w:type="dxa"/>
              <w:bottom w:w="100" w:type="dxa"/>
              <w:right w:w="100" w:type="dxa"/>
            </w:tcMar>
          </w:tcPr>
          <w:p w14:paraId="5BE1A1F4" w14:textId="77777777" w:rsidR="00780860" w:rsidRPr="00780860" w:rsidRDefault="00780860" w:rsidP="00550729">
            <w:pPr>
              <w:widowControl w:val="0"/>
              <w:spacing w:line="240" w:lineRule="auto"/>
              <w:rPr>
                <w:bCs/>
              </w:rPr>
            </w:pPr>
            <w:r w:rsidRPr="00780860">
              <w:rPr>
                <w:bCs/>
              </w:rPr>
              <w:t>Juan Rafael</w:t>
            </w:r>
          </w:p>
        </w:tc>
      </w:tr>
      <w:tr w:rsidR="00780860" w:rsidRPr="00780860" w14:paraId="1250D213" w14:textId="77777777" w:rsidTr="00550729">
        <w:tc>
          <w:tcPr>
            <w:tcW w:w="3045" w:type="dxa"/>
            <w:shd w:val="clear" w:color="auto" w:fill="auto"/>
            <w:tcMar>
              <w:top w:w="100" w:type="dxa"/>
              <w:left w:w="100" w:type="dxa"/>
              <w:bottom w:w="100" w:type="dxa"/>
              <w:right w:w="100" w:type="dxa"/>
            </w:tcMar>
          </w:tcPr>
          <w:p w14:paraId="2CE0DCAC" w14:textId="77777777" w:rsidR="00780860" w:rsidRPr="00780860" w:rsidRDefault="00780860" w:rsidP="00550729">
            <w:pPr>
              <w:widowControl w:val="0"/>
              <w:spacing w:line="240" w:lineRule="auto"/>
              <w:rPr>
                <w:bCs/>
              </w:rPr>
            </w:pPr>
            <w:r w:rsidRPr="00780860">
              <w:rPr>
                <w:bCs/>
              </w:rPr>
              <w:t>Recursos</w:t>
            </w:r>
          </w:p>
        </w:tc>
        <w:tc>
          <w:tcPr>
            <w:tcW w:w="6315" w:type="dxa"/>
            <w:shd w:val="clear" w:color="auto" w:fill="auto"/>
            <w:tcMar>
              <w:top w:w="100" w:type="dxa"/>
              <w:left w:w="100" w:type="dxa"/>
              <w:bottom w:w="100" w:type="dxa"/>
              <w:right w:w="100" w:type="dxa"/>
            </w:tcMar>
          </w:tcPr>
          <w:p w14:paraId="497E6E0D" w14:textId="77777777" w:rsidR="00780860" w:rsidRPr="00780860" w:rsidRDefault="00780860" w:rsidP="00550729">
            <w:pPr>
              <w:widowControl w:val="0"/>
              <w:spacing w:line="240" w:lineRule="auto"/>
              <w:rPr>
                <w:bCs/>
              </w:rPr>
            </w:pPr>
            <w:proofErr w:type="spellStart"/>
            <w:r w:rsidRPr="00780860">
              <w:rPr>
                <w:bCs/>
              </w:rPr>
              <w:t>Pacita</w:t>
            </w:r>
            <w:proofErr w:type="spellEnd"/>
            <w:r w:rsidRPr="00780860">
              <w:rPr>
                <w:bCs/>
              </w:rPr>
              <w:t xml:space="preserve"> </w:t>
            </w:r>
            <w:proofErr w:type="spellStart"/>
            <w:r w:rsidRPr="00780860">
              <w:rPr>
                <w:bCs/>
              </w:rPr>
              <w:t>Mercesdes</w:t>
            </w:r>
            <w:proofErr w:type="spellEnd"/>
          </w:p>
        </w:tc>
      </w:tr>
      <w:tr w:rsidR="00780860" w:rsidRPr="00780860" w14:paraId="11266263" w14:textId="77777777" w:rsidTr="00550729">
        <w:tc>
          <w:tcPr>
            <w:tcW w:w="3045" w:type="dxa"/>
            <w:shd w:val="clear" w:color="auto" w:fill="auto"/>
            <w:tcMar>
              <w:top w:w="100" w:type="dxa"/>
              <w:left w:w="100" w:type="dxa"/>
              <w:bottom w:w="100" w:type="dxa"/>
              <w:right w:w="100" w:type="dxa"/>
            </w:tcMar>
          </w:tcPr>
          <w:p w14:paraId="4197E537" w14:textId="77777777" w:rsidR="00780860" w:rsidRPr="00780860" w:rsidRDefault="00780860" w:rsidP="00550729">
            <w:pPr>
              <w:widowControl w:val="0"/>
              <w:spacing w:line="240" w:lineRule="auto"/>
              <w:rPr>
                <w:bCs/>
              </w:rPr>
            </w:pPr>
            <w:r w:rsidRPr="00780860">
              <w:rPr>
                <w:bCs/>
              </w:rPr>
              <w:t>Curación de datos</w:t>
            </w:r>
          </w:p>
        </w:tc>
        <w:tc>
          <w:tcPr>
            <w:tcW w:w="6315" w:type="dxa"/>
            <w:shd w:val="clear" w:color="auto" w:fill="auto"/>
            <w:tcMar>
              <w:top w:w="100" w:type="dxa"/>
              <w:left w:w="100" w:type="dxa"/>
              <w:bottom w:w="100" w:type="dxa"/>
              <w:right w:w="100" w:type="dxa"/>
            </w:tcMar>
          </w:tcPr>
          <w:p w14:paraId="7B413F4D" w14:textId="77777777" w:rsidR="00780860" w:rsidRPr="00780860" w:rsidRDefault="00780860" w:rsidP="00550729">
            <w:pPr>
              <w:widowControl w:val="0"/>
              <w:spacing w:line="240" w:lineRule="auto"/>
              <w:rPr>
                <w:bCs/>
              </w:rPr>
            </w:pPr>
            <w:r w:rsidRPr="00780860">
              <w:rPr>
                <w:bCs/>
              </w:rPr>
              <w:t>Juan Rafael</w:t>
            </w:r>
          </w:p>
        </w:tc>
      </w:tr>
      <w:tr w:rsidR="00780860" w:rsidRPr="00780860" w14:paraId="5CA8D22C" w14:textId="77777777" w:rsidTr="00550729">
        <w:tc>
          <w:tcPr>
            <w:tcW w:w="3045" w:type="dxa"/>
            <w:shd w:val="clear" w:color="auto" w:fill="auto"/>
            <w:tcMar>
              <w:top w:w="100" w:type="dxa"/>
              <w:left w:w="100" w:type="dxa"/>
              <w:bottom w:w="100" w:type="dxa"/>
              <w:right w:w="100" w:type="dxa"/>
            </w:tcMar>
          </w:tcPr>
          <w:p w14:paraId="08993BB9" w14:textId="77777777" w:rsidR="00780860" w:rsidRPr="00780860" w:rsidRDefault="00780860" w:rsidP="00550729">
            <w:pPr>
              <w:widowControl w:val="0"/>
              <w:spacing w:line="240" w:lineRule="auto"/>
              <w:rPr>
                <w:bCs/>
              </w:rPr>
            </w:pPr>
            <w:r w:rsidRPr="00780860">
              <w:rPr>
                <w:bCs/>
              </w:rPr>
              <w:t>Escritura - Preparación del borrador original</w:t>
            </w:r>
          </w:p>
        </w:tc>
        <w:tc>
          <w:tcPr>
            <w:tcW w:w="6315" w:type="dxa"/>
            <w:shd w:val="clear" w:color="auto" w:fill="auto"/>
            <w:tcMar>
              <w:top w:w="100" w:type="dxa"/>
              <w:left w:w="100" w:type="dxa"/>
              <w:bottom w:w="100" w:type="dxa"/>
              <w:right w:w="100" w:type="dxa"/>
            </w:tcMar>
          </w:tcPr>
          <w:p w14:paraId="7994CDD1" w14:textId="77777777" w:rsidR="00780860" w:rsidRPr="00780860" w:rsidRDefault="00780860" w:rsidP="00550729">
            <w:pPr>
              <w:widowControl w:val="0"/>
              <w:spacing w:line="240" w:lineRule="auto"/>
              <w:rPr>
                <w:bCs/>
              </w:rPr>
            </w:pPr>
            <w:r w:rsidRPr="00780860">
              <w:rPr>
                <w:bCs/>
              </w:rPr>
              <w:t>Juan Rafael</w:t>
            </w:r>
          </w:p>
        </w:tc>
      </w:tr>
      <w:tr w:rsidR="00780860" w:rsidRPr="00780860" w14:paraId="20A9D833" w14:textId="77777777" w:rsidTr="00550729">
        <w:tc>
          <w:tcPr>
            <w:tcW w:w="3045" w:type="dxa"/>
            <w:shd w:val="clear" w:color="auto" w:fill="auto"/>
            <w:tcMar>
              <w:top w:w="100" w:type="dxa"/>
              <w:left w:w="100" w:type="dxa"/>
              <w:bottom w:w="100" w:type="dxa"/>
              <w:right w:w="100" w:type="dxa"/>
            </w:tcMar>
          </w:tcPr>
          <w:p w14:paraId="5393B694" w14:textId="77777777" w:rsidR="00780860" w:rsidRPr="00780860" w:rsidRDefault="00780860" w:rsidP="00550729">
            <w:pPr>
              <w:widowControl w:val="0"/>
              <w:spacing w:line="240" w:lineRule="auto"/>
              <w:rPr>
                <w:bCs/>
              </w:rPr>
            </w:pPr>
            <w:r w:rsidRPr="00780860">
              <w:rPr>
                <w:bCs/>
              </w:rPr>
              <w:t>Escritura - Revisión y edición</w:t>
            </w:r>
          </w:p>
        </w:tc>
        <w:tc>
          <w:tcPr>
            <w:tcW w:w="6315" w:type="dxa"/>
            <w:shd w:val="clear" w:color="auto" w:fill="auto"/>
            <w:tcMar>
              <w:top w:w="100" w:type="dxa"/>
              <w:left w:w="100" w:type="dxa"/>
              <w:bottom w:w="100" w:type="dxa"/>
              <w:right w:w="100" w:type="dxa"/>
            </w:tcMar>
          </w:tcPr>
          <w:p w14:paraId="64D02860" w14:textId="77777777" w:rsidR="00780860" w:rsidRPr="00780860" w:rsidRDefault="00780860" w:rsidP="00550729">
            <w:pPr>
              <w:widowControl w:val="0"/>
              <w:spacing w:line="240" w:lineRule="auto"/>
              <w:rPr>
                <w:bCs/>
              </w:rPr>
            </w:pPr>
            <w:proofErr w:type="spellStart"/>
            <w:r w:rsidRPr="00780860">
              <w:rPr>
                <w:bCs/>
              </w:rPr>
              <w:t>Heydi</w:t>
            </w:r>
            <w:proofErr w:type="spellEnd"/>
            <w:r w:rsidRPr="00780860">
              <w:rPr>
                <w:bCs/>
              </w:rPr>
              <w:t xml:space="preserve">, </w:t>
            </w:r>
            <w:proofErr w:type="spellStart"/>
            <w:r w:rsidRPr="00780860">
              <w:rPr>
                <w:bCs/>
              </w:rPr>
              <w:t>Pacita</w:t>
            </w:r>
            <w:proofErr w:type="spellEnd"/>
            <w:r w:rsidRPr="00780860">
              <w:rPr>
                <w:bCs/>
              </w:rPr>
              <w:t xml:space="preserve"> Mercedes (igual)</w:t>
            </w:r>
          </w:p>
        </w:tc>
      </w:tr>
      <w:tr w:rsidR="00780860" w:rsidRPr="00780860" w14:paraId="2B837FE5" w14:textId="77777777" w:rsidTr="00550729">
        <w:tc>
          <w:tcPr>
            <w:tcW w:w="3045" w:type="dxa"/>
            <w:shd w:val="clear" w:color="auto" w:fill="auto"/>
            <w:tcMar>
              <w:top w:w="100" w:type="dxa"/>
              <w:left w:w="100" w:type="dxa"/>
              <w:bottom w:w="100" w:type="dxa"/>
              <w:right w:w="100" w:type="dxa"/>
            </w:tcMar>
          </w:tcPr>
          <w:p w14:paraId="2ED7D087" w14:textId="77777777" w:rsidR="00780860" w:rsidRPr="00780860" w:rsidRDefault="00780860" w:rsidP="00550729">
            <w:pPr>
              <w:widowControl w:val="0"/>
              <w:spacing w:line="240" w:lineRule="auto"/>
              <w:rPr>
                <w:bCs/>
              </w:rPr>
            </w:pPr>
            <w:r w:rsidRPr="00780860">
              <w:rPr>
                <w:bCs/>
              </w:rPr>
              <w:t>Visualización</w:t>
            </w:r>
          </w:p>
        </w:tc>
        <w:tc>
          <w:tcPr>
            <w:tcW w:w="6315" w:type="dxa"/>
            <w:shd w:val="clear" w:color="auto" w:fill="auto"/>
            <w:tcMar>
              <w:top w:w="100" w:type="dxa"/>
              <w:left w:w="100" w:type="dxa"/>
              <w:bottom w:w="100" w:type="dxa"/>
              <w:right w:w="100" w:type="dxa"/>
            </w:tcMar>
          </w:tcPr>
          <w:p w14:paraId="2867A722" w14:textId="77777777" w:rsidR="00780860" w:rsidRPr="00780860" w:rsidRDefault="00780860" w:rsidP="00550729">
            <w:pPr>
              <w:widowControl w:val="0"/>
              <w:spacing w:line="240" w:lineRule="auto"/>
              <w:rPr>
                <w:bCs/>
              </w:rPr>
            </w:pPr>
            <w:proofErr w:type="spellStart"/>
            <w:r w:rsidRPr="00780860">
              <w:rPr>
                <w:bCs/>
              </w:rPr>
              <w:t>Heydi</w:t>
            </w:r>
            <w:proofErr w:type="spellEnd"/>
          </w:p>
        </w:tc>
      </w:tr>
      <w:tr w:rsidR="00780860" w:rsidRPr="00780860" w14:paraId="5462166D" w14:textId="77777777" w:rsidTr="00550729">
        <w:tc>
          <w:tcPr>
            <w:tcW w:w="3045" w:type="dxa"/>
            <w:shd w:val="clear" w:color="auto" w:fill="auto"/>
            <w:tcMar>
              <w:top w:w="100" w:type="dxa"/>
              <w:left w:w="100" w:type="dxa"/>
              <w:bottom w:w="100" w:type="dxa"/>
              <w:right w:w="100" w:type="dxa"/>
            </w:tcMar>
          </w:tcPr>
          <w:p w14:paraId="6ECE4509" w14:textId="77777777" w:rsidR="00780860" w:rsidRPr="00780860" w:rsidRDefault="00780860" w:rsidP="00550729">
            <w:pPr>
              <w:widowControl w:val="0"/>
              <w:spacing w:line="240" w:lineRule="auto"/>
              <w:rPr>
                <w:bCs/>
              </w:rPr>
            </w:pPr>
            <w:r w:rsidRPr="00780860">
              <w:rPr>
                <w:bCs/>
              </w:rPr>
              <w:t>Supervisión</w:t>
            </w:r>
          </w:p>
        </w:tc>
        <w:tc>
          <w:tcPr>
            <w:tcW w:w="6315" w:type="dxa"/>
            <w:shd w:val="clear" w:color="auto" w:fill="auto"/>
            <w:tcMar>
              <w:top w:w="100" w:type="dxa"/>
              <w:left w:w="100" w:type="dxa"/>
              <w:bottom w:w="100" w:type="dxa"/>
              <w:right w:w="100" w:type="dxa"/>
            </w:tcMar>
          </w:tcPr>
          <w:p w14:paraId="7A3B6A18" w14:textId="77777777" w:rsidR="00780860" w:rsidRPr="00780860" w:rsidRDefault="00780860" w:rsidP="00550729">
            <w:pPr>
              <w:widowControl w:val="0"/>
              <w:spacing w:line="240" w:lineRule="auto"/>
              <w:rPr>
                <w:bCs/>
              </w:rPr>
            </w:pPr>
            <w:proofErr w:type="spellStart"/>
            <w:r w:rsidRPr="00780860">
              <w:rPr>
                <w:bCs/>
              </w:rPr>
              <w:t>Pacita</w:t>
            </w:r>
            <w:proofErr w:type="spellEnd"/>
            <w:r w:rsidRPr="00780860">
              <w:rPr>
                <w:bCs/>
              </w:rPr>
              <w:t xml:space="preserve"> Mercedes</w:t>
            </w:r>
          </w:p>
        </w:tc>
      </w:tr>
      <w:tr w:rsidR="00780860" w:rsidRPr="00780860" w14:paraId="0A07BFF0" w14:textId="77777777" w:rsidTr="00550729">
        <w:tc>
          <w:tcPr>
            <w:tcW w:w="3045" w:type="dxa"/>
            <w:shd w:val="clear" w:color="auto" w:fill="auto"/>
            <w:tcMar>
              <w:top w:w="100" w:type="dxa"/>
              <w:left w:w="100" w:type="dxa"/>
              <w:bottom w:w="100" w:type="dxa"/>
              <w:right w:w="100" w:type="dxa"/>
            </w:tcMar>
          </w:tcPr>
          <w:p w14:paraId="5203293D" w14:textId="77777777" w:rsidR="00780860" w:rsidRPr="00780860" w:rsidRDefault="00780860" w:rsidP="00550729">
            <w:pPr>
              <w:widowControl w:val="0"/>
              <w:spacing w:line="240" w:lineRule="auto"/>
              <w:rPr>
                <w:bCs/>
              </w:rPr>
            </w:pPr>
            <w:r w:rsidRPr="00780860">
              <w:rPr>
                <w:bCs/>
              </w:rPr>
              <w:t>Administración de Proyectos</w:t>
            </w:r>
          </w:p>
        </w:tc>
        <w:tc>
          <w:tcPr>
            <w:tcW w:w="6315" w:type="dxa"/>
            <w:shd w:val="clear" w:color="auto" w:fill="auto"/>
            <w:tcMar>
              <w:top w:w="100" w:type="dxa"/>
              <w:left w:w="100" w:type="dxa"/>
              <w:bottom w:w="100" w:type="dxa"/>
              <w:right w:w="100" w:type="dxa"/>
            </w:tcMar>
          </w:tcPr>
          <w:p w14:paraId="5E51FA9A" w14:textId="77777777" w:rsidR="00780860" w:rsidRPr="00780860" w:rsidRDefault="00780860" w:rsidP="00550729">
            <w:pPr>
              <w:widowControl w:val="0"/>
              <w:spacing w:line="240" w:lineRule="auto"/>
              <w:rPr>
                <w:bCs/>
              </w:rPr>
            </w:pPr>
            <w:r w:rsidRPr="00780860">
              <w:rPr>
                <w:bCs/>
              </w:rPr>
              <w:t>Juan Rafael</w:t>
            </w:r>
          </w:p>
        </w:tc>
      </w:tr>
      <w:tr w:rsidR="00780860" w:rsidRPr="00780860" w14:paraId="1B6CA2EF" w14:textId="77777777" w:rsidTr="00550729">
        <w:tc>
          <w:tcPr>
            <w:tcW w:w="3045" w:type="dxa"/>
            <w:shd w:val="clear" w:color="auto" w:fill="auto"/>
            <w:tcMar>
              <w:top w:w="100" w:type="dxa"/>
              <w:left w:w="100" w:type="dxa"/>
              <w:bottom w:w="100" w:type="dxa"/>
              <w:right w:w="100" w:type="dxa"/>
            </w:tcMar>
          </w:tcPr>
          <w:p w14:paraId="665B136E" w14:textId="77777777" w:rsidR="00780860" w:rsidRPr="00780860" w:rsidRDefault="00780860" w:rsidP="00550729">
            <w:pPr>
              <w:widowControl w:val="0"/>
              <w:spacing w:line="240" w:lineRule="auto"/>
              <w:rPr>
                <w:bCs/>
              </w:rPr>
            </w:pPr>
            <w:r w:rsidRPr="00780860">
              <w:rPr>
                <w:bCs/>
              </w:rPr>
              <w:t>Adquisición de fondos</w:t>
            </w:r>
          </w:p>
        </w:tc>
        <w:tc>
          <w:tcPr>
            <w:tcW w:w="6315" w:type="dxa"/>
            <w:shd w:val="clear" w:color="auto" w:fill="auto"/>
            <w:tcMar>
              <w:top w:w="100" w:type="dxa"/>
              <w:left w:w="100" w:type="dxa"/>
              <w:bottom w:w="100" w:type="dxa"/>
              <w:right w:w="100" w:type="dxa"/>
            </w:tcMar>
          </w:tcPr>
          <w:p w14:paraId="4F055A79" w14:textId="77777777" w:rsidR="00780860" w:rsidRPr="00780860" w:rsidRDefault="00780860" w:rsidP="00550729">
            <w:pPr>
              <w:widowControl w:val="0"/>
              <w:spacing w:line="240" w:lineRule="auto"/>
              <w:rPr>
                <w:bCs/>
              </w:rPr>
            </w:pPr>
            <w:proofErr w:type="spellStart"/>
            <w:r w:rsidRPr="00780860">
              <w:rPr>
                <w:bCs/>
              </w:rPr>
              <w:t>Heydi</w:t>
            </w:r>
            <w:proofErr w:type="spellEnd"/>
          </w:p>
        </w:tc>
      </w:tr>
    </w:tbl>
    <w:p w14:paraId="42BD1EB5" w14:textId="77777777" w:rsidR="00780860" w:rsidRPr="00780860" w:rsidRDefault="00780860" w:rsidP="00780860">
      <w:pPr>
        <w:tabs>
          <w:tab w:val="left" w:pos="2280"/>
        </w:tabs>
      </w:pPr>
    </w:p>
    <w:sectPr w:rsidR="00780860" w:rsidRPr="00780860" w:rsidSect="00227DD7">
      <w:headerReference w:type="default" r:id="rId37"/>
      <w:footerReference w:type="default" r:id="rId38"/>
      <w:headerReference w:type="first" r:id="rId39"/>
      <w:footerReference w:type="first" r:id="rId40"/>
      <w:pgSz w:w="12242" w:h="15842"/>
      <w:pgMar w:top="1276" w:right="1701" w:bottom="709" w:left="1701" w:header="142"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8F6C6" w14:textId="77777777" w:rsidR="009149A1" w:rsidRDefault="009149A1">
      <w:pPr>
        <w:spacing w:line="240" w:lineRule="auto"/>
      </w:pPr>
      <w:r>
        <w:separator/>
      </w:r>
    </w:p>
  </w:endnote>
  <w:endnote w:type="continuationSeparator" w:id="0">
    <w:p w14:paraId="0C568F13" w14:textId="77777777" w:rsidR="009149A1" w:rsidRDefault="00914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EC2FD" w14:textId="01760C58" w:rsidR="00C1341E" w:rsidRDefault="00000000">
    <w:pPr>
      <w:pBdr>
        <w:top w:val="nil"/>
        <w:left w:val="nil"/>
        <w:bottom w:val="nil"/>
        <w:right w:val="nil"/>
        <w:between w:val="nil"/>
      </w:pBdr>
      <w:tabs>
        <w:tab w:val="center" w:pos="4252"/>
        <w:tab w:val="right" w:pos="8504"/>
      </w:tabs>
      <w:spacing w:line="240" w:lineRule="auto"/>
      <w:rPr>
        <w:color w:val="000000"/>
      </w:rPr>
    </w:pPr>
    <w:r>
      <w:rPr>
        <w:color w:val="000000"/>
      </w:rPr>
      <w:t xml:space="preserve">           </w:t>
    </w:r>
    <w:r>
      <w:rPr>
        <w:noProof/>
        <w:color w:val="000000"/>
      </w:rPr>
      <w:drawing>
        <wp:inline distT="0" distB="0" distL="0" distR="0" wp14:anchorId="4870F49D" wp14:editId="30650626">
          <wp:extent cx="1600200" cy="419100"/>
          <wp:effectExtent l="0" t="0" r="0" b="0"/>
          <wp:docPr id="1444632502" name="image2.png"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0" name="image2.png" descr="Resultado de imagen de creative commons cc by 4.0"/>
                  <pic:cNvPicPr preferRelativeResize="0"/>
                </pic:nvPicPr>
                <pic:blipFill>
                  <a:blip r:embed="rId1"/>
                  <a:srcRect/>
                  <a:stretch>
                    <a:fillRect/>
                  </a:stretch>
                </pic:blipFill>
                <pic:spPr>
                  <a:xfrm>
                    <a:off x="0" y="0"/>
                    <a:ext cx="1600200" cy="419100"/>
                  </a:xfrm>
                  <a:prstGeom prst="rect">
                    <a:avLst/>
                  </a:prstGeom>
                  <a:ln/>
                </pic:spPr>
              </pic:pic>
            </a:graphicData>
          </a:graphic>
        </wp:inline>
      </w:drawing>
    </w:r>
    <w:r>
      <w:rPr>
        <w:color w:val="000000"/>
      </w:rPr>
      <w:t xml:space="preserve">              </w:t>
    </w:r>
    <w:r w:rsidRPr="00227DD7">
      <w:rPr>
        <w:rFonts w:ascii="Calibri" w:eastAsia="Calibri" w:hAnsi="Calibri" w:cs="Calibri"/>
        <w:b/>
        <w:color w:val="000000"/>
        <w:sz w:val="22"/>
        <w:szCs w:val="22"/>
      </w:rPr>
      <w:t xml:space="preserve">Vol. 15 </w:t>
    </w:r>
    <w:proofErr w:type="spellStart"/>
    <w:r w:rsidRPr="00227DD7">
      <w:rPr>
        <w:rFonts w:ascii="Calibri" w:eastAsia="Calibri" w:hAnsi="Calibri" w:cs="Calibri"/>
        <w:b/>
        <w:color w:val="000000"/>
        <w:sz w:val="22"/>
        <w:szCs w:val="22"/>
      </w:rPr>
      <w:t>Num</w:t>
    </w:r>
    <w:proofErr w:type="spellEnd"/>
    <w:r w:rsidRPr="00227DD7">
      <w:rPr>
        <w:rFonts w:ascii="Calibri" w:eastAsia="Calibri" w:hAnsi="Calibri" w:cs="Calibri"/>
        <w:b/>
        <w:color w:val="000000"/>
        <w:sz w:val="22"/>
        <w:szCs w:val="22"/>
      </w:rPr>
      <w:t xml:space="preserve">. 29 Julio - </w:t>
    </w:r>
    <w:proofErr w:type="gramStart"/>
    <w:r w:rsidRPr="00227DD7">
      <w:rPr>
        <w:rFonts w:ascii="Calibri" w:eastAsia="Calibri" w:hAnsi="Calibri" w:cs="Calibri"/>
        <w:b/>
        <w:color w:val="000000"/>
        <w:sz w:val="22"/>
        <w:szCs w:val="22"/>
      </w:rPr>
      <w:t>Diciembre</w:t>
    </w:r>
    <w:proofErr w:type="gramEnd"/>
    <w:r w:rsidRPr="00227DD7">
      <w:rPr>
        <w:rFonts w:ascii="Calibri" w:eastAsia="Calibri" w:hAnsi="Calibri" w:cs="Calibri"/>
        <w:b/>
        <w:color w:val="000000"/>
        <w:sz w:val="22"/>
        <w:szCs w:val="22"/>
      </w:rPr>
      <w:t xml:space="preserve"> 2024, e</w:t>
    </w:r>
    <w:r w:rsidR="00EE69DB">
      <w:rPr>
        <w:rFonts w:ascii="Calibri" w:eastAsia="Calibri" w:hAnsi="Calibri" w:cs="Calibri"/>
        <w:b/>
        <w:color w:val="000000"/>
        <w:sz w:val="22"/>
        <w:szCs w:val="22"/>
      </w:rPr>
      <w:t>747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FE7A9" w14:textId="1E2083BE" w:rsidR="00227DD7" w:rsidRDefault="00227DD7">
    <w:pPr>
      <w:pStyle w:val="Piedepgina"/>
    </w:pPr>
    <w:r>
      <w:t xml:space="preserve">              </w:t>
    </w:r>
    <w:r>
      <w:rPr>
        <w:noProof/>
        <w:color w:val="000000"/>
      </w:rPr>
      <w:drawing>
        <wp:inline distT="0" distB="0" distL="0" distR="0" wp14:anchorId="323DBD45" wp14:editId="0592CD79">
          <wp:extent cx="1600200" cy="419100"/>
          <wp:effectExtent l="0" t="0" r="0" b="0"/>
          <wp:docPr id="518569258" name="image2.png"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0" name="image2.png" descr="Resultado de imagen de creative commons cc by 4.0"/>
                  <pic:cNvPicPr preferRelativeResize="0"/>
                </pic:nvPicPr>
                <pic:blipFill>
                  <a:blip r:embed="rId1"/>
                  <a:srcRect/>
                  <a:stretch>
                    <a:fillRect/>
                  </a:stretch>
                </pic:blipFill>
                <pic:spPr>
                  <a:xfrm>
                    <a:off x="0" y="0"/>
                    <a:ext cx="1600200" cy="419100"/>
                  </a:xfrm>
                  <a:prstGeom prst="rect">
                    <a:avLst/>
                  </a:prstGeom>
                  <a:ln/>
                </pic:spPr>
              </pic:pic>
            </a:graphicData>
          </a:graphic>
        </wp:inline>
      </w:drawing>
    </w:r>
    <w:r>
      <w:t xml:space="preserve">            </w:t>
    </w:r>
    <w:r w:rsidRPr="00B47878">
      <w:rPr>
        <w:rFonts w:ascii="Calibri" w:eastAsia="Calibri" w:hAnsi="Calibri" w:cs="Calibri"/>
        <w:b/>
        <w:color w:val="000000"/>
        <w:sz w:val="22"/>
        <w:szCs w:val="22"/>
      </w:rPr>
      <w:t xml:space="preserve">Vol. 15 </w:t>
    </w:r>
    <w:proofErr w:type="spellStart"/>
    <w:r w:rsidRPr="00B47878">
      <w:rPr>
        <w:rFonts w:ascii="Calibri" w:eastAsia="Calibri" w:hAnsi="Calibri" w:cs="Calibri"/>
        <w:b/>
        <w:color w:val="000000"/>
        <w:sz w:val="22"/>
        <w:szCs w:val="22"/>
      </w:rPr>
      <w:t>Num</w:t>
    </w:r>
    <w:proofErr w:type="spellEnd"/>
    <w:r w:rsidRPr="00B47878">
      <w:rPr>
        <w:rFonts w:ascii="Calibri" w:eastAsia="Calibri" w:hAnsi="Calibri" w:cs="Calibri"/>
        <w:b/>
        <w:color w:val="000000"/>
        <w:sz w:val="22"/>
        <w:szCs w:val="22"/>
      </w:rPr>
      <w:t xml:space="preserve">. 29 Julio - </w:t>
    </w:r>
    <w:proofErr w:type="gramStart"/>
    <w:r w:rsidRPr="00B47878">
      <w:rPr>
        <w:rFonts w:ascii="Calibri" w:eastAsia="Calibri" w:hAnsi="Calibri" w:cs="Calibri"/>
        <w:b/>
        <w:color w:val="000000"/>
        <w:sz w:val="22"/>
        <w:szCs w:val="22"/>
      </w:rPr>
      <w:t>Diciembre</w:t>
    </w:r>
    <w:proofErr w:type="gramEnd"/>
    <w:r w:rsidRPr="00B47878">
      <w:rPr>
        <w:rFonts w:ascii="Calibri" w:eastAsia="Calibri" w:hAnsi="Calibri" w:cs="Calibri"/>
        <w:b/>
        <w:color w:val="000000"/>
        <w:sz w:val="22"/>
        <w:szCs w:val="22"/>
      </w:rPr>
      <w:t xml:space="preserve"> 2024, e</w:t>
    </w:r>
    <w:r w:rsidR="00B47878">
      <w:rPr>
        <w:rFonts w:ascii="Calibri" w:eastAsia="Calibri" w:hAnsi="Calibri" w:cs="Calibri"/>
        <w:b/>
        <w:color w:val="000000"/>
        <w:sz w:val="22"/>
        <w:szCs w:val="22"/>
      </w:rPr>
      <w:t>747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2F130" w14:textId="77777777" w:rsidR="009149A1" w:rsidRDefault="009149A1">
      <w:pPr>
        <w:spacing w:line="240" w:lineRule="auto"/>
      </w:pPr>
      <w:r>
        <w:separator/>
      </w:r>
    </w:p>
  </w:footnote>
  <w:footnote w:type="continuationSeparator" w:id="0">
    <w:p w14:paraId="0960E89C" w14:textId="77777777" w:rsidR="009149A1" w:rsidRDefault="009149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8F3F3" w14:textId="77777777" w:rsidR="00C1341E" w:rsidRDefault="00000000">
    <w:pPr>
      <w:pBdr>
        <w:top w:val="nil"/>
        <w:left w:val="nil"/>
        <w:bottom w:val="nil"/>
        <w:right w:val="nil"/>
        <w:between w:val="nil"/>
      </w:pBdr>
      <w:tabs>
        <w:tab w:val="center" w:pos="4252"/>
        <w:tab w:val="right" w:pos="8504"/>
      </w:tabs>
      <w:spacing w:line="240" w:lineRule="auto"/>
      <w:jc w:val="center"/>
      <w:rPr>
        <w:color w:val="000000"/>
      </w:rPr>
    </w:pPr>
    <w:r>
      <w:rPr>
        <w:noProof/>
        <w:color w:val="000000"/>
      </w:rPr>
      <w:drawing>
        <wp:inline distT="0" distB="0" distL="0" distR="0" wp14:anchorId="32A44FC6" wp14:editId="6495231D">
          <wp:extent cx="5397500" cy="635000"/>
          <wp:effectExtent l="0" t="0" r="0" b="0"/>
          <wp:docPr id="1581962300" name="image1.pn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Diagrama&#10;&#10;Descripción generada automáticamente con confianza media"/>
                  <pic:cNvPicPr preferRelativeResize="0"/>
                </pic:nvPicPr>
                <pic:blipFill>
                  <a:blip r:embed="rId1"/>
                  <a:srcRect/>
                  <a:stretch>
                    <a:fillRect/>
                  </a:stretch>
                </pic:blipFill>
                <pic:spPr>
                  <a:xfrm>
                    <a:off x="0" y="0"/>
                    <a:ext cx="5397500" cy="6350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35368" w14:textId="4751B1E2" w:rsidR="00227DD7" w:rsidRDefault="00227DD7" w:rsidP="00227DD7">
    <w:pPr>
      <w:pStyle w:val="Encabezado"/>
      <w:jc w:val="center"/>
    </w:pPr>
    <w:r>
      <w:rPr>
        <w:noProof/>
        <w:color w:val="000000"/>
      </w:rPr>
      <w:drawing>
        <wp:inline distT="0" distB="0" distL="0" distR="0" wp14:anchorId="24220159" wp14:editId="479A696E">
          <wp:extent cx="5397500" cy="635000"/>
          <wp:effectExtent l="0" t="0" r="0" b="0"/>
          <wp:docPr id="1250942513" name="image1.pn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Diagrama&#10;&#10;Descripción generada automáticamente con confianza media"/>
                  <pic:cNvPicPr preferRelativeResize="0"/>
                </pic:nvPicPr>
                <pic:blipFill>
                  <a:blip r:embed="rId1"/>
                  <a:srcRect/>
                  <a:stretch>
                    <a:fillRect/>
                  </a:stretch>
                </pic:blipFill>
                <pic:spPr>
                  <a:xfrm>
                    <a:off x="0" y="0"/>
                    <a:ext cx="5397500" cy="635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1E"/>
    <w:rsid w:val="00227DD7"/>
    <w:rsid w:val="00234AC8"/>
    <w:rsid w:val="00296544"/>
    <w:rsid w:val="00780860"/>
    <w:rsid w:val="009149A1"/>
    <w:rsid w:val="0091771B"/>
    <w:rsid w:val="009671C0"/>
    <w:rsid w:val="00B47878"/>
    <w:rsid w:val="00C1341E"/>
    <w:rsid w:val="00EE69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C8E4"/>
  <w15:docId w15:val="{1985AC3C-FDEF-497B-B63B-53661BF6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480" w:line="240" w:lineRule="auto"/>
      <w:jc w:val="center"/>
      <w:outlineLvl w:val="0"/>
    </w:pPr>
    <w:rPr>
      <w:b/>
      <w:sz w:val="28"/>
      <w:szCs w:val="28"/>
    </w:rPr>
  </w:style>
  <w:style w:type="paragraph" w:styleId="Ttulo2">
    <w:name w:val="heading 2"/>
    <w:basedOn w:val="Normal"/>
    <w:next w:val="Normal"/>
    <w:uiPriority w:val="9"/>
    <w:semiHidden/>
    <w:unhideWhenUsed/>
    <w:qFormat/>
    <w:pPr>
      <w:keepNext/>
      <w:keepLines/>
      <w:spacing w:before="480" w:after="240" w:line="240" w:lineRule="auto"/>
      <w:jc w:val="left"/>
      <w:outlineLvl w:val="1"/>
    </w:pPr>
    <w:rPr>
      <w:b/>
    </w:rPr>
  </w:style>
  <w:style w:type="paragraph" w:styleId="Ttulo3">
    <w:name w:val="heading 3"/>
    <w:basedOn w:val="Normal"/>
    <w:next w:val="Normal"/>
    <w:uiPriority w:val="9"/>
    <w:semiHidden/>
    <w:unhideWhenUsed/>
    <w:qFormat/>
    <w:pPr>
      <w:keepNext/>
      <w:keepLines/>
      <w:spacing w:before="240" w:after="240" w:line="240" w:lineRule="auto"/>
      <w:jc w:val="left"/>
      <w:outlineLvl w:val="2"/>
    </w:pPr>
    <w:rPr>
      <w:b/>
    </w:rPr>
  </w:style>
  <w:style w:type="paragraph" w:styleId="Ttulo4">
    <w:name w:val="heading 4"/>
    <w:basedOn w:val="Normal"/>
    <w:next w:val="Normal"/>
    <w:uiPriority w:val="9"/>
    <w:semiHidden/>
    <w:unhideWhenUsed/>
    <w:qFormat/>
    <w:pPr>
      <w:keepNext/>
      <w:keepLines/>
      <w:spacing w:before="160"/>
      <w:outlineLvl w:val="3"/>
    </w:pPr>
    <w:rPr>
      <w:b/>
      <w:i/>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227DD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27DD7"/>
  </w:style>
  <w:style w:type="paragraph" w:styleId="Piedepgina">
    <w:name w:val="footer"/>
    <w:basedOn w:val="Normal"/>
    <w:link w:val="PiedepginaCar"/>
    <w:uiPriority w:val="99"/>
    <w:unhideWhenUsed/>
    <w:rsid w:val="00227DD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27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doi.org/10.4067/s0718-50062020000400031" TargetMode="External"/><Relationship Id="rId18" Type="http://schemas.openxmlformats.org/officeDocument/2006/relationships/hyperlink" Target="https://doi.org/10.4067/S0718-73782018000200005" TargetMode="External"/><Relationship Id="rId26" Type="http://schemas.openxmlformats.org/officeDocument/2006/relationships/hyperlink" Target="https://www.redalyc.org/articulo.oa?id=68619288009" TargetMode="External"/><Relationship Id="rId39" Type="http://schemas.openxmlformats.org/officeDocument/2006/relationships/header" Target="header2.xml"/><Relationship Id="rId21" Type="http://schemas.openxmlformats.org/officeDocument/2006/relationships/hyperlink" Target="https://doi.org/10.1016/j.rmclc.2015.02.004" TargetMode="External"/><Relationship Id="rId34" Type="http://schemas.openxmlformats.org/officeDocument/2006/relationships/hyperlink" Target="https://doi.org/10.15359/ree.25-1.12" TargetMode="External"/><Relationship Id="rId42" Type="http://schemas.openxmlformats.org/officeDocument/2006/relationships/theme" Target="theme/theme1.xml"/><Relationship Id="rId7" Type="http://schemas.openxmlformats.org/officeDocument/2006/relationships/hyperlink" Target="http://dx.doi.org/10.1590/2175-35392019017926" TargetMode="External"/><Relationship Id="rId2" Type="http://schemas.openxmlformats.org/officeDocument/2006/relationships/settings" Target="settings.xml"/><Relationship Id="rId16" Type="http://schemas.openxmlformats.org/officeDocument/2006/relationships/hyperlink" Target="https://doi.org/10.33936/rehuso.v4i2.1747" TargetMode="External"/><Relationship Id="rId20" Type="http://schemas.openxmlformats.org/officeDocument/2006/relationships/hyperlink" Target="https://doi.org/10.4067/S0718-50062022000100003" TargetMode="External"/><Relationship Id="rId29" Type="http://schemas.openxmlformats.org/officeDocument/2006/relationships/hyperlink" Target="https://www.un.org/es/impacto-acad%C3%A9mico/discapacidad-y-educaci%C3%B3n-superior-inclusi%C3%B3n-en-un-mundo-acad%C3%A9mico-cada-vez-m%C3%A1s"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29393/pa65-13jfad40013" TargetMode="External"/><Relationship Id="rId11" Type="http://schemas.openxmlformats.org/officeDocument/2006/relationships/hyperlink" Target="http://dx.doi.org/10.15517/rr.v97i1.33284" TargetMode="External"/><Relationship Id="rId24" Type="http://schemas.openxmlformats.org/officeDocument/2006/relationships/hyperlink" Target="https://repositorio.ucv.edu.pe/handle/20.500.12692/12828" TargetMode="External"/><Relationship Id="rId32" Type="http://schemas.openxmlformats.org/officeDocument/2006/relationships/hyperlink" Target="https://doi.org/10.17227/rce.num78-952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epositorio.uca.edu.ar/handle/123456789/12456" TargetMode="External"/><Relationship Id="rId23" Type="http://schemas.openxmlformats.org/officeDocument/2006/relationships/hyperlink" Target="https://doi.org/10.24320/redie.2018.20.1.1477" TargetMode="External"/><Relationship Id="rId28" Type="http://schemas.openxmlformats.org/officeDocument/2006/relationships/hyperlink" Target="https://doi.org/10.17811/rifie.48.3.2019.331-338" TargetMode="External"/><Relationship Id="rId36" Type="http://schemas.openxmlformats.org/officeDocument/2006/relationships/hyperlink" Target="https://doi.org/10.7764/PEL.58.1.2021.1" TargetMode="External"/><Relationship Id="rId10" Type="http://schemas.openxmlformats.org/officeDocument/2006/relationships/hyperlink" Target="https://doi.org/10.33539/tematpsicol.2018.n14.1810" TargetMode="External"/><Relationship Id="rId19" Type="http://schemas.openxmlformats.org/officeDocument/2006/relationships/hyperlink" Target="https://doi.org/10.5944/educXX1.15080" TargetMode="External"/><Relationship Id="rId31" Type="http://schemas.openxmlformats.org/officeDocument/2006/relationships/hyperlink" Target="https://doi.org/10.4151/07189729-vol.59-iss.2-art.1055" TargetMode="External"/><Relationship Id="rId4" Type="http://schemas.openxmlformats.org/officeDocument/2006/relationships/footnotes" Target="footnotes.xml"/><Relationship Id="rId9" Type="http://schemas.openxmlformats.org/officeDocument/2006/relationships/hyperlink" Target="https://doi.org/10.23913/ride.v10i19.518" TargetMode="External"/><Relationship Id="rId14" Type="http://schemas.openxmlformats.org/officeDocument/2006/relationships/hyperlink" Target="https://doi.org/10.4067/s0718-73782019000200091" TargetMode="External"/><Relationship Id="rId22" Type="http://schemas.openxmlformats.org/officeDocument/2006/relationships/hyperlink" Target="https://doi.org/10.4067/s0718-73782021000100173" TargetMode="External"/><Relationship Id="rId27" Type="http://schemas.openxmlformats.org/officeDocument/2006/relationships/hyperlink" Target="https://doi.org/10.4151/07189729-vol.60-iss.2-art.1181" TargetMode="External"/><Relationship Id="rId30" Type="http://schemas.openxmlformats.org/officeDocument/2006/relationships/hyperlink" Target="https://www.unesco.org/es/education/inclusion" TargetMode="External"/><Relationship Id="rId35" Type="http://schemas.openxmlformats.org/officeDocument/2006/relationships/hyperlink" Target="https://doi.org/10.17811/rifie.48.1.2019.51-58" TargetMode="External"/><Relationship Id="rId8" Type="http://schemas.openxmlformats.org/officeDocument/2006/relationships/hyperlink" Target="https://doi.org/10.15359/ree.25-3.22" TargetMode="External"/><Relationship Id="rId3" Type="http://schemas.openxmlformats.org/officeDocument/2006/relationships/webSettings" Target="webSettings.xml"/><Relationship Id="rId12" Type="http://schemas.openxmlformats.org/officeDocument/2006/relationships/hyperlink" Target="https://doi.org/10.31391/s2007-7033(2019)0053-004" TargetMode="External"/><Relationship Id="rId17" Type="http://schemas.openxmlformats.org/officeDocument/2006/relationships/hyperlink" Target="https://doi.org/10.4151/07189729-vol.58-iss.3-art.967" TargetMode="External"/><Relationship Id="rId25" Type="http://schemas.openxmlformats.org/officeDocument/2006/relationships/hyperlink" Target="https://doi.org/10.1590/1982-0216/20212368421" TargetMode="External"/><Relationship Id="rId33" Type="http://schemas.openxmlformats.org/officeDocument/2006/relationships/hyperlink" Target="https://doi.org/10.26507/rei.v16n31.1130"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6284</Words>
  <Characters>34566</Characters>
  <Application>Microsoft Office Word</Application>
  <DocSecurity>0</DocSecurity>
  <Lines>288</Lines>
  <Paragraphs>81</Paragraphs>
  <ScaleCrop>false</ScaleCrop>
  <Company/>
  <LinksUpToDate>false</LinksUpToDate>
  <CharactersWithSpaces>40769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Gustavo Toledo</cp:lastModifiedBy>
  <cp:revision>5</cp:revision>
  <dcterms:created xsi:type="dcterms:W3CDTF">2024-10-08T23:30:00Z</dcterms:created>
  <dcterms:modified xsi:type="dcterms:W3CDTF">2024-10-15T02:38:00Z</dcterms:modified>
</cp:coreProperties>
</file>