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91BB57" w14:textId="68A133F7" w:rsidR="0000467F" w:rsidRPr="005D02EB" w:rsidRDefault="005D02EB" w:rsidP="005D02EB">
      <w:pPr>
        <w:pStyle w:val="NormalWeb"/>
        <w:spacing w:before="0" w:beforeAutospacing="0" w:after="0" w:afterAutospacing="0"/>
        <w:jc w:val="right"/>
        <w:rPr>
          <w:b/>
          <w:bCs/>
          <w:i/>
          <w:iCs/>
          <w:lang w:val="es-MX"/>
        </w:rPr>
      </w:pPr>
      <w:r w:rsidRPr="005D02EB">
        <w:rPr>
          <w:rStyle w:val="label"/>
          <w:b/>
          <w:bCs/>
          <w:i/>
          <w:iCs/>
          <w:bdr w:val="none" w:sz="0" w:space="0" w:color="auto" w:frame="1"/>
          <w:shd w:val="clear" w:color="auto" w:fill="FFFFFF"/>
        </w:rPr>
        <w:t> </w:t>
      </w:r>
      <w:r w:rsidRPr="005D02EB">
        <w:rPr>
          <w:rStyle w:val="value"/>
          <w:b/>
          <w:bCs/>
          <w:i/>
          <w:iCs/>
        </w:rPr>
        <w:t>https://doi.org/10.23913/ride.v14i28.1899</w:t>
      </w:r>
    </w:p>
    <w:p w14:paraId="453FCDE7" w14:textId="77777777" w:rsidR="00280944" w:rsidRDefault="00280944" w:rsidP="007336D8">
      <w:pPr>
        <w:tabs>
          <w:tab w:val="left" w:pos="2410"/>
        </w:tabs>
        <w:spacing w:before="240" w:line="276" w:lineRule="auto"/>
        <w:jc w:val="right"/>
        <w:rPr>
          <w:rFonts w:ascii="Times New Roman" w:hAnsi="Times New Roman" w:cs="Times New Roman"/>
          <w:b/>
          <w:lang w:val="es-CO" w:eastAsia="es-CL"/>
        </w:rPr>
      </w:pPr>
      <w:r w:rsidRPr="0004454B">
        <w:rPr>
          <w:rFonts w:ascii="Times New Roman" w:hAnsi="Times New Roman" w:cs="Times New Roman"/>
          <w:b/>
          <w:bCs/>
          <w:i/>
          <w:iCs/>
          <w:color w:val="000000" w:themeColor="text1"/>
          <w:sz w:val="24"/>
          <w:szCs w:val="24"/>
        </w:rPr>
        <w:t>Artículos científicos</w:t>
      </w:r>
    </w:p>
    <w:p w14:paraId="04129FC5" w14:textId="214087F2" w:rsidR="00280944" w:rsidRPr="00280944" w:rsidRDefault="00534895" w:rsidP="004C5F1D">
      <w:pPr>
        <w:pStyle w:val="NormalWeb"/>
        <w:spacing w:before="0" w:beforeAutospacing="0" w:after="0" w:afterAutospacing="0" w:line="276" w:lineRule="auto"/>
        <w:jc w:val="right"/>
        <w:rPr>
          <w:rFonts w:ascii="Calibri" w:hAnsi="Calibri" w:cs="Calibri"/>
          <w:b/>
          <w:i/>
          <w:iCs/>
          <w:sz w:val="32"/>
          <w:szCs w:val="32"/>
          <w:lang w:val="es-MX"/>
        </w:rPr>
      </w:pPr>
      <w:r>
        <w:rPr>
          <w:rFonts w:ascii="Calibri" w:hAnsi="Calibri" w:cs="Calibri"/>
          <w:b/>
          <w:i/>
          <w:iCs/>
          <w:sz w:val="32"/>
          <w:szCs w:val="32"/>
          <w:lang w:val="es-MX"/>
        </w:rPr>
        <w:br/>
      </w:r>
      <w:r w:rsidR="00280944" w:rsidRPr="00280944">
        <w:rPr>
          <w:rFonts w:ascii="Calibri" w:hAnsi="Calibri" w:cs="Calibri"/>
          <w:b/>
          <w:i/>
          <w:iCs/>
          <w:sz w:val="32"/>
          <w:szCs w:val="32"/>
          <w:lang w:val="es-MX"/>
        </w:rPr>
        <w:t xml:space="preserve">Impacto de la comprensión lectora en el aprendizaje de las matemáticas </w:t>
      </w:r>
    </w:p>
    <w:p w14:paraId="52E45AF5" w14:textId="43AC1413" w:rsidR="00D0597A" w:rsidRPr="00B05FF9" w:rsidRDefault="00534895" w:rsidP="004C5F1D">
      <w:pPr>
        <w:pStyle w:val="Sinespaciado"/>
        <w:spacing w:line="276" w:lineRule="auto"/>
        <w:jc w:val="right"/>
        <w:rPr>
          <w:rStyle w:val="y2iqfc"/>
          <w:rFonts w:cs="Calibri"/>
          <w:b/>
          <w:bCs/>
          <w:i/>
          <w:iCs/>
          <w:color w:val="202124"/>
          <w:sz w:val="28"/>
          <w:szCs w:val="28"/>
          <w:lang w:val="en"/>
        </w:rPr>
      </w:pPr>
      <w:r w:rsidRPr="00BC1D14">
        <w:rPr>
          <w:rStyle w:val="y2iqfc"/>
          <w:rFonts w:cs="Calibri"/>
          <w:b/>
          <w:bCs/>
          <w:i/>
          <w:iCs/>
          <w:color w:val="202124"/>
          <w:sz w:val="28"/>
          <w:szCs w:val="28"/>
          <w:lang w:val="en-US"/>
        </w:rPr>
        <w:br/>
      </w:r>
      <w:r w:rsidR="00D0597A" w:rsidRPr="00B05FF9">
        <w:rPr>
          <w:rStyle w:val="y2iqfc"/>
          <w:rFonts w:cs="Calibri"/>
          <w:b/>
          <w:bCs/>
          <w:i/>
          <w:iCs/>
          <w:color w:val="202124"/>
          <w:sz w:val="28"/>
          <w:szCs w:val="28"/>
          <w:lang w:val="en"/>
        </w:rPr>
        <w:t>Impact of Reading Comprehension on the learning of Mathematics</w:t>
      </w:r>
    </w:p>
    <w:p w14:paraId="031F5755" w14:textId="3B8AE97B" w:rsidR="00A318EE" w:rsidRPr="00BE65CB" w:rsidRDefault="00534895" w:rsidP="004C5F1D">
      <w:pPr>
        <w:pStyle w:val="Sinespaciado"/>
        <w:spacing w:line="276" w:lineRule="auto"/>
        <w:jc w:val="right"/>
        <w:rPr>
          <w:rFonts w:cs="Calibri"/>
          <w:b/>
          <w:bCs/>
          <w:i/>
          <w:iCs/>
          <w:sz w:val="28"/>
          <w:szCs w:val="28"/>
        </w:rPr>
      </w:pPr>
      <w:r w:rsidRPr="00BC1D14">
        <w:rPr>
          <w:rFonts w:cs="Calibri"/>
          <w:b/>
          <w:bCs/>
          <w:i/>
          <w:iCs/>
          <w:sz w:val="28"/>
          <w:szCs w:val="28"/>
        </w:rPr>
        <w:br/>
      </w:r>
      <w:r w:rsidR="00A318EE" w:rsidRPr="00BE65CB">
        <w:rPr>
          <w:rFonts w:cs="Calibri"/>
          <w:b/>
          <w:bCs/>
          <w:i/>
          <w:iCs/>
          <w:sz w:val="28"/>
          <w:szCs w:val="28"/>
        </w:rPr>
        <w:t>Impacto da compreensão da leitura na aprendizagem da matemática</w:t>
      </w:r>
    </w:p>
    <w:p w14:paraId="1D825640" w14:textId="77777777" w:rsidR="00367DB7" w:rsidRPr="00BE65CB" w:rsidRDefault="00367DB7" w:rsidP="004C5F1D">
      <w:pPr>
        <w:pStyle w:val="NormalWeb"/>
        <w:spacing w:before="0" w:beforeAutospacing="0" w:after="0" w:afterAutospacing="0" w:line="276" w:lineRule="auto"/>
        <w:rPr>
          <w:rFonts w:ascii="Arial" w:hAnsi="Arial" w:cs="Arial"/>
          <w:lang w:val="es-MX"/>
        </w:rPr>
      </w:pPr>
    </w:p>
    <w:p w14:paraId="2C33A8A6" w14:textId="2FDCB788" w:rsidR="00367DB7" w:rsidRPr="00B05FF9" w:rsidRDefault="00367DB7" w:rsidP="00AD268A">
      <w:pPr>
        <w:pStyle w:val="NormalWeb"/>
        <w:spacing w:before="0" w:beforeAutospacing="0" w:after="0" w:afterAutospacing="0" w:line="276" w:lineRule="auto"/>
        <w:jc w:val="right"/>
        <w:rPr>
          <w:rFonts w:ascii="Calibri" w:hAnsi="Calibri" w:cs="Calibri"/>
          <w:lang w:val="es-MX"/>
        </w:rPr>
      </w:pPr>
      <w:r w:rsidRPr="00B05FF9">
        <w:rPr>
          <w:rFonts w:ascii="Calibri" w:hAnsi="Calibri" w:cs="Calibri"/>
          <w:b/>
          <w:bCs/>
          <w:lang w:val="es-MX"/>
        </w:rPr>
        <w:t>Carballo Aguilar, Oscar Ausencio</w:t>
      </w:r>
    </w:p>
    <w:p w14:paraId="54D9A226" w14:textId="05FD7281" w:rsidR="00367DB7" w:rsidRPr="00AD268A" w:rsidRDefault="00367DB7" w:rsidP="00AD268A">
      <w:pPr>
        <w:pStyle w:val="NormalWeb"/>
        <w:spacing w:before="0" w:beforeAutospacing="0" w:after="0" w:afterAutospacing="0" w:line="276" w:lineRule="auto"/>
        <w:jc w:val="right"/>
        <w:rPr>
          <w:lang w:val="es-MX"/>
        </w:rPr>
      </w:pPr>
      <w:r w:rsidRPr="00AD268A">
        <w:rPr>
          <w:lang w:val="es-MX"/>
        </w:rPr>
        <w:t>Universidad Autónoma de Chiapas</w:t>
      </w:r>
      <w:r w:rsidR="00C8428C">
        <w:rPr>
          <w:lang w:val="es-MX"/>
        </w:rPr>
        <w:t>, México</w:t>
      </w:r>
    </w:p>
    <w:p w14:paraId="3C2E6E56" w14:textId="77777777" w:rsidR="00E31B00" w:rsidRPr="004C5F1D" w:rsidRDefault="00E31B00" w:rsidP="00AD268A">
      <w:pPr>
        <w:pStyle w:val="NormalWeb"/>
        <w:spacing w:before="0" w:beforeAutospacing="0" w:after="0" w:afterAutospacing="0" w:line="276" w:lineRule="auto"/>
        <w:jc w:val="right"/>
        <w:rPr>
          <w:rFonts w:asciiTheme="minorHAnsi" w:hAnsiTheme="minorHAnsi" w:cstheme="minorHAnsi"/>
          <w:color w:val="FF0000"/>
          <w:lang w:val="es-MX"/>
        </w:rPr>
      </w:pPr>
      <w:r w:rsidRPr="004C5F1D">
        <w:rPr>
          <w:rFonts w:asciiTheme="minorHAnsi" w:hAnsiTheme="minorHAnsi" w:cstheme="minorHAnsi"/>
          <w:color w:val="FF0000"/>
          <w:lang w:val="es-MX"/>
        </w:rPr>
        <w:t>oscar.carballo@unach.mx</w:t>
      </w:r>
    </w:p>
    <w:p w14:paraId="5C4BAD9C" w14:textId="6321C2F1" w:rsidR="00FC5B21" w:rsidRPr="00BC1D14" w:rsidRDefault="00534895" w:rsidP="00AD268A">
      <w:pPr>
        <w:pStyle w:val="NormalWeb"/>
        <w:spacing w:before="0" w:beforeAutospacing="0" w:after="120" w:afterAutospacing="0" w:line="360" w:lineRule="auto"/>
        <w:jc w:val="right"/>
        <w:rPr>
          <w:rFonts w:ascii="Arial Narrow" w:hAnsi="Arial Narrow" w:cs="Arial"/>
          <w:lang w:val="es-MX"/>
        </w:rPr>
      </w:pPr>
      <w:r w:rsidRPr="00997F1E">
        <w:rPr>
          <w:rFonts w:eastAsia="Calibri"/>
          <w:lang w:eastAsia="es-MX"/>
        </w:rPr>
        <w:t>https://orcid.org</w:t>
      </w:r>
      <w:r>
        <w:rPr>
          <w:rFonts w:eastAsia="Calibri"/>
          <w:lang w:eastAsia="es-MX"/>
        </w:rPr>
        <w:t>/</w:t>
      </w:r>
      <w:r w:rsidR="00BC54F1" w:rsidRPr="00534895">
        <w:rPr>
          <w:lang w:val="es-MX"/>
        </w:rPr>
        <w:t>0000-0002-4868-7484</w:t>
      </w:r>
    </w:p>
    <w:p w14:paraId="146058F0" w14:textId="77777777" w:rsidR="00C8428C" w:rsidRPr="00BC1D14" w:rsidRDefault="00C8428C" w:rsidP="00AD268A">
      <w:pPr>
        <w:pStyle w:val="NormalWeb"/>
        <w:spacing w:before="0" w:beforeAutospacing="0" w:after="0" w:afterAutospacing="0" w:line="360" w:lineRule="auto"/>
        <w:rPr>
          <w:rFonts w:ascii="Calibri" w:hAnsi="Calibri" w:cs="Calibri"/>
          <w:b/>
          <w:bCs/>
          <w:color w:val="000000" w:themeColor="text1"/>
          <w:lang w:val="es-MX"/>
        </w:rPr>
      </w:pPr>
    </w:p>
    <w:p w14:paraId="5E5027BD" w14:textId="671E66F3" w:rsidR="00FC5B21" w:rsidRPr="00BC1D14" w:rsidRDefault="000E39B6" w:rsidP="00AD268A">
      <w:pPr>
        <w:pStyle w:val="NormalWeb"/>
        <w:spacing w:before="0" w:beforeAutospacing="0" w:after="0" w:afterAutospacing="0" w:line="360" w:lineRule="auto"/>
        <w:rPr>
          <w:rFonts w:ascii="Calibri" w:hAnsi="Calibri" w:cs="Calibri"/>
          <w:b/>
          <w:bCs/>
          <w:color w:val="000000" w:themeColor="text1"/>
          <w:sz w:val="28"/>
          <w:szCs w:val="28"/>
          <w:lang w:val="es-MX"/>
        </w:rPr>
      </w:pPr>
      <w:r w:rsidRPr="00BC1D14">
        <w:rPr>
          <w:rFonts w:ascii="Calibri" w:hAnsi="Calibri" w:cs="Calibri"/>
          <w:b/>
          <w:bCs/>
          <w:color w:val="000000" w:themeColor="text1"/>
          <w:sz w:val="28"/>
          <w:szCs w:val="28"/>
          <w:lang w:val="es-MX"/>
        </w:rPr>
        <w:t>Resumen</w:t>
      </w:r>
    </w:p>
    <w:p w14:paraId="2A9A092B" w14:textId="09938BB2" w:rsidR="00047FCE" w:rsidRPr="003E0091" w:rsidRDefault="002C0EF5" w:rsidP="003E0091">
      <w:pPr>
        <w:spacing w:line="360" w:lineRule="auto"/>
        <w:jc w:val="both"/>
        <w:rPr>
          <w:rFonts w:ascii="Times New Roman" w:hAnsi="Times New Roman" w:cs="Times New Roman"/>
          <w:sz w:val="24"/>
          <w:szCs w:val="24"/>
          <w:lang w:val="es-ES"/>
        </w:rPr>
      </w:pPr>
      <w:r w:rsidRPr="003E0091">
        <w:rPr>
          <w:rFonts w:ascii="Times New Roman" w:hAnsi="Times New Roman" w:cs="Times New Roman"/>
          <w:sz w:val="24"/>
          <w:szCs w:val="24"/>
          <w:lang w:val="es-ES"/>
        </w:rPr>
        <w:t>En la actualidad, uno de los desafíos primordiales que enfrentan los estudiantes de niveles educativos primario y secundario es la deficiencia en la comprensión lectora, lo cual repercute de manera significativa en el proceso de aprendizaje de las matemáticas a escala nacional, como evidencian los resultados obtenidos en la evaluación PLANEA 2017 (Plan Nacional para la Evaluación de los Aprendizajes</w:t>
      </w:r>
      <w:r w:rsidRPr="003E0091">
        <w:rPr>
          <w:rStyle w:val="Refdenotaalpie"/>
          <w:rFonts w:ascii="Times New Roman" w:hAnsi="Times New Roman" w:cs="Times New Roman"/>
          <w:color w:val="000000" w:themeColor="text1"/>
          <w:sz w:val="24"/>
          <w:szCs w:val="24"/>
        </w:rPr>
        <w:footnoteReference w:id="1"/>
      </w:r>
      <w:r w:rsidRPr="003E0091">
        <w:rPr>
          <w:rFonts w:ascii="Times New Roman" w:hAnsi="Times New Roman" w:cs="Times New Roman"/>
          <w:sz w:val="24"/>
          <w:szCs w:val="24"/>
          <w:lang w:val="es-ES"/>
        </w:rPr>
        <w:t xml:space="preserve">). Por eso, en el presente estudio se procuró responder la siguiente interrogante: ¿cuál es la relación entre el nivel de comprensión lectora y el desempeño en matemáticas en alumnos de tercer año de la Escuela Secundaria Técnica nro. 71, ubicada en Torreón, Coahuila, México? Para responder esta pregunta se llevaron a cabo análisis estadísticos que comprendieron los siguientes pasos: 1) se evaluó la fuerza de asociación entre las variables de comprensión lectora (X) y matemáticas (Y), lo cual arrojó los siguientes resultados: la prueba de correlación de Rho de Spearman </w:t>
      </w:r>
      <w:r w:rsidRPr="003E0091">
        <w:rPr>
          <w:rFonts w:ascii="Times New Roman" w:hAnsi="Times New Roman" w:cs="Times New Roman"/>
          <w:color w:val="000000" w:themeColor="text1"/>
          <w:sz w:val="24"/>
          <w:szCs w:val="24"/>
        </w:rPr>
        <w:t>(</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s</m:t>
            </m:r>
          </m:sub>
        </m:sSub>
        <m:r>
          <w:rPr>
            <w:rFonts w:ascii="Cambria Math" w:hAnsi="Cambria Math" w:cs="Times New Roman"/>
            <w:color w:val="000000" w:themeColor="text1"/>
            <w:sz w:val="24"/>
            <w:szCs w:val="24"/>
          </w:rPr>
          <m:t>=0.391)</m:t>
        </m:r>
      </m:oMath>
      <w:r w:rsidRPr="003E0091">
        <w:rPr>
          <w:rFonts w:ascii="Times New Roman" w:hAnsi="Times New Roman" w:cs="Times New Roman"/>
          <w:sz w:val="24"/>
          <w:szCs w:val="24"/>
          <w:lang w:val="es-ES"/>
        </w:rPr>
        <w:t xml:space="preserve"> reflejó una correlación positiva baja, lo que indica que un incremento en la comprensión lectora se asocia con un aumento en el desempeño en matemáticas, aunque no necesariamente en la misma magnitud. Al respecto, cabe destacar que dicho coeficiente no establece una relación causal entre las variables, sino que ofrece una perspectiva sobre su comportamiento conjunto. 2) Se </w:t>
      </w:r>
      <w:r w:rsidRPr="003E0091">
        <w:rPr>
          <w:rFonts w:ascii="Times New Roman" w:hAnsi="Times New Roman" w:cs="Times New Roman"/>
          <w:sz w:val="24"/>
          <w:szCs w:val="24"/>
          <w:lang w:val="es-ES"/>
        </w:rPr>
        <w:lastRenderedPageBreak/>
        <w:t xml:space="preserve">observó que el promedio de aciertos en comprensión lectora (22.16) fue significativamente superior al promedio en matemáticas (19.06), y 3) se determinó la </w:t>
      </w:r>
      <w:r w:rsidRPr="00465B95">
        <w:rPr>
          <w:rFonts w:ascii="Times New Roman" w:hAnsi="Times New Roman" w:cs="Times New Roman"/>
          <w:sz w:val="24"/>
          <w:szCs w:val="24"/>
          <w:lang w:val="es-ES"/>
        </w:rPr>
        <w:t>ecuación lineal de regresión de Y respecto a X, que proporciona una aproximación de la relación de dependencia entre ambas variables, expresada como Y=6.472</w:t>
      </w:r>
      <w:r>
        <w:rPr>
          <w:rFonts w:ascii="Times New Roman" w:hAnsi="Times New Roman" w:cs="Times New Roman"/>
          <w:sz w:val="24"/>
          <w:szCs w:val="24"/>
          <w:lang w:val="es-ES"/>
        </w:rPr>
        <w:t xml:space="preserve"> </w:t>
      </w:r>
      <w:r w:rsidRPr="00465B95">
        <w:rPr>
          <w:rFonts w:ascii="Times New Roman" w:hAnsi="Times New Roman" w:cs="Times New Roman"/>
          <w:sz w:val="24"/>
          <w:szCs w:val="24"/>
          <w:lang w:val="es-ES"/>
        </w:rPr>
        <w:t>+</w:t>
      </w:r>
      <w:r>
        <w:rPr>
          <w:rFonts w:ascii="Times New Roman" w:hAnsi="Times New Roman" w:cs="Times New Roman"/>
          <w:sz w:val="24"/>
          <w:szCs w:val="24"/>
          <w:lang w:val="es-ES"/>
        </w:rPr>
        <w:t xml:space="preserve"> </w:t>
      </w:r>
      <w:r w:rsidRPr="00465B95">
        <w:rPr>
          <w:rFonts w:ascii="Times New Roman" w:hAnsi="Times New Roman" w:cs="Times New Roman"/>
          <w:sz w:val="24"/>
          <w:szCs w:val="24"/>
          <w:lang w:val="es-ES"/>
        </w:rPr>
        <w:t>0.568</w:t>
      </w:r>
      <w:r>
        <w:rPr>
          <w:rFonts w:ascii="Times New Roman" w:hAnsi="Times New Roman" w:cs="Times New Roman"/>
          <w:sz w:val="24"/>
          <w:szCs w:val="24"/>
          <w:lang w:val="es-ES"/>
        </w:rPr>
        <w:t xml:space="preserve"> </w:t>
      </w:r>
      <w:r w:rsidRPr="00465B95">
        <w:rPr>
          <w:rFonts w:ascii="Times New Roman" w:hAnsi="Times New Roman" w:cs="Times New Roman"/>
          <w:sz w:val="24"/>
          <w:szCs w:val="24"/>
          <w:lang w:val="es-ES"/>
        </w:rPr>
        <w:t xml:space="preserve">X. Esta ecuación indica que cuando el nivel de comprensión lectora (X) </w:t>
      </w:r>
      <w:r>
        <w:rPr>
          <w:rFonts w:ascii="Times New Roman" w:hAnsi="Times New Roman" w:cs="Times New Roman"/>
          <w:sz w:val="24"/>
          <w:szCs w:val="24"/>
          <w:lang w:val="es-ES"/>
        </w:rPr>
        <w:t>es igual a 1</w:t>
      </w:r>
      <w:r w:rsidRPr="00465B95">
        <w:rPr>
          <w:rFonts w:ascii="Times New Roman" w:hAnsi="Times New Roman" w:cs="Times New Roman"/>
          <w:sz w:val="24"/>
          <w:szCs w:val="24"/>
          <w:lang w:val="es-ES"/>
        </w:rPr>
        <w:t xml:space="preserve">, el desempeño en matemáticas (Y) </w:t>
      </w:r>
      <w:r>
        <w:rPr>
          <w:rFonts w:ascii="Times New Roman" w:hAnsi="Times New Roman" w:cs="Times New Roman"/>
          <w:sz w:val="24"/>
          <w:szCs w:val="24"/>
          <w:lang w:val="es-ES"/>
        </w:rPr>
        <w:t>es</w:t>
      </w:r>
      <w:r w:rsidRPr="00465B95">
        <w:rPr>
          <w:rFonts w:ascii="Times New Roman" w:hAnsi="Times New Roman" w:cs="Times New Roman"/>
          <w:sz w:val="24"/>
          <w:szCs w:val="24"/>
          <w:lang w:val="es-ES"/>
        </w:rPr>
        <w:t xml:space="preserve"> 0.568. En términos más claros, por cada incremento de 10 aciertos en comprensión lectora, se proyecta un aumento de 5.68 aciertos en matemáticas.</w:t>
      </w:r>
    </w:p>
    <w:p w14:paraId="70718BE7" w14:textId="35367A98" w:rsidR="00B534AC" w:rsidRDefault="00533171" w:rsidP="00C8428C">
      <w:pPr>
        <w:pStyle w:val="NormalWeb"/>
        <w:spacing w:before="0" w:beforeAutospacing="0" w:after="0" w:afterAutospacing="0" w:line="360" w:lineRule="auto"/>
        <w:jc w:val="both"/>
        <w:rPr>
          <w:color w:val="000000" w:themeColor="text1"/>
          <w:lang w:val="es-MX"/>
        </w:rPr>
      </w:pPr>
      <w:r w:rsidRPr="003E0091">
        <w:rPr>
          <w:rFonts w:ascii="Calibri" w:hAnsi="Calibri" w:cs="Calibri"/>
          <w:b/>
          <w:bCs/>
          <w:color w:val="000000" w:themeColor="text1"/>
          <w:sz w:val="28"/>
          <w:szCs w:val="28"/>
          <w:lang w:val="es-MX"/>
        </w:rPr>
        <w:t>P</w:t>
      </w:r>
      <w:r w:rsidR="00047FCE" w:rsidRPr="003E0091">
        <w:rPr>
          <w:rFonts w:ascii="Calibri" w:hAnsi="Calibri" w:cs="Calibri"/>
          <w:b/>
          <w:bCs/>
          <w:color w:val="000000" w:themeColor="text1"/>
          <w:sz w:val="28"/>
          <w:szCs w:val="28"/>
          <w:lang w:val="es-MX"/>
        </w:rPr>
        <w:t>alabras clave:</w:t>
      </w:r>
      <w:r w:rsidR="00047FCE">
        <w:rPr>
          <w:b/>
          <w:bCs/>
          <w:color w:val="000000" w:themeColor="text1"/>
          <w:lang w:val="es-MX"/>
        </w:rPr>
        <w:t xml:space="preserve"> </w:t>
      </w:r>
      <w:r w:rsidR="00047FCE" w:rsidRPr="00047FCE">
        <w:rPr>
          <w:color w:val="000000" w:themeColor="text1"/>
          <w:lang w:val="es-MX"/>
        </w:rPr>
        <w:t>c</w:t>
      </w:r>
      <w:r w:rsidRPr="006C1055">
        <w:rPr>
          <w:color w:val="000000" w:themeColor="text1"/>
          <w:lang w:val="es-MX"/>
        </w:rPr>
        <w:t>oeficiente de correlación</w:t>
      </w:r>
      <w:r w:rsidR="003B3CD8">
        <w:rPr>
          <w:color w:val="000000" w:themeColor="text1"/>
          <w:lang w:val="es-MX"/>
        </w:rPr>
        <w:t>,</w:t>
      </w:r>
      <w:r w:rsidR="00A67CD0" w:rsidRPr="006C1055">
        <w:rPr>
          <w:color w:val="000000" w:themeColor="text1"/>
          <w:lang w:val="es-MX"/>
        </w:rPr>
        <w:t xml:space="preserve"> </w:t>
      </w:r>
      <w:r w:rsidR="00047FCE">
        <w:rPr>
          <w:color w:val="000000" w:themeColor="text1"/>
          <w:lang w:val="es-MX"/>
        </w:rPr>
        <w:t>n</w:t>
      </w:r>
      <w:r w:rsidR="007C0CB8">
        <w:rPr>
          <w:color w:val="000000" w:themeColor="text1"/>
          <w:lang w:val="es-MX"/>
        </w:rPr>
        <w:t>ivel de aprendizaje</w:t>
      </w:r>
      <w:r w:rsidR="003B3CD8">
        <w:rPr>
          <w:color w:val="000000" w:themeColor="text1"/>
          <w:lang w:val="es-MX"/>
        </w:rPr>
        <w:t xml:space="preserve">, </w:t>
      </w:r>
      <w:r w:rsidR="00047FCE">
        <w:rPr>
          <w:color w:val="000000" w:themeColor="text1"/>
          <w:lang w:val="es-MX"/>
        </w:rPr>
        <w:t>s</w:t>
      </w:r>
      <w:r w:rsidR="007C0CB8">
        <w:rPr>
          <w:color w:val="000000" w:themeColor="text1"/>
          <w:lang w:val="es-MX"/>
        </w:rPr>
        <w:t>ignificancia estadística</w:t>
      </w:r>
      <w:r w:rsidR="003B3CD8">
        <w:rPr>
          <w:color w:val="000000" w:themeColor="text1"/>
          <w:lang w:val="es-MX"/>
        </w:rPr>
        <w:t>,</w:t>
      </w:r>
      <w:r w:rsidR="003B3CD8" w:rsidRPr="006C1055">
        <w:rPr>
          <w:color w:val="000000" w:themeColor="text1"/>
          <w:lang w:val="es-MX"/>
        </w:rPr>
        <w:t xml:space="preserve"> </w:t>
      </w:r>
      <w:r w:rsidR="00047FCE">
        <w:rPr>
          <w:color w:val="000000" w:themeColor="text1"/>
          <w:lang w:val="es-MX"/>
        </w:rPr>
        <w:t>p</w:t>
      </w:r>
      <w:r w:rsidR="003B3CD8" w:rsidRPr="006C1055">
        <w:rPr>
          <w:color w:val="000000" w:themeColor="text1"/>
          <w:lang w:val="es-MX"/>
        </w:rPr>
        <w:t>rueba de hipótesis</w:t>
      </w:r>
      <w:r w:rsidR="003B3CD8">
        <w:rPr>
          <w:color w:val="000000" w:themeColor="text1"/>
          <w:lang w:val="es-MX"/>
        </w:rPr>
        <w:t xml:space="preserve">, </w:t>
      </w:r>
      <w:r w:rsidR="004154E6" w:rsidRPr="006C1055">
        <w:rPr>
          <w:color w:val="000000" w:themeColor="text1"/>
          <w:lang w:val="es-MX"/>
        </w:rPr>
        <w:t>Rho de Spearman</w:t>
      </w:r>
      <w:r w:rsidR="003B3CD8">
        <w:rPr>
          <w:color w:val="000000" w:themeColor="text1"/>
          <w:lang w:val="es-MX"/>
        </w:rPr>
        <w:t>,</w:t>
      </w:r>
      <w:r w:rsidR="00EE5FEC" w:rsidRPr="006C1055">
        <w:rPr>
          <w:color w:val="000000" w:themeColor="text1"/>
          <w:lang w:val="es-MX"/>
        </w:rPr>
        <w:t xml:space="preserve"> </w:t>
      </w:r>
      <w:r w:rsidR="00047FCE">
        <w:rPr>
          <w:color w:val="000000" w:themeColor="text1"/>
          <w:lang w:val="es-MX"/>
        </w:rPr>
        <w:t>r</w:t>
      </w:r>
      <w:r w:rsidR="00EE5FEC" w:rsidRPr="006C1055">
        <w:rPr>
          <w:color w:val="000000" w:themeColor="text1"/>
          <w:lang w:val="es-MX"/>
        </w:rPr>
        <w:t>egresión lineal</w:t>
      </w:r>
      <w:r w:rsidR="002C0EF5">
        <w:rPr>
          <w:color w:val="000000" w:themeColor="text1"/>
          <w:lang w:val="es-MX"/>
        </w:rPr>
        <w:t>.</w:t>
      </w:r>
    </w:p>
    <w:p w14:paraId="15657239" w14:textId="77777777" w:rsidR="00C8428C" w:rsidRPr="00154B7D" w:rsidRDefault="00C8428C" w:rsidP="00C8428C">
      <w:pPr>
        <w:pStyle w:val="NormalWeb"/>
        <w:spacing w:before="0" w:beforeAutospacing="0" w:after="0" w:afterAutospacing="0" w:line="360" w:lineRule="auto"/>
        <w:jc w:val="both"/>
        <w:rPr>
          <w:color w:val="000000" w:themeColor="text1"/>
          <w:lang w:val="es-MX"/>
        </w:rPr>
      </w:pPr>
    </w:p>
    <w:p w14:paraId="4F11176D" w14:textId="6C92371B" w:rsidR="00683303" w:rsidRPr="003E0091" w:rsidRDefault="003E0091" w:rsidP="00C8428C">
      <w:pPr>
        <w:pStyle w:val="HTMLconformatoprevio"/>
        <w:spacing w:line="360" w:lineRule="auto"/>
        <w:rPr>
          <w:rStyle w:val="y2iqfc"/>
          <w:rFonts w:ascii="Calibri" w:hAnsi="Calibri" w:cs="Calibri"/>
          <w:b/>
          <w:bCs/>
          <w:color w:val="202124"/>
          <w:sz w:val="28"/>
          <w:szCs w:val="28"/>
          <w:lang w:val="en"/>
        </w:rPr>
      </w:pPr>
      <w:r w:rsidRPr="003E0091">
        <w:rPr>
          <w:rStyle w:val="y2iqfc"/>
          <w:rFonts w:ascii="Calibri" w:hAnsi="Calibri" w:cs="Calibri"/>
          <w:b/>
          <w:bCs/>
          <w:color w:val="202124"/>
          <w:sz w:val="28"/>
          <w:szCs w:val="28"/>
          <w:lang w:val="en"/>
        </w:rPr>
        <w:t>Abstract</w:t>
      </w:r>
    </w:p>
    <w:p w14:paraId="5DBC89D6" w14:textId="77777777" w:rsidR="00683303" w:rsidRPr="00683303" w:rsidRDefault="00683303" w:rsidP="00534895">
      <w:pPr>
        <w:pStyle w:val="HTMLconformatoprevio"/>
        <w:spacing w:line="360" w:lineRule="auto"/>
        <w:jc w:val="both"/>
        <w:rPr>
          <w:rStyle w:val="y2iqfc"/>
          <w:rFonts w:ascii="Times New Roman" w:hAnsi="Times New Roman" w:cs="Times New Roman"/>
          <w:color w:val="202124"/>
          <w:sz w:val="24"/>
          <w:szCs w:val="24"/>
          <w:lang w:val="en"/>
        </w:rPr>
      </w:pPr>
      <w:r w:rsidRPr="00683303">
        <w:rPr>
          <w:rStyle w:val="y2iqfc"/>
          <w:rFonts w:ascii="Times New Roman" w:hAnsi="Times New Roman" w:cs="Times New Roman"/>
          <w:color w:val="202124"/>
          <w:sz w:val="24"/>
          <w:szCs w:val="24"/>
          <w:lang w:val="en"/>
        </w:rPr>
        <w:t xml:space="preserve">The problems that students at the basic Primary and Secondary level currently face </w:t>
      </w:r>
      <w:proofErr w:type="gramStart"/>
      <w:r w:rsidRPr="00683303">
        <w:rPr>
          <w:rStyle w:val="y2iqfc"/>
          <w:rFonts w:ascii="Times New Roman" w:hAnsi="Times New Roman" w:cs="Times New Roman"/>
          <w:color w:val="202124"/>
          <w:sz w:val="24"/>
          <w:szCs w:val="24"/>
          <w:lang w:val="en"/>
        </w:rPr>
        <w:t>are</w:t>
      </w:r>
      <w:proofErr w:type="gramEnd"/>
      <w:r w:rsidRPr="00683303">
        <w:rPr>
          <w:rStyle w:val="y2iqfc"/>
          <w:rFonts w:ascii="Times New Roman" w:hAnsi="Times New Roman" w:cs="Times New Roman"/>
          <w:color w:val="202124"/>
          <w:sz w:val="24"/>
          <w:szCs w:val="24"/>
          <w:lang w:val="en"/>
        </w:rPr>
        <w:t xml:space="preserve"> the lack of Reading Comprehension, which has an impact from our point of view on the learning of Mathematics at the national level, as indicated by the results of the PLANEA 2017 test. (National Plan for the Evaluation of Learning). The research question posed was the following: Identify what is the relationship between the level of learning of Reading Comprehension and Mathematics in third year students of the Technical Secondary School No. 71 of Torreon, Coahuila, Mexico? To provide an answer, the following statistical tests were carried out: 1) measure the strength of association between the variables Reading Comprehension (X) and Mathematics (Y), finding the following findings: Spearman's Rho test (rs=0.391) indicated by its direction is positive and due to its magnitude it is a low positive correlation, that is to say that while Reading Comprehension increases, mathematics also increases, although not in the same proportion, although said coefficient does not measure the cause-effect relationship, it does provide us with a clear idea of ​​the behavior of both variables, 2) it was found that the average number of correct answers obtained in Reading Comprehension 22.16 is significantly higher than the average obtained in Mathematics 19.06, and 3) the linear equation of Y over the dependency relationship between both variables given by Y=6.472+0.568X, which tells us that when “X” (Reading Comprehension) is equal to 1 “Y” (Mathematics) is equal to 0.568, so that it is better understood for every 10 correct answers in Reading Comprehension there will be 5.68 correct answers in Mathematics.</w:t>
      </w:r>
    </w:p>
    <w:p w14:paraId="286E9FB0" w14:textId="5083312F" w:rsidR="00683303" w:rsidRDefault="00EE7BDA" w:rsidP="00534895">
      <w:pPr>
        <w:pStyle w:val="HTMLconformatoprevio"/>
        <w:spacing w:line="360" w:lineRule="auto"/>
        <w:jc w:val="both"/>
        <w:rPr>
          <w:rStyle w:val="y2iqfc"/>
          <w:rFonts w:ascii="Times New Roman" w:hAnsi="Times New Roman" w:cs="Times New Roman"/>
          <w:color w:val="202124"/>
          <w:sz w:val="24"/>
          <w:szCs w:val="24"/>
          <w:lang w:val="en"/>
        </w:rPr>
      </w:pPr>
      <w:r w:rsidRPr="00AD268A">
        <w:rPr>
          <w:rStyle w:val="y2iqfc"/>
          <w:rFonts w:ascii="Calibri" w:hAnsi="Calibri" w:cs="Calibri"/>
          <w:b/>
          <w:bCs/>
          <w:color w:val="202124"/>
          <w:sz w:val="28"/>
          <w:szCs w:val="28"/>
          <w:lang w:val="en"/>
        </w:rPr>
        <w:t>Key words:</w:t>
      </w:r>
      <w:r>
        <w:rPr>
          <w:rStyle w:val="y2iqfc"/>
          <w:rFonts w:asciiTheme="minorHAnsi" w:hAnsiTheme="minorHAnsi" w:cstheme="minorHAnsi"/>
          <w:b/>
          <w:bCs/>
          <w:color w:val="202124"/>
          <w:sz w:val="28"/>
          <w:szCs w:val="28"/>
          <w:lang w:val="en"/>
        </w:rPr>
        <w:t xml:space="preserve"> </w:t>
      </w:r>
      <w:r w:rsidR="00683303" w:rsidRPr="00683303">
        <w:rPr>
          <w:rStyle w:val="y2iqfc"/>
          <w:rFonts w:ascii="Times New Roman" w:hAnsi="Times New Roman" w:cs="Times New Roman"/>
          <w:color w:val="202124"/>
          <w:sz w:val="24"/>
          <w:szCs w:val="24"/>
          <w:lang w:val="en"/>
        </w:rPr>
        <w:t>Correlation coefficient, Learning level, Statistical significance, Hypothesis testing, Spearman's rho, Linear regression</w:t>
      </w:r>
      <w:r w:rsidR="003E0091">
        <w:rPr>
          <w:rStyle w:val="y2iqfc"/>
          <w:rFonts w:ascii="Times New Roman" w:hAnsi="Times New Roman" w:cs="Times New Roman"/>
          <w:color w:val="202124"/>
          <w:sz w:val="24"/>
          <w:szCs w:val="24"/>
          <w:lang w:val="en"/>
        </w:rPr>
        <w:t>.</w:t>
      </w:r>
    </w:p>
    <w:p w14:paraId="0CEE4326" w14:textId="77777777" w:rsidR="00871FD5" w:rsidRPr="00BE65CB" w:rsidRDefault="00871FD5" w:rsidP="00534895">
      <w:pPr>
        <w:pStyle w:val="HTMLconformatoprevio"/>
        <w:spacing w:line="360" w:lineRule="auto"/>
        <w:jc w:val="both"/>
        <w:rPr>
          <w:rFonts w:ascii="Calibri" w:hAnsi="Calibri" w:cs="Calibri"/>
          <w:b/>
          <w:bCs/>
          <w:color w:val="202124"/>
          <w:sz w:val="28"/>
          <w:szCs w:val="28"/>
        </w:rPr>
      </w:pPr>
      <w:r w:rsidRPr="00BE65CB">
        <w:rPr>
          <w:rFonts w:ascii="Calibri" w:hAnsi="Calibri" w:cs="Calibri"/>
          <w:b/>
          <w:bCs/>
          <w:color w:val="202124"/>
          <w:sz w:val="28"/>
          <w:szCs w:val="28"/>
        </w:rPr>
        <w:lastRenderedPageBreak/>
        <w:t>Resumo</w:t>
      </w:r>
    </w:p>
    <w:p w14:paraId="2B92B876" w14:textId="77777777" w:rsidR="00871FD5" w:rsidRPr="00BE65CB" w:rsidRDefault="00871FD5" w:rsidP="00534895">
      <w:pPr>
        <w:pStyle w:val="HTMLconformatoprevio"/>
        <w:spacing w:line="360" w:lineRule="auto"/>
        <w:jc w:val="both"/>
        <w:rPr>
          <w:rFonts w:ascii="Times New Roman" w:hAnsi="Times New Roman" w:cs="Times New Roman"/>
          <w:color w:val="202124"/>
          <w:sz w:val="24"/>
          <w:szCs w:val="24"/>
        </w:rPr>
      </w:pPr>
      <w:r w:rsidRPr="00BE65CB">
        <w:rPr>
          <w:rFonts w:ascii="Times New Roman" w:hAnsi="Times New Roman" w:cs="Times New Roman"/>
          <w:color w:val="202124"/>
          <w:sz w:val="24"/>
          <w:szCs w:val="24"/>
        </w:rPr>
        <w:t xml:space="preserve">Atualmente, um dos principais desafios enfrentados pelos alunos dos níveis de ensino primário e secundário é a deficiência na compreensão da leitura, o que tem um impacto significativo no processo de aprendizagem da matemática à escala nacional, conforme evidenciado pelos resultados obtidos na avaliação do PLANEA 2017. (Plano Nacional de Avaliação da Aprendizagem). Portanto, no presente estudo procuramos responder à seguinte questão: qual a relação entre o nível de compreensão de leitura e o desempenho em matemática em alunos do terceiro ano do Ensino Médio Técnico nº. 71, localizado em Torreón, Coahuila, México? Para responder a essa questão foram realizadas análises estatísticas que incluíram as seguintes etapas: 1) avaliou-se a força de associação entre as variáveis ​​de compreensão leitora (X) e matemática (Y), que gerou os seguintes resultados: o teste de correlação Rho de Spearman </w:t>
      </w:r>
      <w:proofErr w:type="gramStart"/>
      <w:r w:rsidRPr="00BE65CB">
        <w:rPr>
          <w:rFonts w:ascii="Times New Roman" w:hAnsi="Times New Roman" w:cs="Times New Roman"/>
          <w:color w:val="202124"/>
          <w:sz w:val="24"/>
          <w:szCs w:val="24"/>
        </w:rPr>
        <w:t>( r</w:t>
      </w:r>
      <w:proofErr w:type="gramEnd"/>
      <w:r w:rsidRPr="00BE65CB">
        <w:rPr>
          <w:rFonts w:ascii="Times New Roman" w:hAnsi="Times New Roman" w:cs="Times New Roman"/>
          <w:color w:val="202124"/>
          <w:sz w:val="24"/>
          <w:szCs w:val="24"/>
        </w:rPr>
        <w:t xml:space="preserve">_s=0,391) refletiu uma correlação positiva baixa, indicando que um aumento na compreensão da leitura está associado a um aumento no desempenho em matemática, embora não necessariamente na mesma magnitude. Neste sentido, importa referir que este coeficiente não estabelece uma relação causal entre as variáveis, mas antes oferece uma perspetiva sobre o seu comportamento conjunto. 2) Observou-se que a média de acertos em compreensão leitora (22,16) foi significativamente superior à média em matemática (19,06) e 3) foi determinada a equação de regressão linear de Y em relação a X, que fornece uma aproximação de a relação de dependência entre </w:t>
      </w:r>
      <w:proofErr w:type="gramStart"/>
      <w:r w:rsidRPr="00BE65CB">
        <w:rPr>
          <w:rFonts w:ascii="Times New Roman" w:hAnsi="Times New Roman" w:cs="Times New Roman"/>
          <w:color w:val="202124"/>
          <w:sz w:val="24"/>
          <w:szCs w:val="24"/>
        </w:rPr>
        <w:t>ambas as</w:t>
      </w:r>
      <w:proofErr w:type="gramEnd"/>
      <w:r w:rsidRPr="00BE65CB">
        <w:rPr>
          <w:rFonts w:ascii="Times New Roman" w:hAnsi="Times New Roman" w:cs="Times New Roman"/>
          <w:color w:val="202124"/>
          <w:sz w:val="24"/>
          <w:szCs w:val="24"/>
        </w:rPr>
        <w:t xml:space="preserve"> variáveis, expressa como Y=6,472 + 0,568 Em termos mais claros, para cada aumento de 10 acertos na compreensão de leitura, projeta-se um aumento de 5,68 acertos em matemática.</w:t>
      </w:r>
    </w:p>
    <w:p w14:paraId="207A8942" w14:textId="36BB4E6D" w:rsidR="003E0091" w:rsidRPr="00BE65CB" w:rsidRDefault="00871FD5" w:rsidP="00534895">
      <w:pPr>
        <w:pStyle w:val="HTMLconformatoprevio"/>
        <w:spacing w:line="360" w:lineRule="auto"/>
        <w:jc w:val="both"/>
        <w:rPr>
          <w:rFonts w:ascii="Times New Roman" w:hAnsi="Times New Roman" w:cs="Times New Roman"/>
          <w:color w:val="202124"/>
          <w:sz w:val="24"/>
          <w:szCs w:val="24"/>
        </w:rPr>
      </w:pPr>
      <w:r w:rsidRPr="00BE65CB">
        <w:rPr>
          <w:rFonts w:ascii="Calibri" w:hAnsi="Calibri" w:cs="Calibri"/>
          <w:b/>
          <w:bCs/>
          <w:color w:val="202124"/>
          <w:sz w:val="28"/>
          <w:szCs w:val="28"/>
        </w:rPr>
        <w:t>Palavras-chave:</w:t>
      </w:r>
      <w:r w:rsidRPr="00BE65CB">
        <w:rPr>
          <w:rFonts w:ascii="Times New Roman" w:hAnsi="Times New Roman" w:cs="Times New Roman"/>
          <w:color w:val="202124"/>
          <w:sz w:val="24"/>
          <w:szCs w:val="24"/>
        </w:rPr>
        <w:t xml:space="preserve"> coeficiente de correlação, nível de aprendizagem, significância estatística, teste de hipóteses, Rho de Spearman, regressão linear.</w:t>
      </w:r>
    </w:p>
    <w:p w14:paraId="0A66A8C7" w14:textId="743221D9" w:rsidR="006F61B5" w:rsidRPr="004334EF" w:rsidRDefault="006F61B5" w:rsidP="0033002A">
      <w:pPr>
        <w:pStyle w:val="HTMLconformatoprevio"/>
        <w:shd w:val="clear" w:color="auto" w:fill="FFFFFF"/>
        <w:tabs>
          <w:tab w:val="left" w:pos="8647"/>
        </w:tabs>
        <w:spacing w:line="360" w:lineRule="auto"/>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r w:rsidR="00EE7BDA">
        <w:rPr>
          <w:rFonts w:ascii="Times New Roman" w:hAnsi="Times New Roman"/>
          <w:color w:val="000000"/>
          <w:sz w:val="24"/>
        </w:rPr>
        <w:t>S</w:t>
      </w:r>
      <w:r>
        <w:rPr>
          <w:rFonts w:ascii="Times New Roman" w:hAnsi="Times New Roman"/>
          <w:color w:val="000000"/>
          <w:sz w:val="24"/>
        </w:rPr>
        <w:t>eptiembre2023</w:t>
      </w:r>
      <w:r w:rsidRPr="00906375">
        <w:rPr>
          <w:rFonts w:ascii="Times New Roman" w:hAnsi="Times New Roman"/>
          <w:color w:val="000000"/>
          <w:sz w:val="24"/>
        </w:rPr>
        <w:t xml:space="preserve">                              </w:t>
      </w:r>
      <w:r>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proofErr w:type="gramStart"/>
      <w:r w:rsidR="00EE7BDA">
        <w:rPr>
          <w:rFonts w:ascii="Times New Roman" w:hAnsi="Times New Roman"/>
          <w:color w:val="000000"/>
          <w:sz w:val="24"/>
        </w:rPr>
        <w:t>A</w:t>
      </w:r>
      <w:r>
        <w:rPr>
          <w:rFonts w:ascii="Times New Roman" w:hAnsi="Times New Roman"/>
          <w:color w:val="000000"/>
          <w:sz w:val="24"/>
        </w:rPr>
        <w:t>bril</w:t>
      </w:r>
      <w:proofErr w:type="gramEnd"/>
      <w:r>
        <w:rPr>
          <w:rFonts w:ascii="Times New Roman" w:hAnsi="Times New Roman"/>
          <w:color w:val="000000"/>
          <w:sz w:val="24"/>
        </w:rPr>
        <w:t xml:space="preserve"> 2024</w:t>
      </w:r>
    </w:p>
    <w:p w14:paraId="53EDA92F" w14:textId="35004D44" w:rsidR="00683303" w:rsidRPr="006F61B5" w:rsidRDefault="00000000" w:rsidP="006F61B5">
      <w:pPr>
        <w:spacing w:line="360" w:lineRule="auto"/>
        <w:jc w:val="both"/>
        <w:rPr>
          <w:rFonts w:ascii="Times New Roman" w:hAnsi="Times New Roman" w:cs="Times New Roman"/>
          <w:sz w:val="24"/>
          <w:szCs w:val="24"/>
          <w:lang w:val="en-US"/>
        </w:rPr>
      </w:pPr>
      <w:r>
        <w:rPr>
          <w:noProof/>
        </w:rPr>
        <w:pict w14:anchorId="2F527BDD">
          <v:rect id="_x0000_i1025" alt="" style="width:393.75pt;height:.05pt;mso-width-percent:0;mso-height-percent:0;mso-width-percent:0;mso-height-percent:0" o:hrpct="891" o:hralign="center" o:hrstd="t" o:hr="t" fillcolor="#a0a0a0" stroked="f"/>
        </w:pict>
      </w:r>
    </w:p>
    <w:p w14:paraId="5B1D2A3C" w14:textId="77777777" w:rsidR="00C8428C" w:rsidRDefault="00C8428C" w:rsidP="00EE7BDA">
      <w:pPr>
        <w:pStyle w:val="NormalWeb"/>
        <w:spacing w:before="0" w:beforeAutospacing="0" w:after="0" w:afterAutospacing="0" w:line="360" w:lineRule="auto"/>
        <w:jc w:val="center"/>
        <w:rPr>
          <w:b/>
          <w:sz w:val="32"/>
          <w:szCs w:val="32"/>
          <w:lang w:val="es-MX"/>
        </w:rPr>
      </w:pPr>
    </w:p>
    <w:p w14:paraId="17B855F5" w14:textId="77777777" w:rsidR="00C8428C" w:rsidRDefault="00C8428C" w:rsidP="00EE7BDA">
      <w:pPr>
        <w:pStyle w:val="NormalWeb"/>
        <w:spacing w:before="0" w:beforeAutospacing="0" w:after="0" w:afterAutospacing="0" w:line="360" w:lineRule="auto"/>
        <w:jc w:val="center"/>
        <w:rPr>
          <w:b/>
          <w:sz w:val="32"/>
          <w:szCs w:val="32"/>
          <w:lang w:val="es-MX"/>
        </w:rPr>
      </w:pPr>
    </w:p>
    <w:p w14:paraId="775B1089" w14:textId="77777777" w:rsidR="00C8428C" w:rsidRDefault="00C8428C" w:rsidP="00EE7BDA">
      <w:pPr>
        <w:pStyle w:val="NormalWeb"/>
        <w:spacing w:before="0" w:beforeAutospacing="0" w:after="0" w:afterAutospacing="0" w:line="360" w:lineRule="auto"/>
        <w:jc w:val="center"/>
        <w:rPr>
          <w:b/>
          <w:sz w:val="32"/>
          <w:szCs w:val="32"/>
          <w:lang w:val="es-MX"/>
        </w:rPr>
      </w:pPr>
    </w:p>
    <w:p w14:paraId="524F367A" w14:textId="77777777" w:rsidR="00C8428C" w:rsidRDefault="00C8428C" w:rsidP="00EE7BDA">
      <w:pPr>
        <w:pStyle w:val="NormalWeb"/>
        <w:spacing w:before="0" w:beforeAutospacing="0" w:after="0" w:afterAutospacing="0" w:line="360" w:lineRule="auto"/>
        <w:jc w:val="center"/>
        <w:rPr>
          <w:b/>
          <w:sz w:val="32"/>
          <w:szCs w:val="32"/>
          <w:lang w:val="es-MX"/>
        </w:rPr>
      </w:pPr>
    </w:p>
    <w:p w14:paraId="7CDC0FC4" w14:textId="77777777" w:rsidR="00C8428C" w:rsidRDefault="00C8428C" w:rsidP="00EE7BDA">
      <w:pPr>
        <w:pStyle w:val="NormalWeb"/>
        <w:spacing w:before="0" w:beforeAutospacing="0" w:after="0" w:afterAutospacing="0" w:line="360" w:lineRule="auto"/>
        <w:jc w:val="center"/>
        <w:rPr>
          <w:b/>
          <w:sz w:val="32"/>
          <w:szCs w:val="32"/>
          <w:lang w:val="es-MX"/>
        </w:rPr>
      </w:pPr>
    </w:p>
    <w:p w14:paraId="7317014E" w14:textId="77777777" w:rsidR="00C8428C" w:rsidRDefault="00C8428C" w:rsidP="00EE7BDA">
      <w:pPr>
        <w:pStyle w:val="NormalWeb"/>
        <w:spacing w:before="0" w:beforeAutospacing="0" w:after="0" w:afterAutospacing="0" w:line="360" w:lineRule="auto"/>
        <w:jc w:val="center"/>
        <w:rPr>
          <w:b/>
          <w:sz w:val="32"/>
          <w:szCs w:val="32"/>
          <w:lang w:val="es-MX"/>
        </w:rPr>
      </w:pPr>
    </w:p>
    <w:p w14:paraId="5F804770" w14:textId="2155C944" w:rsidR="00533171" w:rsidRPr="000E39B6" w:rsidRDefault="000E39B6" w:rsidP="00EE7BDA">
      <w:pPr>
        <w:pStyle w:val="NormalWeb"/>
        <w:spacing w:before="0" w:beforeAutospacing="0" w:after="0" w:afterAutospacing="0" w:line="360" w:lineRule="auto"/>
        <w:jc w:val="center"/>
        <w:rPr>
          <w:b/>
          <w:sz w:val="32"/>
          <w:szCs w:val="32"/>
          <w:lang w:val="es-MX"/>
        </w:rPr>
      </w:pPr>
      <w:r w:rsidRPr="000E39B6">
        <w:rPr>
          <w:b/>
          <w:sz w:val="32"/>
          <w:szCs w:val="32"/>
          <w:lang w:val="es-MX"/>
        </w:rPr>
        <w:lastRenderedPageBreak/>
        <w:t>Introducción</w:t>
      </w:r>
    </w:p>
    <w:p w14:paraId="30919DAC" w14:textId="77777777" w:rsidR="00EF3608" w:rsidRDefault="00EF3608" w:rsidP="009D6035">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Resulta </w:t>
      </w:r>
      <w:r w:rsidRPr="00465B95">
        <w:rPr>
          <w:rFonts w:ascii="Times New Roman" w:hAnsi="Times New Roman" w:cs="Times New Roman"/>
          <w:sz w:val="24"/>
          <w:szCs w:val="24"/>
          <w:lang w:val="es-ES"/>
        </w:rPr>
        <w:t xml:space="preserve">de suma importancia profundizar en las repercusiones de la deficiencia en la comprensión lectora en nuestros estudiantes y su influencia en el proceso de aprendizaje de las matemáticas. Esta preocupación surge </w:t>
      </w:r>
      <w:r>
        <w:rPr>
          <w:rFonts w:ascii="Times New Roman" w:hAnsi="Times New Roman" w:cs="Times New Roman"/>
          <w:sz w:val="24"/>
          <w:szCs w:val="24"/>
          <w:lang w:val="es-ES"/>
        </w:rPr>
        <w:t>debido a</w:t>
      </w:r>
      <w:r w:rsidRPr="00465B95">
        <w:rPr>
          <w:rFonts w:ascii="Times New Roman" w:hAnsi="Times New Roman" w:cs="Times New Roman"/>
          <w:sz w:val="24"/>
          <w:szCs w:val="24"/>
          <w:lang w:val="es-ES"/>
        </w:rPr>
        <w:t xml:space="preserve"> que la mayoría de los alumnos enfrentan dificultades para realizar tareas básicas de operaciones matemáticas, </w:t>
      </w:r>
      <w:r>
        <w:rPr>
          <w:rFonts w:ascii="Times New Roman" w:hAnsi="Times New Roman" w:cs="Times New Roman"/>
          <w:sz w:val="24"/>
          <w:szCs w:val="24"/>
          <w:lang w:val="es-ES"/>
        </w:rPr>
        <w:t xml:space="preserve">las cuales son </w:t>
      </w:r>
      <w:r w:rsidRPr="00465B95">
        <w:rPr>
          <w:rFonts w:ascii="Times New Roman" w:hAnsi="Times New Roman" w:cs="Times New Roman"/>
          <w:sz w:val="24"/>
          <w:szCs w:val="24"/>
          <w:lang w:val="es-ES"/>
        </w:rPr>
        <w:t>habilidades fundamentales no solo en el ámbito educativo, sino también en actividades cotidianas. Por lo tanto, es crucial atender esta problemática desde diversas perspectivas y buscar alternativas de intervención que contribuyan al desarrollo educativo de los jóvenes.</w:t>
      </w:r>
    </w:p>
    <w:p w14:paraId="5D5A9611" w14:textId="7D3297AB" w:rsidR="00EF3608" w:rsidRDefault="00EF3608" w:rsidP="009D6035">
      <w:pPr>
        <w:spacing w:line="360" w:lineRule="auto"/>
        <w:ind w:firstLine="708"/>
        <w:jc w:val="both"/>
        <w:rPr>
          <w:rFonts w:ascii="Times New Roman" w:hAnsi="Times New Roman" w:cs="Times New Roman"/>
          <w:sz w:val="24"/>
          <w:szCs w:val="24"/>
          <w:lang w:val="es-ES"/>
        </w:rPr>
      </w:pPr>
      <w:r w:rsidRPr="00465B95">
        <w:rPr>
          <w:rFonts w:ascii="Times New Roman" w:hAnsi="Times New Roman" w:cs="Times New Roman"/>
          <w:sz w:val="24"/>
          <w:szCs w:val="24"/>
          <w:lang w:val="es-ES"/>
        </w:rPr>
        <w:t xml:space="preserve">En el contexto mexicano, la prueba PLANEA surge como una política pública con el propósito de evaluar en qué medida los estudiantes logran dominar un conjunto de aprendizajes esenciales al concluir la educación secundaria, particularmente en los campos de comprensión lectora y matemáticas. Esta evaluación se aplica a nivel nacional en todos los planteles del subsistema de educación básica, </w:t>
      </w:r>
      <w:r>
        <w:rPr>
          <w:rFonts w:ascii="Times New Roman" w:hAnsi="Times New Roman" w:cs="Times New Roman"/>
          <w:sz w:val="24"/>
          <w:szCs w:val="24"/>
          <w:lang w:val="es-ES"/>
        </w:rPr>
        <w:t xml:space="preserve">y está </w:t>
      </w:r>
      <w:r w:rsidRPr="00465B95">
        <w:rPr>
          <w:rFonts w:ascii="Times New Roman" w:hAnsi="Times New Roman" w:cs="Times New Roman"/>
          <w:sz w:val="24"/>
          <w:szCs w:val="24"/>
          <w:lang w:val="es-ES"/>
        </w:rPr>
        <w:t xml:space="preserve">dirigida a estudiantes de tercer año de secundaria. Los resultados de estas pruebas, desglosados por estado, plantel y alumno, están disponibles en línea a través del siguiente enlace: </w:t>
      </w:r>
      <w:r w:rsidRPr="005D3248">
        <w:rPr>
          <w:rFonts w:ascii="Times New Roman" w:hAnsi="Times New Roman" w:cs="Times New Roman"/>
          <w:sz w:val="24"/>
          <w:szCs w:val="24"/>
          <w:lang w:val="es-ES"/>
        </w:rPr>
        <w:t>https://planea.sep.gob.mx</w:t>
      </w:r>
      <w:r w:rsidRPr="00465B95">
        <w:rPr>
          <w:rFonts w:ascii="Times New Roman" w:hAnsi="Times New Roman" w:cs="Times New Roman"/>
          <w:sz w:val="24"/>
          <w:szCs w:val="24"/>
          <w:lang w:val="es-ES"/>
        </w:rPr>
        <w:t>.</w:t>
      </w:r>
    </w:p>
    <w:p w14:paraId="773BE80F" w14:textId="77777777" w:rsidR="00EF3608" w:rsidRDefault="00EF3608" w:rsidP="009D6035">
      <w:pPr>
        <w:spacing w:line="360" w:lineRule="auto"/>
        <w:ind w:firstLine="708"/>
        <w:jc w:val="both"/>
        <w:rPr>
          <w:rFonts w:ascii="Times New Roman" w:hAnsi="Times New Roman" w:cs="Times New Roman"/>
          <w:sz w:val="24"/>
          <w:szCs w:val="24"/>
        </w:rPr>
      </w:pPr>
      <w:r w:rsidRPr="00465B95">
        <w:rPr>
          <w:rFonts w:ascii="Times New Roman" w:hAnsi="Times New Roman" w:cs="Times New Roman"/>
          <w:sz w:val="24"/>
          <w:szCs w:val="24"/>
          <w:lang w:val="es-ES"/>
        </w:rPr>
        <w:t xml:space="preserve">Es importante destacar que todas </w:t>
      </w:r>
      <w:r>
        <w:rPr>
          <w:rFonts w:ascii="Times New Roman" w:hAnsi="Times New Roman" w:cs="Times New Roman"/>
          <w:sz w:val="24"/>
          <w:szCs w:val="24"/>
          <w:lang w:val="es-ES"/>
        </w:rPr>
        <w:t>esas</w:t>
      </w:r>
      <w:r w:rsidRPr="00465B95">
        <w:rPr>
          <w:rFonts w:ascii="Times New Roman" w:hAnsi="Times New Roman" w:cs="Times New Roman"/>
          <w:sz w:val="24"/>
          <w:szCs w:val="24"/>
          <w:lang w:val="es-ES"/>
        </w:rPr>
        <w:t xml:space="preserve"> evaluaciones </w:t>
      </w:r>
      <w:r>
        <w:rPr>
          <w:rFonts w:ascii="Times New Roman" w:hAnsi="Times New Roman" w:cs="Times New Roman"/>
          <w:sz w:val="24"/>
          <w:szCs w:val="24"/>
          <w:lang w:val="es-ES"/>
        </w:rPr>
        <w:t>se basan</w:t>
      </w:r>
      <w:r w:rsidRPr="00465B95">
        <w:rPr>
          <w:rFonts w:ascii="Times New Roman" w:hAnsi="Times New Roman" w:cs="Times New Roman"/>
          <w:sz w:val="24"/>
          <w:szCs w:val="24"/>
          <w:lang w:val="es-ES"/>
        </w:rPr>
        <w:t xml:space="preserve"> en una escala cuantitativa, </w:t>
      </w:r>
      <w:r>
        <w:rPr>
          <w:rFonts w:ascii="Times New Roman" w:hAnsi="Times New Roman" w:cs="Times New Roman"/>
          <w:sz w:val="24"/>
          <w:szCs w:val="24"/>
          <w:lang w:val="es-ES"/>
        </w:rPr>
        <w:t>pues</w:t>
      </w:r>
      <w:r w:rsidRPr="00465B95">
        <w:rPr>
          <w:rFonts w:ascii="Times New Roman" w:hAnsi="Times New Roman" w:cs="Times New Roman"/>
          <w:sz w:val="24"/>
          <w:szCs w:val="24"/>
          <w:lang w:val="es-ES"/>
        </w:rPr>
        <w:t xml:space="preserve"> se centra</w:t>
      </w:r>
      <w:r>
        <w:rPr>
          <w:rFonts w:ascii="Times New Roman" w:hAnsi="Times New Roman" w:cs="Times New Roman"/>
          <w:sz w:val="24"/>
          <w:szCs w:val="24"/>
          <w:lang w:val="es-ES"/>
        </w:rPr>
        <w:t>n</w:t>
      </w:r>
      <w:r w:rsidRPr="00465B95">
        <w:rPr>
          <w:rFonts w:ascii="Times New Roman" w:hAnsi="Times New Roman" w:cs="Times New Roman"/>
          <w:sz w:val="24"/>
          <w:szCs w:val="24"/>
          <w:lang w:val="es-ES"/>
        </w:rPr>
        <w:t xml:space="preserve"> en el número de aciertos, el puntaje o la calificación obtenida</w:t>
      </w:r>
      <w:r>
        <w:rPr>
          <w:rFonts w:ascii="Times New Roman" w:hAnsi="Times New Roman" w:cs="Times New Roman"/>
          <w:sz w:val="24"/>
          <w:szCs w:val="24"/>
          <w:lang w:val="es-ES"/>
        </w:rPr>
        <w:t xml:space="preserve">, y procuran </w:t>
      </w:r>
      <w:r w:rsidRPr="00465B95">
        <w:rPr>
          <w:rFonts w:ascii="Times New Roman" w:hAnsi="Times New Roman" w:cs="Times New Roman"/>
          <w:sz w:val="24"/>
          <w:szCs w:val="24"/>
          <w:lang w:val="es-ES"/>
        </w:rPr>
        <w:t xml:space="preserve">evaluar el desempeño del grupo o del estudiante individual </w:t>
      </w:r>
      <w:r>
        <w:rPr>
          <w:rFonts w:ascii="Times New Roman" w:hAnsi="Times New Roman" w:cs="Times New Roman"/>
          <w:sz w:val="24"/>
          <w:szCs w:val="24"/>
          <w:lang w:val="es-ES"/>
        </w:rPr>
        <w:t>(</w:t>
      </w:r>
      <w:r w:rsidRPr="00465B95">
        <w:rPr>
          <w:rFonts w:ascii="Times New Roman" w:hAnsi="Times New Roman" w:cs="Times New Roman"/>
          <w:sz w:val="24"/>
          <w:szCs w:val="24"/>
          <w:lang w:val="es-ES"/>
        </w:rPr>
        <w:t xml:space="preserve">este último </w:t>
      </w:r>
      <w:r>
        <w:rPr>
          <w:rFonts w:ascii="Times New Roman" w:hAnsi="Times New Roman" w:cs="Times New Roman"/>
          <w:sz w:val="24"/>
          <w:szCs w:val="24"/>
          <w:lang w:val="es-ES"/>
        </w:rPr>
        <w:t xml:space="preserve">es </w:t>
      </w:r>
      <w:r w:rsidRPr="00465B95">
        <w:rPr>
          <w:rFonts w:ascii="Times New Roman" w:hAnsi="Times New Roman" w:cs="Times New Roman"/>
          <w:sz w:val="24"/>
          <w:szCs w:val="24"/>
          <w:lang w:val="es-ES"/>
        </w:rPr>
        <w:t>el objeto de nuestra investigación</w:t>
      </w:r>
      <w:r>
        <w:rPr>
          <w:rFonts w:ascii="Times New Roman" w:hAnsi="Times New Roman" w:cs="Times New Roman"/>
          <w:sz w:val="24"/>
          <w:szCs w:val="24"/>
          <w:lang w:val="es-ES"/>
        </w:rPr>
        <w:t>)</w:t>
      </w:r>
      <w:r w:rsidRPr="00465B95">
        <w:rPr>
          <w:rFonts w:ascii="Times New Roman" w:hAnsi="Times New Roman" w:cs="Times New Roman"/>
          <w:sz w:val="24"/>
          <w:szCs w:val="24"/>
          <w:lang w:val="es-ES"/>
        </w:rPr>
        <w:t>. Entre las investigaciones previas encontradas sobre este tema se destacan las siguientes</w:t>
      </w:r>
      <w:r>
        <w:rPr>
          <w:rFonts w:ascii="Times New Roman" w:hAnsi="Times New Roman" w:cs="Times New Roman"/>
          <w:sz w:val="24"/>
          <w:szCs w:val="24"/>
          <w:lang w:val="es-ES"/>
        </w:rPr>
        <w:t xml:space="preserve">. Por ejemplo, </w:t>
      </w:r>
      <w:r w:rsidRPr="00465B95">
        <w:rPr>
          <w:rFonts w:ascii="Times New Roman" w:hAnsi="Times New Roman" w:cs="Times New Roman"/>
          <w:sz w:val="24"/>
          <w:szCs w:val="24"/>
        </w:rPr>
        <w:t>López (2021) present</w:t>
      </w:r>
      <w:r>
        <w:rPr>
          <w:rFonts w:ascii="Times New Roman" w:hAnsi="Times New Roman" w:cs="Times New Roman"/>
          <w:sz w:val="24"/>
          <w:szCs w:val="24"/>
        </w:rPr>
        <w:t>ó</w:t>
      </w:r>
      <w:r w:rsidRPr="00465B95">
        <w:rPr>
          <w:rFonts w:ascii="Times New Roman" w:hAnsi="Times New Roman" w:cs="Times New Roman"/>
          <w:sz w:val="24"/>
          <w:szCs w:val="24"/>
        </w:rPr>
        <w:t xml:space="preserve"> una tesis de nivel licenciatura denominada</w:t>
      </w:r>
      <w:r>
        <w:rPr>
          <w:rFonts w:ascii="Times New Roman" w:hAnsi="Times New Roman" w:cs="Times New Roman"/>
          <w:sz w:val="24"/>
          <w:szCs w:val="24"/>
        </w:rPr>
        <w:t xml:space="preserve"> </w:t>
      </w:r>
      <w:r w:rsidRPr="00511B3E">
        <w:rPr>
          <w:rFonts w:ascii="Times New Roman" w:hAnsi="Times New Roman" w:cs="Times New Roman"/>
          <w:i/>
          <w:iCs/>
          <w:sz w:val="24"/>
          <w:szCs w:val="24"/>
        </w:rPr>
        <w:t>Comprensión de lectura y matemáticas. La prueba de Pearson</w:t>
      </w:r>
      <w:r w:rsidRPr="00465B95">
        <w:rPr>
          <w:rFonts w:ascii="Times New Roman" w:hAnsi="Times New Roman" w:cs="Times New Roman"/>
          <w:sz w:val="24"/>
          <w:szCs w:val="24"/>
        </w:rPr>
        <w:t xml:space="preserve">, </w:t>
      </w:r>
      <w:r>
        <w:rPr>
          <w:rFonts w:ascii="Times New Roman" w:hAnsi="Times New Roman" w:cs="Times New Roman"/>
          <w:sz w:val="24"/>
          <w:szCs w:val="24"/>
        </w:rPr>
        <w:t xml:space="preserve">donde </w:t>
      </w:r>
      <w:r w:rsidRPr="00465B95">
        <w:rPr>
          <w:rFonts w:ascii="Times New Roman" w:hAnsi="Times New Roman" w:cs="Times New Roman"/>
          <w:sz w:val="24"/>
          <w:szCs w:val="24"/>
        </w:rPr>
        <w:t>encontró que r = 0.426, es decir</w:t>
      </w:r>
      <w:r>
        <w:rPr>
          <w:rFonts w:ascii="Times New Roman" w:hAnsi="Times New Roman" w:cs="Times New Roman"/>
          <w:sz w:val="24"/>
          <w:szCs w:val="24"/>
        </w:rPr>
        <w:t>,</w:t>
      </w:r>
      <w:r w:rsidRPr="00465B95">
        <w:rPr>
          <w:rFonts w:ascii="Times New Roman" w:hAnsi="Times New Roman" w:cs="Times New Roman"/>
          <w:sz w:val="24"/>
          <w:szCs w:val="24"/>
        </w:rPr>
        <w:t xml:space="preserve"> </w:t>
      </w:r>
      <w:r>
        <w:rPr>
          <w:rFonts w:ascii="Times New Roman" w:hAnsi="Times New Roman" w:cs="Times New Roman"/>
          <w:sz w:val="24"/>
          <w:szCs w:val="24"/>
        </w:rPr>
        <w:t>una</w:t>
      </w:r>
      <w:r w:rsidRPr="00465B95">
        <w:rPr>
          <w:rFonts w:ascii="Times New Roman" w:hAnsi="Times New Roman" w:cs="Times New Roman"/>
          <w:sz w:val="24"/>
          <w:szCs w:val="24"/>
        </w:rPr>
        <w:t xml:space="preserve"> relación positiva</w:t>
      </w:r>
      <w:r>
        <w:rPr>
          <w:rFonts w:ascii="Times New Roman" w:hAnsi="Times New Roman" w:cs="Times New Roman"/>
          <w:sz w:val="24"/>
          <w:szCs w:val="24"/>
        </w:rPr>
        <w:t xml:space="preserve">; de hecho, </w:t>
      </w:r>
      <w:r w:rsidRPr="00465B95">
        <w:rPr>
          <w:rFonts w:ascii="Times New Roman" w:hAnsi="Times New Roman" w:cs="Times New Roman"/>
          <w:sz w:val="24"/>
          <w:szCs w:val="24"/>
        </w:rPr>
        <w:t>por su magnitud</w:t>
      </w:r>
      <w:r>
        <w:rPr>
          <w:rFonts w:ascii="Times New Roman" w:hAnsi="Times New Roman" w:cs="Times New Roman"/>
          <w:sz w:val="24"/>
          <w:szCs w:val="24"/>
        </w:rPr>
        <w:t>,</w:t>
      </w:r>
      <w:r w:rsidRPr="00465B95">
        <w:rPr>
          <w:rFonts w:ascii="Times New Roman" w:hAnsi="Times New Roman" w:cs="Times New Roman"/>
          <w:sz w:val="24"/>
          <w:szCs w:val="24"/>
        </w:rPr>
        <w:t xml:space="preserve"> se </w:t>
      </w:r>
      <w:r>
        <w:rPr>
          <w:rFonts w:ascii="Times New Roman" w:hAnsi="Times New Roman" w:cs="Times New Roman"/>
          <w:sz w:val="24"/>
          <w:szCs w:val="24"/>
        </w:rPr>
        <w:t xml:space="preserve">puede indicar que se </w:t>
      </w:r>
      <w:r w:rsidRPr="00465B95">
        <w:rPr>
          <w:rFonts w:ascii="Times New Roman" w:hAnsi="Times New Roman" w:cs="Times New Roman"/>
          <w:sz w:val="24"/>
          <w:szCs w:val="24"/>
        </w:rPr>
        <w:t xml:space="preserve">trata de una </w:t>
      </w:r>
      <w:r w:rsidRPr="00511B3E">
        <w:rPr>
          <w:rFonts w:ascii="Times New Roman" w:hAnsi="Times New Roman" w:cs="Times New Roman"/>
          <w:sz w:val="24"/>
          <w:szCs w:val="24"/>
        </w:rPr>
        <w:t>correlación positiva media</w:t>
      </w:r>
      <w:r>
        <w:rPr>
          <w:rFonts w:ascii="Times New Roman" w:hAnsi="Times New Roman" w:cs="Times New Roman"/>
          <w:sz w:val="24"/>
          <w:szCs w:val="24"/>
        </w:rPr>
        <w:t>.</w:t>
      </w:r>
    </w:p>
    <w:p w14:paraId="50427824" w14:textId="1E3A823E" w:rsidR="00EF3608" w:rsidRDefault="00EF3608" w:rsidP="009D6035">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rPr>
        <w:t>Asimismo, l</w:t>
      </w:r>
      <w:r w:rsidRPr="00465B95">
        <w:rPr>
          <w:rFonts w:ascii="Times New Roman" w:hAnsi="Times New Roman" w:cs="Times New Roman"/>
          <w:sz w:val="24"/>
          <w:szCs w:val="24"/>
          <w:lang w:val="es-ES"/>
        </w:rPr>
        <w:t>os hallazgos de Marchena</w:t>
      </w:r>
      <w:r w:rsidR="00DE62DE" w:rsidRPr="00DE62DE">
        <w:rPr>
          <w:rFonts w:ascii="Times New Roman" w:hAnsi="Times New Roman" w:cs="Times New Roman"/>
          <w:sz w:val="24"/>
          <w:szCs w:val="24"/>
        </w:rPr>
        <w:t xml:space="preserve"> </w:t>
      </w:r>
      <w:r w:rsidR="00DE62DE">
        <w:rPr>
          <w:rFonts w:ascii="Times New Roman" w:hAnsi="Times New Roman" w:cs="Times New Roman"/>
          <w:sz w:val="24"/>
          <w:szCs w:val="24"/>
        </w:rPr>
        <w:t>y</w:t>
      </w:r>
      <w:r w:rsidR="00DE62DE" w:rsidRPr="00F3028E">
        <w:rPr>
          <w:rFonts w:ascii="Times New Roman" w:hAnsi="Times New Roman" w:cs="Times New Roman"/>
          <w:sz w:val="24"/>
          <w:szCs w:val="24"/>
        </w:rPr>
        <w:t xml:space="preserve"> Quiroga</w:t>
      </w:r>
      <w:r w:rsidRPr="00465B95">
        <w:rPr>
          <w:rFonts w:ascii="Times New Roman" w:hAnsi="Times New Roman" w:cs="Times New Roman"/>
          <w:sz w:val="24"/>
          <w:szCs w:val="24"/>
          <w:lang w:val="es-ES"/>
        </w:rPr>
        <w:t xml:space="preserve"> (2005) </w:t>
      </w:r>
      <w:r>
        <w:rPr>
          <w:rFonts w:ascii="Times New Roman" w:hAnsi="Times New Roman" w:cs="Times New Roman"/>
          <w:sz w:val="24"/>
          <w:szCs w:val="24"/>
          <w:lang w:val="es-ES"/>
        </w:rPr>
        <w:t>demuestran</w:t>
      </w:r>
      <w:r w:rsidRPr="00465B95">
        <w:rPr>
          <w:rFonts w:ascii="Times New Roman" w:hAnsi="Times New Roman" w:cs="Times New Roman"/>
          <w:sz w:val="24"/>
          <w:szCs w:val="24"/>
          <w:lang w:val="es-ES"/>
        </w:rPr>
        <w:t xml:space="preserve"> una asociación entre la falta de comprensión lectora y la incapacidad para resolver problemas matemáticos. </w:t>
      </w:r>
      <w:r>
        <w:rPr>
          <w:rFonts w:ascii="Times New Roman" w:hAnsi="Times New Roman" w:cs="Times New Roman"/>
          <w:sz w:val="24"/>
          <w:szCs w:val="24"/>
          <w:lang w:val="es-ES"/>
        </w:rPr>
        <w:t>Esa</w:t>
      </w:r>
      <w:r w:rsidRPr="00465B95">
        <w:rPr>
          <w:rFonts w:ascii="Times New Roman" w:hAnsi="Times New Roman" w:cs="Times New Roman"/>
          <w:sz w:val="24"/>
          <w:szCs w:val="24"/>
          <w:lang w:val="es-ES"/>
        </w:rPr>
        <w:t xml:space="preserve"> investigación indicó que la dificultad de los estudiantes para comprender lo que se les pedía en los problemas matemáticos estaba directamente relacionada con su limitada comprensión lectora, lo que obstaculizaba su capacidad para realizar operaciones matemáticas.</w:t>
      </w:r>
    </w:p>
    <w:p w14:paraId="2107DE1D" w14:textId="77777777" w:rsidR="00EF3608" w:rsidRDefault="00EF3608" w:rsidP="009D6035">
      <w:pPr>
        <w:spacing w:line="360" w:lineRule="auto"/>
        <w:ind w:firstLine="708"/>
        <w:jc w:val="both"/>
        <w:rPr>
          <w:rFonts w:ascii="Times New Roman" w:hAnsi="Times New Roman" w:cs="Times New Roman"/>
          <w:sz w:val="24"/>
          <w:szCs w:val="24"/>
          <w:lang w:val="es-ES"/>
        </w:rPr>
      </w:pPr>
      <w:r w:rsidRPr="00465B95">
        <w:rPr>
          <w:rFonts w:ascii="Times New Roman" w:hAnsi="Times New Roman" w:cs="Times New Roman"/>
          <w:sz w:val="24"/>
          <w:szCs w:val="24"/>
          <w:lang w:val="es-ES"/>
        </w:rPr>
        <w:t xml:space="preserve">Por otro lado, </w:t>
      </w:r>
      <w:proofErr w:type="spellStart"/>
      <w:r w:rsidRPr="00465B95">
        <w:rPr>
          <w:rFonts w:ascii="Times New Roman" w:hAnsi="Times New Roman" w:cs="Times New Roman"/>
          <w:sz w:val="24"/>
          <w:szCs w:val="24"/>
          <w:lang w:val="es-ES"/>
        </w:rPr>
        <w:t>Bastiand</w:t>
      </w:r>
      <w:proofErr w:type="spellEnd"/>
      <w:r w:rsidRPr="00465B95">
        <w:rPr>
          <w:rFonts w:ascii="Times New Roman" w:hAnsi="Times New Roman" w:cs="Times New Roman"/>
          <w:sz w:val="24"/>
          <w:szCs w:val="24"/>
          <w:lang w:val="es-ES"/>
        </w:rPr>
        <w:t xml:space="preserve"> (2012) examinó la relación entre la comprensión lectora y la resolución de problemas matemáticos, </w:t>
      </w:r>
      <w:r>
        <w:rPr>
          <w:rFonts w:ascii="Times New Roman" w:hAnsi="Times New Roman" w:cs="Times New Roman"/>
          <w:sz w:val="24"/>
          <w:szCs w:val="24"/>
          <w:lang w:val="es-ES"/>
        </w:rPr>
        <w:t>y halló</w:t>
      </w:r>
      <w:r w:rsidRPr="00465B95">
        <w:rPr>
          <w:rFonts w:ascii="Times New Roman" w:hAnsi="Times New Roman" w:cs="Times New Roman"/>
          <w:sz w:val="24"/>
          <w:szCs w:val="24"/>
          <w:lang w:val="es-ES"/>
        </w:rPr>
        <w:t xml:space="preserve"> que existe una correlación significativa entre ambas habilidades. Según los resultados, un aprendizaje significativo en </w:t>
      </w:r>
      <w:r w:rsidRPr="00465B95">
        <w:rPr>
          <w:rFonts w:ascii="Times New Roman" w:hAnsi="Times New Roman" w:cs="Times New Roman"/>
          <w:sz w:val="24"/>
          <w:szCs w:val="24"/>
          <w:lang w:val="es-ES"/>
        </w:rPr>
        <w:lastRenderedPageBreak/>
        <w:t>comprensión lectora contribuye a una mejor capacidad para resolver problemas matemáticos</w:t>
      </w:r>
      <w:r>
        <w:rPr>
          <w:rFonts w:ascii="Times New Roman" w:hAnsi="Times New Roman" w:cs="Times New Roman"/>
          <w:sz w:val="24"/>
          <w:szCs w:val="24"/>
          <w:lang w:val="es-ES"/>
        </w:rPr>
        <w:t xml:space="preserve">, lo cual </w:t>
      </w:r>
      <w:r w:rsidRPr="00465B95">
        <w:rPr>
          <w:rFonts w:ascii="Times New Roman" w:hAnsi="Times New Roman" w:cs="Times New Roman"/>
          <w:sz w:val="24"/>
          <w:szCs w:val="24"/>
          <w:lang w:val="es-ES"/>
        </w:rPr>
        <w:t xml:space="preserve">subraya la importancia crucial de desarrollar habilidades de comprensión lectora efectivas para el éxito en </w:t>
      </w:r>
      <w:r>
        <w:rPr>
          <w:rFonts w:ascii="Times New Roman" w:hAnsi="Times New Roman" w:cs="Times New Roman"/>
          <w:sz w:val="24"/>
          <w:szCs w:val="24"/>
          <w:lang w:val="es-ES"/>
        </w:rPr>
        <w:t>dicha ciencia</w:t>
      </w:r>
      <w:r w:rsidRPr="00465B95">
        <w:rPr>
          <w:rFonts w:ascii="Times New Roman" w:hAnsi="Times New Roman" w:cs="Times New Roman"/>
          <w:sz w:val="24"/>
          <w:szCs w:val="24"/>
          <w:lang w:val="es-ES"/>
        </w:rPr>
        <w:t>.</w:t>
      </w:r>
    </w:p>
    <w:p w14:paraId="45E0BAA1" w14:textId="77777777" w:rsidR="00EF3608" w:rsidRDefault="00EF3608" w:rsidP="009D6035">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Asimismo, e</w:t>
      </w:r>
      <w:r w:rsidRPr="00465B95">
        <w:rPr>
          <w:rFonts w:ascii="Times New Roman" w:hAnsi="Times New Roman" w:cs="Times New Roman"/>
          <w:sz w:val="24"/>
          <w:szCs w:val="24"/>
          <w:lang w:val="es-ES"/>
        </w:rPr>
        <w:t xml:space="preserve">n un estudio realizado por Cubas (2007), se exploraron las actitudes de los estudiantes hacia la comprensión lectora y su posible influencia en la resolución de problemas. Los resultados sugirieron que existe un bajo interés por la lectura entre los jóvenes, lo que a su vez puede afectar negativamente su disposición para comprender y resolver problemas matemáticos. </w:t>
      </w:r>
    </w:p>
    <w:p w14:paraId="59647FE3" w14:textId="77777777" w:rsidR="00EF3608" w:rsidRDefault="00EF3608" w:rsidP="009D6035">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Ahora bien, e</w:t>
      </w:r>
      <w:r w:rsidRPr="00465B95">
        <w:rPr>
          <w:rFonts w:ascii="Times New Roman" w:hAnsi="Times New Roman" w:cs="Times New Roman"/>
          <w:sz w:val="24"/>
          <w:szCs w:val="24"/>
          <w:lang w:val="es-ES"/>
        </w:rPr>
        <w:t xml:space="preserve">n esta revisión teórica se destaca la notable concentración de investigaciones en Lima, Perú, en comparación con el escaso número de estudios en México sobre </w:t>
      </w:r>
      <w:r>
        <w:rPr>
          <w:rFonts w:ascii="Times New Roman" w:hAnsi="Times New Roman" w:cs="Times New Roman"/>
          <w:sz w:val="24"/>
          <w:szCs w:val="24"/>
          <w:lang w:val="es-ES"/>
        </w:rPr>
        <w:t>el tema del presente trabajo</w:t>
      </w:r>
      <w:r w:rsidRPr="00465B95">
        <w:rPr>
          <w:rFonts w:ascii="Times New Roman" w:hAnsi="Times New Roman" w:cs="Times New Roman"/>
          <w:sz w:val="24"/>
          <w:szCs w:val="24"/>
          <w:lang w:val="es-ES"/>
        </w:rPr>
        <w:t xml:space="preserve">. Esta disparidad constituye un punto crucial para explorar alternativas que aborden esta importante problemática en el ámbito educativo. </w:t>
      </w:r>
    </w:p>
    <w:p w14:paraId="3D2D5768" w14:textId="77777777" w:rsidR="00534895" w:rsidRDefault="00534895" w:rsidP="009D6035">
      <w:pPr>
        <w:spacing w:line="360" w:lineRule="auto"/>
        <w:ind w:firstLine="708"/>
        <w:jc w:val="both"/>
        <w:rPr>
          <w:rFonts w:ascii="Times New Roman" w:hAnsi="Times New Roman" w:cs="Times New Roman"/>
          <w:sz w:val="24"/>
          <w:szCs w:val="24"/>
          <w:lang w:val="es-ES"/>
        </w:rPr>
      </w:pPr>
    </w:p>
    <w:p w14:paraId="20DA3832" w14:textId="4E82889A" w:rsidR="00EF3608" w:rsidRPr="00C70C0D" w:rsidRDefault="00EF3608" w:rsidP="00EE7BDA">
      <w:pPr>
        <w:pStyle w:val="NormalWeb"/>
        <w:spacing w:before="0" w:beforeAutospacing="0" w:after="0" w:afterAutospacing="0" w:line="360" w:lineRule="auto"/>
        <w:jc w:val="center"/>
        <w:rPr>
          <w:b/>
          <w:bCs/>
          <w:sz w:val="28"/>
          <w:szCs w:val="28"/>
          <w:shd w:val="clear" w:color="auto" w:fill="FFFFFF"/>
        </w:rPr>
      </w:pPr>
      <w:r w:rsidRPr="00C70C0D">
        <w:rPr>
          <w:b/>
          <w:bCs/>
          <w:sz w:val="28"/>
          <w:szCs w:val="28"/>
          <w:shd w:val="clear" w:color="auto" w:fill="FFFFFF"/>
        </w:rPr>
        <w:t>Marco teórico</w:t>
      </w:r>
    </w:p>
    <w:p w14:paraId="1494610D" w14:textId="5D404119" w:rsidR="00C81CE3" w:rsidRDefault="00C81CE3" w:rsidP="009D6035">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S</w:t>
      </w:r>
      <w:r w:rsidRPr="00465B95">
        <w:rPr>
          <w:rFonts w:ascii="Times New Roman" w:hAnsi="Times New Roman" w:cs="Times New Roman"/>
          <w:sz w:val="24"/>
          <w:szCs w:val="24"/>
          <w:lang w:val="es-ES"/>
        </w:rPr>
        <w:t xml:space="preserve">egún la </w:t>
      </w:r>
      <w:r w:rsidRPr="002E56E0">
        <w:rPr>
          <w:rFonts w:ascii="Times New Roman" w:hAnsi="Times New Roman" w:cs="Times New Roman"/>
          <w:sz w:val="24"/>
          <w:szCs w:val="24"/>
          <w:lang w:val="es-ES"/>
        </w:rPr>
        <w:t>Real Academia Española</w:t>
      </w:r>
      <w:r>
        <w:rPr>
          <w:rFonts w:ascii="Times New Roman" w:hAnsi="Times New Roman" w:cs="Times New Roman"/>
          <w:sz w:val="24"/>
          <w:szCs w:val="24"/>
          <w:lang w:val="es-ES"/>
        </w:rPr>
        <w:t xml:space="preserve">, la lectura puede ser concebida </w:t>
      </w:r>
      <w:r w:rsidRPr="00465B95">
        <w:rPr>
          <w:rFonts w:ascii="Times New Roman" w:hAnsi="Times New Roman" w:cs="Times New Roman"/>
          <w:sz w:val="24"/>
          <w:szCs w:val="24"/>
          <w:lang w:val="es-ES"/>
        </w:rPr>
        <w:t>como la acción de leer y la interpretación del sentido de un texto. Esto nos lleva a cuestionarnos si los estudiantes realmente leen hoy en día y si son capaces de</w:t>
      </w:r>
      <w:r w:rsidR="002E56E0">
        <w:rPr>
          <w:rFonts w:ascii="Times New Roman" w:hAnsi="Times New Roman" w:cs="Times New Roman"/>
          <w:sz w:val="24"/>
          <w:szCs w:val="24"/>
          <w:lang w:val="es-ES"/>
        </w:rPr>
        <w:t xml:space="preserve"> </w:t>
      </w:r>
      <w:r w:rsidRPr="00465B95">
        <w:rPr>
          <w:rFonts w:ascii="Times New Roman" w:hAnsi="Times New Roman" w:cs="Times New Roman"/>
          <w:sz w:val="24"/>
          <w:szCs w:val="24"/>
          <w:lang w:val="es-ES"/>
        </w:rPr>
        <w:t>realizar una adecuada interpretación del contenido textual</w:t>
      </w:r>
    </w:p>
    <w:p w14:paraId="093CF837" w14:textId="3EE5686A" w:rsidR="002E56E0" w:rsidRDefault="002E56E0" w:rsidP="002E56E0">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Goodman (1982) por su parte,</w:t>
      </w:r>
      <w:r w:rsidRPr="00465B95">
        <w:rPr>
          <w:rFonts w:ascii="Times New Roman" w:hAnsi="Times New Roman" w:cs="Times New Roman"/>
          <w:sz w:val="24"/>
          <w:szCs w:val="24"/>
          <w:lang w:val="es-ES"/>
        </w:rPr>
        <w:t xml:space="preserve"> plantea que la lectura es un proceso psicolingüístico de adivinanzas, en el cual el pensamiento y el lenguaje interactúan de manera continua. E</w:t>
      </w:r>
      <w:r>
        <w:rPr>
          <w:rFonts w:ascii="Times New Roman" w:hAnsi="Times New Roman" w:cs="Times New Roman"/>
          <w:sz w:val="24"/>
          <w:szCs w:val="24"/>
          <w:lang w:val="es-ES"/>
        </w:rPr>
        <w:t>ste</w:t>
      </w:r>
      <w:r w:rsidRPr="00465B95">
        <w:rPr>
          <w:rFonts w:ascii="Times New Roman" w:hAnsi="Times New Roman" w:cs="Times New Roman"/>
          <w:sz w:val="24"/>
          <w:szCs w:val="24"/>
          <w:lang w:val="es-ES"/>
        </w:rPr>
        <w:t xml:space="preserve"> autor sostiene que existe un proceso de lectura único, aplicable a todas las lenguas desde una perspectiva universal y multilingüe.</w:t>
      </w:r>
    </w:p>
    <w:p w14:paraId="31109737" w14:textId="4D44E6B4" w:rsidR="00C81CE3" w:rsidRDefault="00C81CE3" w:rsidP="009D6035">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En cambio</w:t>
      </w:r>
      <w:r w:rsidRPr="00465B95">
        <w:rPr>
          <w:rFonts w:ascii="Times New Roman" w:hAnsi="Times New Roman" w:cs="Times New Roman"/>
          <w:sz w:val="24"/>
          <w:szCs w:val="24"/>
          <w:lang w:val="es-ES"/>
        </w:rPr>
        <w:t>,</w:t>
      </w:r>
      <w:r w:rsidR="005A52AA">
        <w:rPr>
          <w:rFonts w:ascii="Times New Roman" w:hAnsi="Times New Roman" w:cs="Times New Roman"/>
          <w:sz w:val="24"/>
          <w:szCs w:val="24"/>
          <w:lang w:val="es-ES"/>
        </w:rPr>
        <w:t xml:space="preserve"> </w:t>
      </w:r>
      <w:r w:rsidR="005A52AA" w:rsidRPr="002E56E0">
        <w:rPr>
          <w:rFonts w:ascii="Times New Roman" w:hAnsi="Times New Roman" w:cs="Times New Roman"/>
          <w:sz w:val="24"/>
          <w:szCs w:val="24"/>
          <w:shd w:val="clear" w:color="auto" w:fill="FFFFFF"/>
        </w:rPr>
        <w:t>(Bolívar y Guevarra, 2000)</w:t>
      </w:r>
      <w:r w:rsidRPr="00465B95">
        <w:rPr>
          <w:rFonts w:ascii="Times New Roman" w:hAnsi="Times New Roman" w:cs="Times New Roman"/>
          <w:sz w:val="24"/>
          <w:szCs w:val="24"/>
          <w:lang w:val="es-ES"/>
        </w:rPr>
        <w:t xml:space="preserve"> y </w:t>
      </w:r>
      <w:r w:rsidR="005A52AA">
        <w:rPr>
          <w:rFonts w:ascii="Arial" w:hAnsi="Arial" w:cs="Arial"/>
          <w:color w:val="222222"/>
          <w:sz w:val="20"/>
          <w:szCs w:val="20"/>
          <w:shd w:val="clear" w:color="auto" w:fill="FFFFFF"/>
        </w:rPr>
        <w:t>(</w:t>
      </w:r>
      <w:r w:rsidR="005A52AA" w:rsidRPr="002E56E0">
        <w:rPr>
          <w:rFonts w:ascii="Times New Roman" w:hAnsi="Times New Roman" w:cs="Times New Roman"/>
          <w:color w:val="222222"/>
          <w:sz w:val="24"/>
          <w:szCs w:val="24"/>
          <w:shd w:val="clear" w:color="auto" w:fill="FFFFFF"/>
        </w:rPr>
        <w:t>Chavez-Duque et al. 2022)</w:t>
      </w:r>
      <w:r w:rsidRPr="00465B95">
        <w:rPr>
          <w:rFonts w:ascii="Times New Roman" w:hAnsi="Times New Roman" w:cs="Times New Roman"/>
          <w:sz w:val="24"/>
          <w:szCs w:val="24"/>
          <w:lang w:val="es-ES"/>
        </w:rPr>
        <w:t xml:space="preserve"> definen la lectura como un proceso autodirigido por el lector, </w:t>
      </w:r>
      <w:r>
        <w:rPr>
          <w:rFonts w:ascii="Times New Roman" w:hAnsi="Times New Roman" w:cs="Times New Roman"/>
          <w:sz w:val="24"/>
          <w:szCs w:val="24"/>
          <w:lang w:val="es-ES"/>
        </w:rPr>
        <w:t>el cual</w:t>
      </w:r>
      <w:r w:rsidRPr="00465B95">
        <w:rPr>
          <w:rFonts w:ascii="Times New Roman" w:hAnsi="Times New Roman" w:cs="Times New Roman"/>
          <w:sz w:val="24"/>
          <w:szCs w:val="24"/>
          <w:lang w:val="es-ES"/>
        </w:rPr>
        <w:t xml:space="preserve"> extrae del texto un significado previamente codificado por el escritor. Según estos autores, la lectura implica una serie de factores y elementos esenciales que generan una diversidad de estrategias para resolver los problemas que surgen durante </w:t>
      </w:r>
      <w:r>
        <w:rPr>
          <w:rFonts w:ascii="Times New Roman" w:hAnsi="Times New Roman" w:cs="Times New Roman"/>
          <w:sz w:val="24"/>
          <w:szCs w:val="24"/>
          <w:lang w:val="es-ES"/>
        </w:rPr>
        <w:t>dicho acto</w:t>
      </w:r>
      <w:r w:rsidRPr="00465B95">
        <w:rPr>
          <w:rFonts w:ascii="Times New Roman" w:hAnsi="Times New Roman" w:cs="Times New Roman"/>
          <w:sz w:val="24"/>
          <w:szCs w:val="24"/>
          <w:lang w:val="es-ES"/>
        </w:rPr>
        <w:t>.</w:t>
      </w:r>
    </w:p>
    <w:p w14:paraId="6485E854" w14:textId="77777777" w:rsidR="00C81CE3" w:rsidRDefault="00C81CE3" w:rsidP="009D6035">
      <w:pPr>
        <w:spacing w:line="360" w:lineRule="auto"/>
        <w:ind w:firstLine="708"/>
        <w:jc w:val="both"/>
        <w:rPr>
          <w:rFonts w:ascii="Times New Roman" w:hAnsi="Times New Roman" w:cs="Times New Roman"/>
          <w:sz w:val="24"/>
          <w:szCs w:val="24"/>
          <w:lang w:val="es-ES"/>
        </w:rPr>
      </w:pPr>
      <w:r w:rsidRPr="00465B95">
        <w:rPr>
          <w:rFonts w:ascii="Times New Roman" w:hAnsi="Times New Roman" w:cs="Times New Roman"/>
          <w:sz w:val="24"/>
          <w:szCs w:val="24"/>
          <w:lang w:val="es-ES"/>
        </w:rPr>
        <w:t>Bautista (2015) plantea que la lectura es una experiencia que implica la interacción del lector con el texto que está leyendo. Este enfoque resalta que la lectura no solo se trata de comprender el texto, sino también de relacionarse con él, criticarlo y superar las ideas expresadas. Por su parte, Freire (1989) sostiene que la lectura va más allá de la mera decodificación de palabras o lenguajes escritos</w:t>
      </w:r>
      <w:r>
        <w:rPr>
          <w:rFonts w:ascii="Times New Roman" w:hAnsi="Times New Roman" w:cs="Times New Roman"/>
          <w:sz w:val="24"/>
          <w:szCs w:val="24"/>
          <w:lang w:val="es-ES"/>
        </w:rPr>
        <w:t>, por lo que</w:t>
      </w:r>
      <w:r w:rsidRPr="00465B95">
        <w:rPr>
          <w:rFonts w:ascii="Times New Roman" w:hAnsi="Times New Roman" w:cs="Times New Roman"/>
          <w:sz w:val="24"/>
          <w:szCs w:val="24"/>
          <w:lang w:val="es-ES"/>
        </w:rPr>
        <w:t xml:space="preserve"> incluye la interpretación de </w:t>
      </w:r>
      <w:r w:rsidRPr="00465B95">
        <w:rPr>
          <w:rFonts w:ascii="Times New Roman" w:hAnsi="Times New Roman" w:cs="Times New Roman"/>
          <w:sz w:val="24"/>
          <w:szCs w:val="24"/>
          <w:lang w:val="es-ES"/>
        </w:rPr>
        <w:lastRenderedPageBreak/>
        <w:t xml:space="preserve">imágenes y diseños. Para Freire, </w:t>
      </w:r>
      <w:r>
        <w:rPr>
          <w:rFonts w:ascii="Times New Roman" w:hAnsi="Times New Roman" w:cs="Times New Roman"/>
          <w:sz w:val="24"/>
          <w:szCs w:val="24"/>
          <w:lang w:val="es-ES"/>
        </w:rPr>
        <w:t xml:space="preserve">además, </w:t>
      </w:r>
      <w:r w:rsidRPr="00465B95">
        <w:rPr>
          <w:rFonts w:ascii="Times New Roman" w:hAnsi="Times New Roman" w:cs="Times New Roman"/>
          <w:sz w:val="24"/>
          <w:szCs w:val="24"/>
          <w:lang w:val="es-ES"/>
        </w:rPr>
        <w:t>leer implica una relación entre el sujeto y el objeto, así como la interpretación del código que se le da al texto a través de los sentidos.</w:t>
      </w:r>
    </w:p>
    <w:p w14:paraId="002EC612" w14:textId="24FF24F8" w:rsidR="00C81CE3" w:rsidRDefault="00C81CE3" w:rsidP="009D6035">
      <w:pPr>
        <w:spacing w:line="360" w:lineRule="auto"/>
        <w:ind w:firstLine="708"/>
        <w:jc w:val="both"/>
        <w:rPr>
          <w:rFonts w:ascii="Times New Roman" w:hAnsi="Times New Roman" w:cs="Times New Roman"/>
          <w:sz w:val="24"/>
          <w:szCs w:val="24"/>
          <w:lang w:val="es-ES"/>
        </w:rPr>
      </w:pPr>
      <w:bookmarkStart w:id="1" w:name="_Hlk163889088"/>
      <w:r w:rsidRPr="00465B95">
        <w:rPr>
          <w:rFonts w:ascii="Times New Roman" w:hAnsi="Times New Roman" w:cs="Times New Roman"/>
          <w:sz w:val="24"/>
          <w:szCs w:val="24"/>
          <w:lang w:val="es-ES"/>
        </w:rPr>
        <w:t>Ramírez</w:t>
      </w:r>
      <w:bookmarkEnd w:id="1"/>
      <w:r w:rsidRPr="00465B95">
        <w:rPr>
          <w:rFonts w:ascii="Times New Roman" w:hAnsi="Times New Roman" w:cs="Times New Roman"/>
          <w:sz w:val="24"/>
          <w:szCs w:val="24"/>
          <w:lang w:val="es-ES"/>
        </w:rPr>
        <w:t xml:space="preserve"> (</w:t>
      </w:r>
      <w:r w:rsidR="00317F74">
        <w:rPr>
          <w:rFonts w:ascii="Times New Roman" w:hAnsi="Times New Roman" w:cs="Times New Roman"/>
          <w:sz w:val="24"/>
          <w:szCs w:val="24"/>
        </w:rPr>
        <w:t xml:space="preserve">21 de agosto de </w:t>
      </w:r>
      <w:r w:rsidRPr="00465B95">
        <w:rPr>
          <w:rFonts w:ascii="Times New Roman" w:hAnsi="Times New Roman" w:cs="Times New Roman"/>
          <w:sz w:val="24"/>
          <w:szCs w:val="24"/>
          <w:lang w:val="es-ES"/>
        </w:rPr>
        <w:t xml:space="preserve">2017) destaca </w:t>
      </w:r>
      <w:proofErr w:type="gramStart"/>
      <w:r w:rsidRPr="00465B95">
        <w:rPr>
          <w:rFonts w:ascii="Times New Roman" w:hAnsi="Times New Roman" w:cs="Times New Roman"/>
          <w:sz w:val="24"/>
          <w:szCs w:val="24"/>
          <w:lang w:val="es-ES"/>
        </w:rPr>
        <w:t>que</w:t>
      </w:r>
      <w:proofErr w:type="gramEnd"/>
      <w:r w:rsidRPr="00465B95">
        <w:rPr>
          <w:rFonts w:ascii="Times New Roman" w:hAnsi="Times New Roman" w:cs="Times New Roman"/>
          <w:sz w:val="24"/>
          <w:szCs w:val="24"/>
          <w:lang w:val="es-ES"/>
        </w:rPr>
        <w:t xml:space="preserve"> en los niveles de preparatoria o licenciatura, el concepto de comprensión es más amplio, </w:t>
      </w:r>
      <w:r>
        <w:rPr>
          <w:rFonts w:ascii="Times New Roman" w:hAnsi="Times New Roman" w:cs="Times New Roman"/>
          <w:sz w:val="24"/>
          <w:szCs w:val="24"/>
          <w:lang w:val="es-ES"/>
        </w:rPr>
        <w:t>pues abarca</w:t>
      </w:r>
      <w:r w:rsidRPr="00465B95">
        <w:rPr>
          <w:rFonts w:ascii="Times New Roman" w:hAnsi="Times New Roman" w:cs="Times New Roman"/>
          <w:sz w:val="24"/>
          <w:szCs w:val="24"/>
          <w:lang w:val="es-ES"/>
        </w:rPr>
        <w:t xml:space="preserve"> la capacidad de entender, justificar o analizar. Señala</w:t>
      </w:r>
      <w:r>
        <w:rPr>
          <w:rFonts w:ascii="Times New Roman" w:hAnsi="Times New Roman" w:cs="Times New Roman"/>
          <w:sz w:val="24"/>
          <w:szCs w:val="24"/>
          <w:lang w:val="es-ES"/>
        </w:rPr>
        <w:t>,</w:t>
      </w:r>
      <w:r w:rsidRPr="00465B95">
        <w:rPr>
          <w:rFonts w:ascii="Times New Roman" w:hAnsi="Times New Roman" w:cs="Times New Roman"/>
          <w:sz w:val="24"/>
          <w:szCs w:val="24"/>
          <w:lang w:val="es-ES"/>
        </w:rPr>
        <w:t xml:space="preserve"> además</w:t>
      </w:r>
      <w:r>
        <w:rPr>
          <w:rFonts w:ascii="Times New Roman" w:hAnsi="Times New Roman" w:cs="Times New Roman"/>
          <w:sz w:val="24"/>
          <w:szCs w:val="24"/>
          <w:lang w:val="es-ES"/>
        </w:rPr>
        <w:t>,</w:t>
      </w:r>
      <w:r w:rsidRPr="00465B95">
        <w:rPr>
          <w:rFonts w:ascii="Times New Roman" w:hAnsi="Times New Roman" w:cs="Times New Roman"/>
          <w:sz w:val="24"/>
          <w:szCs w:val="24"/>
          <w:lang w:val="es-ES"/>
        </w:rPr>
        <w:t xml:space="preserve"> que las habilidades necesarias para la comprensión lectora en estos niveles educativos incluyen el uso de conocimientos previos, la anticipación, la predicción, la observación, la monitorización, la inferencia, la paráfrasis, el análisis y la conclusión. </w:t>
      </w:r>
      <w:r>
        <w:rPr>
          <w:rFonts w:ascii="Times New Roman" w:hAnsi="Times New Roman" w:cs="Times New Roman"/>
          <w:sz w:val="24"/>
          <w:szCs w:val="24"/>
          <w:lang w:val="es-ES"/>
        </w:rPr>
        <w:t>Así, l</w:t>
      </w:r>
      <w:r w:rsidRPr="00465B95">
        <w:rPr>
          <w:rFonts w:ascii="Times New Roman" w:hAnsi="Times New Roman" w:cs="Times New Roman"/>
          <w:sz w:val="24"/>
          <w:szCs w:val="24"/>
          <w:lang w:val="es-ES"/>
        </w:rPr>
        <w:t xml:space="preserve">a comprensión de lectura se manifiesta en distintos niveles de profundidad, ya que los lectores perciben y comprenden el texto de manera diferente. </w:t>
      </w:r>
      <w:r>
        <w:rPr>
          <w:rFonts w:ascii="Times New Roman" w:hAnsi="Times New Roman" w:cs="Times New Roman"/>
          <w:sz w:val="24"/>
          <w:szCs w:val="24"/>
          <w:lang w:val="es-ES"/>
        </w:rPr>
        <w:t xml:space="preserve">Aunado a esto, el autor explica que </w:t>
      </w:r>
      <w:r w:rsidRPr="00465B95">
        <w:rPr>
          <w:rFonts w:ascii="Times New Roman" w:hAnsi="Times New Roman" w:cs="Times New Roman"/>
          <w:sz w:val="24"/>
          <w:szCs w:val="24"/>
          <w:lang w:val="es-ES"/>
        </w:rPr>
        <w:t xml:space="preserve">la implementación de estrategias </w:t>
      </w:r>
      <w:r>
        <w:rPr>
          <w:rFonts w:ascii="Times New Roman" w:hAnsi="Times New Roman" w:cs="Times New Roman"/>
          <w:sz w:val="24"/>
          <w:szCs w:val="24"/>
          <w:lang w:val="es-ES"/>
        </w:rPr>
        <w:t>adecuadas puede hacer que</w:t>
      </w:r>
      <w:r w:rsidRPr="00465B95">
        <w:rPr>
          <w:rFonts w:ascii="Times New Roman" w:hAnsi="Times New Roman" w:cs="Times New Roman"/>
          <w:sz w:val="24"/>
          <w:szCs w:val="24"/>
          <w:lang w:val="es-ES"/>
        </w:rPr>
        <w:t xml:space="preserve"> el proceso de comprensión</w:t>
      </w:r>
      <w:r>
        <w:rPr>
          <w:rFonts w:ascii="Times New Roman" w:hAnsi="Times New Roman" w:cs="Times New Roman"/>
          <w:sz w:val="24"/>
          <w:szCs w:val="24"/>
          <w:lang w:val="es-ES"/>
        </w:rPr>
        <w:t xml:space="preserve"> mejore</w:t>
      </w:r>
      <w:r w:rsidRPr="00465B95">
        <w:rPr>
          <w:rFonts w:ascii="Times New Roman" w:hAnsi="Times New Roman" w:cs="Times New Roman"/>
          <w:sz w:val="24"/>
          <w:szCs w:val="24"/>
          <w:lang w:val="es-ES"/>
        </w:rPr>
        <w:t>.</w:t>
      </w:r>
    </w:p>
    <w:p w14:paraId="1D715511" w14:textId="77777777" w:rsidR="00C81CE3" w:rsidRDefault="00C81CE3" w:rsidP="009D6035">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En concordancia con la última idea</w:t>
      </w:r>
      <w:r w:rsidRPr="00465B95">
        <w:rPr>
          <w:rFonts w:ascii="Times New Roman" w:hAnsi="Times New Roman" w:cs="Times New Roman"/>
          <w:sz w:val="24"/>
          <w:szCs w:val="24"/>
          <w:lang w:val="es-ES"/>
        </w:rPr>
        <w:t xml:space="preserve">, Garavito (2008) implementó un programa de mejora en la comprensión lectora durante cuatro meses, </w:t>
      </w:r>
      <w:r>
        <w:rPr>
          <w:rFonts w:ascii="Times New Roman" w:hAnsi="Times New Roman" w:cs="Times New Roman"/>
          <w:sz w:val="24"/>
          <w:szCs w:val="24"/>
          <w:lang w:val="es-ES"/>
        </w:rPr>
        <w:t>el cual demostró</w:t>
      </w:r>
      <w:r w:rsidRPr="00465B95">
        <w:rPr>
          <w:rFonts w:ascii="Times New Roman" w:hAnsi="Times New Roman" w:cs="Times New Roman"/>
          <w:sz w:val="24"/>
          <w:szCs w:val="24"/>
          <w:lang w:val="es-ES"/>
        </w:rPr>
        <w:t xml:space="preserve"> la importancia de desarrollar </w:t>
      </w:r>
      <w:r>
        <w:rPr>
          <w:rFonts w:ascii="Times New Roman" w:hAnsi="Times New Roman" w:cs="Times New Roman"/>
          <w:sz w:val="24"/>
          <w:szCs w:val="24"/>
          <w:lang w:val="es-ES"/>
        </w:rPr>
        <w:t>dicha habilidad al momento de enfrentarse a un texto</w:t>
      </w:r>
      <w:r w:rsidRPr="00465B95">
        <w:rPr>
          <w:rFonts w:ascii="Times New Roman" w:hAnsi="Times New Roman" w:cs="Times New Roman"/>
          <w:sz w:val="24"/>
          <w:szCs w:val="24"/>
          <w:lang w:val="es-ES"/>
        </w:rPr>
        <w:t>.</w:t>
      </w:r>
    </w:p>
    <w:p w14:paraId="2BB9C3BF" w14:textId="77777777" w:rsidR="00C81CE3" w:rsidRPr="00465B95" w:rsidRDefault="00C81CE3" w:rsidP="009D6035">
      <w:pPr>
        <w:spacing w:line="360" w:lineRule="auto"/>
        <w:ind w:firstLine="708"/>
        <w:jc w:val="both"/>
        <w:rPr>
          <w:rFonts w:ascii="Times New Roman" w:hAnsi="Times New Roman" w:cs="Times New Roman"/>
          <w:sz w:val="24"/>
          <w:szCs w:val="24"/>
          <w:lang w:val="es-ES"/>
        </w:rPr>
      </w:pPr>
    </w:p>
    <w:p w14:paraId="0EBD7B27" w14:textId="77777777" w:rsidR="00533171" w:rsidRPr="009D6035" w:rsidRDefault="000E39B6" w:rsidP="00EE7BDA">
      <w:pPr>
        <w:pStyle w:val="NormalWeb"/>
        <w:spacing w:before="0" w:beforeAutospacing="0" w:after="0" w:afterAutospacing="0" w:line="360" w:lineRule="auto"/>
        <w:jc w:val="center"/>
        <w:rPr>
          <w:sz w:val="32"/>
          <w:szCs w:val="32"/>
        </w:rPr>
      </w:pPr>
      <w:bookmarkStart w:id="2" w:name="_Hlk163749412"/>
      <w:r w:rsidRPr="009D6035">
        <w:rPr>
          <w:b/>
          <w:sz w:val="32"/>
          <w:szCs w:val="32"/>
          <w:lang w:val="es-MX"/>
        </w:rPr>
        <w:t>Metodología</w:t>
      </w:r>
    </w:p>
    <w:bookmarkEnd w:id="2"/>
    <w:p w14:paraId="2CE1258F" w14:textId="77777777" w:rsidR="00C81CE3" w:rsidRDefault="00C81CE3" w:rsidP="00C81CE3">
      <w:pPr>
        <w:spacing w:line="360" w:lineRule="auto"/>
        <w:ind w:firstLine="708"/>
        <w:jc w:val="both"/>
        <w:rPr>
          <w:rFonts w:ascii="Times New Roman" w:hAnsi="Times New Roman" w:cs="Times New Roman"/>
          <w:sz w:val="24"/>
          <w:szCs w:val="24"/>
          <w:lang w:val="es-ES"/>
        </w:rPr>
      </w:pPr>
      <w:r w:rsidRPr="00465B95">
        <w:rPr>
          <w:rFonts w:ascii="Times New Roman" w:hAnsi="Times New Roman" w:cs="Times New Roman"/>
          <w:sz w:val="24"/>
          <w:szCs w:val="24"/>
          <w:lang w:val="es-ES"/>
        </w:rPr>
        <w:t>La metodología empleada en esta investigación adopt</w:t>
      </w:r>
      <w:r>
        <w:rPr>
          <w:rFonts w:ascii="Times New Roman" w:hAnsi="Times New Roman" w:cs="Times New Roman"/>
          <w:sz w:val="24"/>
          <w:szCs w:val="24"/>
          <w:lang w:val="es-ES"/>
        </w:rPr>
        <w:t>ó</w:t>
      </w:r>
      <w:r w:rsidRPr="00465B95">
        <w:rPr>
          <w:rFonts w:ascii="Times New Roman" w:hAnsi="Times New Roman" w:cs="Times New Roman"/>
          <w:sz w:val="24"/>
          <w:szCs w:val="24"/>
          <w:lang w:val="es-ES"/>
        </w:rPr>
        <w:t xml:space="preserve"> un enfoque cuantitativo correlacional, </w:t>
      </w:r>
      <w:r>
        <w:rPr>
          <w:rFonts w:ascii="Times New Roman" w:hAnsi="Times New Roman" w:cs="Times New Roman"/>
          <w:sz w:val="24"/>
          <w:szCs w:val="24"/>
          <w:lang w:val="es-ES"/>
        </w:rPr>
        <w:t>con</w:t>
      </w:r>
      <w:r w:rsidRPr="00465B95">
        <w:rPr>
          <w:rFonts w:ascii="Times New Roman" w:hAnsi="Times New Roman" w:cs="Times New Roman"/>
          <w:sz w:val="24"/>
          <w:szCs w:val="24"/>
          <w:lang w:val="es-ES"/>
        </w:rPr>
        <w:t xml:space="preserve"> un diseño no experimental</w:t>
      </w:r>
      <w:r>
        <w:rPr>
          <w:rFonts w:ascii="Times New Roman" w:hAnsi="Times New Roman" w:cs="Times New Roman"/>
          <w:sz w:val="24"/>
          <w:szCs w:val="24"/>
          <w:lang w:val="es-ES"/>
        </w:rPr>
        <w:t xml:space="preserve"> y</w:t>
      </w:r>
      <w:r w:rsidRPr="00465B95">
        <w:rPr>
          <w:rFonts w:ascii="Times New Roman" w:hAnsi="Times New Roman" w:cs="Times New Roman"/>
          <w:sz w:val="24"/>
          <w:szCs w:val="24"/>
          <w:lang w:val="es-ES"/>
        </w:rPr>
        <w:t xml:space="preserve"> transversal. </w:t>
      </w:r>
      <w:r>
        <w:rPr>
          <w:rFonts w:ascii="Times New Roman" w:hAnsi="Times New Roman" w:cs="Times New Roman"/>
          <w:sz w:val="24"/>
          <w:szCs w:val="24"/>
          <w:lang w:val="es-ES"/>
        </w:rPr>
        <w:t>Asimismo, s</w:t>
      </w:r>
      <w:r w:rsidRPr="00465B95">
        <w:rPr>
          <w:rFonts w:ascii="Times New Roman" w:hAnsi="Times New Roman" w:cs="Times New Roman"/>
          <w:sz w:val="24"/>
          <w:szCs w:val="24"/>
          <w:lang w:val="es-ES"/>
        </w:rPr>
        <w:t xml:space="preserve">e llevó a cabo una prueba piloto utilizando los datos generados por la prueba PLANEA 2017, la cual fue administrada a los estudiantes del tercer grado de la Escuela Secundaria Técnica </w:t>
      </w:r>
      <w:r>
        <w:rPr>
          <w:rFonts w:ascii="Times New Roman" w:hAnsi="Times New Roman" w:cs="Times New Roman"/>
          <w:sz w:val="24"/>
          <w:szCs w:val="24"/>
          <w:lang w:val="es-ES"/>
        </w:rPr>
        <w:t>nr</w:t>
      </w:r>
      <w:r w:rsidRPr="00465B95">
        <w:rPr>
          <w:rFonts w:ascii="Times New Roman" w:hAnsi="Times New Roman" w:cs="Times New Roman"/>
          <w:sz w:val="24"/>
          <w:szCs w:val="24"/>
          <w:lang w:val="es-ES"/>
        </w:rPr>
        <w:t xml:space="preserve">o. 71 Adolfo López Mateos, ubicada en Torreón, Coahuila. </w:t>
      </w:r>
    </w:p>
    <w:p w14:paraId="546ABBC9" w14:textId="77777777" w:rsidR="00C81CE3" w:rsidRDefault="00C81CE3" w:rsidP="00C81CE3">
      <w:pPr>
        <w:spacing w:line="360" w:lineRule="auto"/>
        <w:ind w:firstLine="708"/>
        <w:jc w:val="both"/>
        <w:rPr>
          <w:rFonts w:ascii="Times New Roman" w:hAnsi="Times New Roman" w:cs="Times New Roman"/>
          <w:sz w:val="24"/>
          <w:szCs w:val="24"/>
          <w:lang w:val="es-ES"/>
        </w:rPr>
      </w:pPr>
      <w:r w:rsidRPr="00465B95">
        <w:rPr>
          <w:rFonts w:ascii="Times New Roman" w:hAnsi="Times New Roman" w:cs="Times New Roman"/>
          <w:sz w:val="24"/>
          <w:szCs w:val="24"/>
          <w:lang w:val="es-ES"/>
        </w:rPr>
        <w:t>La muestra estuvo compuesta por 113 alumnos, seleccionados aleatoriamente, de los cuales se registraron tanto los reactivos acertados como los no acertados en las áreas de comprensión lectora y matemáticas.</w:t>
      </w:r>
    </w:p>
    <w:p w14:paraId="1DB300E3" w14:textId="77777777" w:rsidR="00C81CE3" w:rsidRPr="00465B95" w:rsidRDefault="00C81CE3" w:rsidP="00C81CE3">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w:t>
      </w:r>
      <w:r w:rsidRPr="00465B95">
        <w:rPr>
          <w:rFonts w:ascii="Times New Roman" w:hAnsi="Times New Roman" w:cs="Times New Roman"/>
          <w:sz w:val="24"/>
          <w:szCs w:val="24"/>
          <w:lang w:val="es-ES"/>
        </w:rPr>
        <w:t>l procesamiento de los datos se realizó utilizando el paquete estadístico SPSS (</w:t>
      </w:r>
      <w:proofErr w:type="spellStart"/>
      <w:r w:rsidRPr="00465B95">
        <w:rPr>
          <w:rFonts w:ascii="Times New Roman" w:hAnsi="Times New Roman" w:cs="Times New Roman"/>
          <w:sz w:val="24"/>
          <w:szCs w:val="24"/>
          <w:lang w:val="es-ES"/>
        </w:rPr>
        <w:t>Statistical</w:t>
      </w:r>
      <w:proofErr w:type="spellEnd"/>
      <w:r w:rsidRPr="00465B95">
        <w:rPr>
          <w:rFonts w:ascii="Times New Roman" w:hAnsi="Times New Roman" w:cs="Times New Roman"/>
          <w:sz w:val="24"/>
          <w:szCs w:val="24"/>
          <w:lang w:val="es-ES"/>
        </w:rPr>
        <w:t xml:space="preserve"> </w:t>
      </w:r>
      <w:proofErr w:type="spellStart"/>
      <w:r w:rsidRPr="00465B95">
        <w:rPr>
          <w:rFonts w:ascii="Times New Roman" w:hAnsi="Times New Roman" w:cs="Times New Roman"/>
          <w:sz w:val="24"/>
          <w:szCs w:val="24"/>
          <w:lang w:val="es-ES"/>
        </w:rPr>
        <w:t>Package</w:t>
      </w:r>
      <w:proofErr w:type="spellEnd"/>
      <w:r w:rsidRPr="00465B95">
        <w:rPr>
          <w:rFonts w:ascii="Times New Roman" w:hAnsi="Times New Roman" w:cs="Times New Roman"/>
          <w:sz w:val="24"/>
          <w:szCs w:val="24"/>
          <w:lang w:val="es-ES"/>
        </w:rPr>
        <w:t xml:space="preserve"> </w:t>
      </w:r>
      <w:proofErr w:type="spellStart"/>
      <w:r w:rsidRPr="00465B95">
        <w:rPr>
          <w:rFonts w:ascii="Times New Roman" w:hAnsi="Times New Roman" w:cs="Times New Roman"/>
          <w:sz w:val="24"/>
          <w:szCs w:val="24"/>
          <w:lang w:val="es-ES"/>
        </w:rPr>
        <w:t>for</w:t>
      </w:r>
      <w:proofErr w:type="spellEnd"/>
      <w:r w:rsidRPr="00465B95">
        <w:rPr>
          <w:rFonts w:ascii="Times New Roman" w:hAnsi="Times New Roman" w:cs="Times New Roman"/>
          <w:sz w:val="24"/>
          <w:szCs w:val="24"/>
          <w:lang w:val="es-ES"/>
        </w:rPr>
        <w:t xml:space="preserve"> Social </w:t>
      </w:r>
      <w:proofErr w:type="spellStart"/>
      <w:r w:rsidRPr="00465B95">
        <w:rPr>
          <w:rFonts w:ascii="Times New Roman" w:hAnsi="Times New Roman" w:cs="Times New Roman"/>
          <w:sz w:val="24"/>
          <w:szCs w:val="24"/>
          <w:lang w:val="es-ES"/>
        </w:rPr>
        <w:t>Sciences</w:t>
      </w:r>
      <w:proofErr w:type="spellEnd"/>
      <w:r w:rsidRPr="00465B95">
        <w:rPr>
          <w:rFonts w:ascii="Times New Roman" w:hAnsi="Times New Roman" w:cs="Times New Roman"/>
          <w:sz w:val="24"/>
          <w:szCs w:val="24"/>
          <w:lang w:val="es-ES"/>
        </w:rPr>
        <w:t xml:space="preserve">), versión 25, para obtener las tablas correspondientes. Además, las figuras fueron elaboradas utilizando la hoja de cálculo Excel de Office. </w:t>
      </w:r>
    </w:p>
    <w:p w14:paraId="705D17FA" w14:textId="77777777" w:rsidR="00DC17A0" w:rsidRPr="00534895" w:rsidRDefault="00DC17A0" w:rsidP="000E39B6">
      <w:pPr>
        <w:pStyle w:val="NormalWeb"/>
        <w:spacing w:before="0" w:beforeAutospacing="0" w:after="0" w:afterAutospacing="0" w:line="360" w:lineRule="auto"/>
        <w:jc w:val="center"/>
        <w:rPr>
          <w:b/>
          <w:bCs/>
        </w:rPr>
      </w:pPr>
    </w:p>
    <w:p w14:paraId="148F73D5" w14:textId="77777777" w:rsidR="00FC7F92" w:rsidRPr="000E39B6" w:rsidRDefault="00282CCA" w:rsidP="000E39B6">
      <w:pPr>
        <w:pStyle w:val="NormalWeb"/>
        <w:spacing w:before="0" w:beforeAutospacing="0" w:after="0" w:afterAutospacing="0" w:line="360" w:lineRule="auto"/>
        <w:jc w:val="center"/>
        <w:rPr>
          <w:b/>
          <w:bCs/>
          <w:sz w:val="32"/>
          <w:szCs w:val="32"/>
        </w:rPr>
      </w:pPr>
      <w:bookmarkStart w:id="3" w:name="_Hlk163749488"/>
      <w:r>
        <w:rPr>
          <w:b/>
          <w:bCs/>
          <w:sz w:val="32"/>
          <w:szCs w:val="32"/>
        </w:rPr>
        <w:t>Resultados</w:t>
      </w:r>
    </w:p>
    <w:p w14:paraId="5D6F451D" w14:textId="77777777" w:rsidR="003C096C" w:rsidRDefault="003C096C" w:rsidP="003C096C">
      <w:pPr>
        <w:spacing w:line="360" w:lineRule="auto"/>
        <w:ind w:firstLine="708"/>
        <w:jc w:val="both"/>
        <w:rPr>
          <w:rFonts w:ascii="Times New Roman" w:hAnsi="Times New Roman" w:cs="Times New Roman"/>
          <w:sz w:val="24"/>
          <w:szCs w:val="24"/>
          <w:lang w:val="es-ES"/>
        </w:rPr>
      </w:pPr>
      <w:bookmarkStart w:id="4" w:name="_Hlk163749782"/>
      <w:bookmarkEnd w:id="3"/>
      <w:r w:rsidRPr="00465B95">
        <w:rPr>
          <w:rFonts w:ascii="Times New Roman" w:hAnsi="Times New Roman" w:cs="Times New Roman"/>
          <w:sz w:val="24"/>
          <w:szCs w:val="24"/>
          <w:lang w:val="es-ES"/>
        </w:rPr>
        <w:t xml:space="preserve">Con el propósito de seleccionar el estadístico de prueba más apropiado para evaluar la fuerza de asociación entre las variables, se </w:t>
      </w:r>
      <w:r>
        <w:rPr>
          <w:rFonts w:ascii="Times New Roman" w:hAnsi="Times New Roman" w:cs="Times New Roman"/>
          <w:sz w:val="24"/>
          <w:szCs w:val="24"/>
          <w:lang w:val="es-ES"/>
        </w:rPr>
        <w:t>efectuó</w:t>
      </w:r>
      <w:r w:rsidRPr="00465B95">
        <w:rPr>
          <w:rFonts w:ascii="Times New Roman" w:hAnsi="Times New Roman" w:cs="Times New Roman"/>
          <w:sz w:val="24"/>
          <w:szCs w:val="24"/>
          <w:lang w:val="es-ES"/>
        </w:rPr>
        <w:t xml:space="preserve"> un análisis de normalidad para ambas variables utilizando el </w:t>
      </w:r>
      <w:r w:rsidRPr="008A5796">
        <w:rPr>
          <w:rFonts w:ascii="Times New Roman" w:hAnsi="Times New Roman" w:cs="Times New Roman"/>
          <w:i/>
          <w:iCs/>
          <w:sz w:val="24"/>
          <w:szCs w:val="24"/>
          <w:lang w:val="es-ES"/>
        </w:rPr>
        <w:t>software</w:t>
      </w:r>
      <w:r w:rsidRPr="00465B95">
        <w:rPr>
          <w:rFonts w:ascii="Times New Roman" w:hAnsi="Times New Roman" w:cs="Times New Roman"/>
          <w:sz w:val="24"/>
          <w:szCs w:val="24"/>
          <w:lang w:val="es-ES"/>
        </w:rPr>
        <w:t xml:space="preserve"> estadístico SPSS. Los resultados obtenidos fueron los siguientes:</w:t>
      </w:r>
    </w:p>
    <w:p w14:paraId="10BB4D91" w14:textId="77777777" w:rsidR="003C096C" w:rsidRPr="009D6035" w:rsidRDefault="003C096C" w:rsidP="003C096C">
      <w:pPr>
        <w:spacing w:line="360" w:lineRule="auto"/>
        <w:jc w:val="center"/>
        <w:rPr>
          <w:rFonts w:ascii="Times New Roman" w:hAnsi="Times New Roman" w:cs="Times New Roman"/>
          <w:sz w:val="24"/>
          <w:szCs w:val="24"/>
          <w:lang w:val="es-ES"/>
        </w:rPr>
      </w:pPr>
      <w:r w:rsidRPr="009D6035">
        <w:rPr>
          <w:rFonts w:ascii="Times New Roman" w:eastAsia="Times New Roman" w:hAnsi="Times New Roman" w:cs="Times New Roman"/>
          <w:b/>
          <w:bCs/>
          <w:sz w:val="24"/>
          <w:szCs w:val="24"/>
          <w:lang w:eastAsia="es-MX"/>
        </w:rPr>
        <w:lastRenderedPageBreak/>
        <w:t>Tabla 1.</w:t>
      </w:r>
      <w:r w:rsidRPr="009D6035">
        <w:rPr>
          <w:rFonts w:ascii="Times New Roman" w:eastAsia="Times New Roman" w:hAnsi="Times New Roman" w:cs="Times New Roman"/>
          <w:sz w:val="24"/>
          <w:szCs w:val="24"/>
          <w:lang w:eastAsia="es-MX"/>
        </w:rPr>
        <w:t xml:space="preserve"> Prueba de normalidad</w:t>
      </w:r>
    </w:p>
    <w:tbl>
      <w:tblPr>
        <w:tblW w:w="8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15"/>
        <w:gridCol w:w="1205"/>
        <w:gridCol w:w="810"/>
        <w:gridCol w:w="1198"/>
        <w:gridCol w:w="1197"/>
        <w:gridCol w:w="884"/>
        <w:gridCol w:w="886"/>
      </w:tblGrid>
      <w:tr w:rsidR="003C096C" w:rsidRPr="008A5796" w14:paraId="42C73A34" w14:textId="77777777" w:rsidTr="00EE7BDA">
        <w:trPr>
          <w:trHeight w:val="303"/>
        </w:trPr>
        <w:tc>
          <w:tcPr>
            <w:tcW w:w="2315" w:type="dxa"/>
            <w:shd w:val="clear" w:color="auto" w:fill="auto"/>
            <w:noWrap/>
            <w:vAlign w:val="bottom"/>
            <w:hideMark/>
          </w:tcPr>
          <w:p w14:paraId="7C9B79F5" w14:textId="77777777" w:rsidR="003C096C" w:rsidRPr="008A5796" w:rsidRDefault="003C096C" w:rsidP="009E4203">
            <w:pPr>
              <w:spacing w:line="360" w:lineRule="auto"/>
              <w:jc w:val="both"/>
              <w:rPr>
                <w:rFonts w:ascii="Times New Roman" w:eastAsia="Times New Roman" w:hAnsi="Times New Roman" w:cs="Times New Roman"/>
                <w:sz w:val="20"/>
                <w:szCs w:val="20"/>
                <w:lang w:eastAsia="es-MX"/>
              </w:rPr>
            </w:pPr>
          </w:p>
        </w:tc>
        <w:tc>
          <w:tcPr>
            <w:tcW w:w="3213" w:type="dxa"/>
            <w:gridSpan w:val="3"/>
            <w:shd w:val="clear" w:color="auto" w:fill="auto"/>
            <w:noWrap/>
            <w:vAlign w:val="bottom"/>
            <w:hideMark/>
          </w:tcPr>
          <w:p w14:paraId="73A29460" w14:textId="77777777" w:rsidR="003C096C" w:rsidRPr="009D6035" w:rsidRDefault="003C096C" w:rsidP="009E4203">
            <w:pPr>
              <w:spacing w:line="360" w:lineRule="auto"/>
              <w:jc w:val="center"/>
              <w:rPr>
                <w:rFonts w:ascii="Times New Roman" w:eastAsia="Times New Roman" w:hAnsi="Times New Roman" w:cs="Times New Roman"/>
                <w:sz w:val="24"/>
                <w:szCs w:val="24"/>
                <w:lang w:eastAsia="es-MX"/>
              </w:rPr>
            </w:pPr>
            <w:r w:rsidRPr="009D6035">
              <w:rPr>
                <w:rFonts w:ascii="Times New Roman" w:eastAsia="Times New Roman" w:hAnsi="Times New Roman" w:cs="Times New Roman"/>
                <w:sz w:val="24"/>
                <w:szCs w:val="24"/>
                <w:lang w:eastAsia="es-MX"/>
              </w:rPr>
              <w:t>Kolmogorov-Smirnov</w:t>
            </w:r>
          </w:p>
        </w:tc>
        <w:tc>
          <w:tcPr>
            <w:tcW w:w="2967" w:type="dxa"/>
            <w:gridSpan w:val="3"/>
            <w:shd w:val="clear" w:color="auto" w:fill="auto"/>
            <w:noWrap/>
            <w:vAlign w:val="bottom"/>
            <w:hideMark/>
          </w:tcPr>
          <w:p w14:paraId="3F232820" w14:textId="77777777" w:rsidR="003C096C" w:rsidRPr="009D6035" w:rsidRDefault="003C096C" w:rsidP="009E4203">
            <w:pPr>
              <w:spacing w:line="360" w:lineRule="auto"/>
              <w:jc w:val="center"/>
              <w:rPr>
                <w:rFonts w:ascii="Times New Roman" w:eastAsia="Times New Roman" w:hAnsi="Times New Roman" w:cs="Times New Roman"/>
                <w:sz w:val="24"/>
                <w:szCs w:val="24"/>
                <w:lang w:eastAsia="es-MX"/>
              </w:rPr>
            </w:pPr>
            <w:r w:rsidRPr="009D6035">
              <w:rPr>
                <w:rFonts w:ascii="Times New Roman" w:eastAsia="Times New Roman" w:hAnsi="Times New Roman" w:cs="Times New Roman"/>
                <w:sz w:val="24"/>
                <w:szCs w:val="24"/>
                <w:lang w:eastAsia="es-MX"/>
              </w:rPr>
              <w:t>Shapiro-Wilk</w:t>
            </w:r>
          </w:p>
        </w:tc>
      </w:tr>
      <w:tr w:rsidR="003C096C" w:rsidRPr="008A5796" w14:paraId="2FB94135" w14:textId="77777777" w:rsidTr="00EE7BDA">
        <w:trPr>
          <w:trHeight w:val="303"/>
        </w:trPr>
        <w:tc>
          <w:tcPr>
            <w:tcW w:w="2315" w:type="dxa"/>
            <w:shd w:val="clear" w:color="auto" w:fill="auto"/>
            <w:noWrap/>
            <w:vAlign w:val="bottom"/>
            <w:hideMark/>
          </w:tcPr>
          <w:p w14:paraId="7010A9EA" w14:textId="77777777" w:rsidR="003C096C" w:rsidRPr="008A5796" w:rsidRDefault="003C096C" w:rsidP="009E4203">
            <w:pPr>
              <w:spacing w:line="360" w:lineRule="auto"/>
              <w:jc w:val="both"/>
              <w:rPr>
                <w:rFonts w:ascii="Times New Roman" w:eastAsia="Times New Roman" w:hAnsi="Times New Roman" w:cs="Times New Roman"/>
                <w:sz w:val="20"/>
                <w:szCs w:val="20"/>
                <w:lang w:eastAsia="es-MX"/>
              </w:rPr>
            </w:pPr>
          </w:p>
        </w:tc>
        <w:tc>
          <w:tcPr>
            <w:tcW w:w="1205" w:type="dxa"/>
            <w:shd w:val="clear" w:color="auto" w:fill="auto"/>
            <w:noWrap/>
            <w:vAlign w:val="bottom"/>
            <w:hideMark/>
          </w:tcPr>
          <w:p w14:paraId="4A536BB8" w14:textId="77777777" w:rsidR="003C096C" w:rsidRPr="009D6035" w:rsidRDefault="003C096C" w:rsidP="009E4203">
            <w:pPr>
              <w:spacing w:line="360" w:lineRule="auto"/>
              <w:jc w:val="both"/>
              <w:rPr>
                <w:rFonts w:ascii="Times New Roman" w:eastAsia="Times New Roman" w:hAnsi="Times New Roman" w:cs="Times New Roman"/>
                <w:sz w:val="24"/>
                <w:szCs w:val="24"/>
                <w:lang w:eastAsia="es-MX"/>
              </w:rPr>
            </w:pPr>
            <w:r w:rsidRPr="009D6035">
              <w:rPr>
                <w:rFonts w:ascii="Times New Roman" w:eastAsia="Times New Roman" w:hAnsi="Times New Roman" w:cs="Times New Roman"/>
                <w:sz w:val="24"/>
                <w:szCs w:val="24"/>
                <w:lang w:eastAsia="es-MX"/>
              </w:rPr>
              <w:t>Estadístico</w:t>
            </w:r>
          </w:p>
        </w:tc>
        <w:tc>
          <w:tcPr>
            <w:tcW w:w="810" w:type="dxa"/>
            <w:shd w:val="clear" w:color="auto" w:fill="auto"/>
            <w:noWrap/>
            <w:vAlign w:val="bottom"/>
            <w:hideMark/>
          </w:tcPr>
          <w:p w14:paraId="7D585977" w14:textId="70F108F0" w:rsidR="003C096C" w:rsidRPr="009D6035" w:rsidRDefault="00534895" w:rsidP="009E4203">
            <w:pPr>
              <w:spacing w:line="360" w:lineRule="auto"/>
              <w:jc w:val="center"/>
              <w:rPr>
                <w:rFonts w:ascii="Times New Roman" w:eastAsia="Times New Roman" w:hAnsi="Times New Roman" w:cs="Times New Roman"/>
                <w:sz w:val="24"/>
                <w:szCs w:val="24"/>
                <w:lang w:eastAsia="es-MX"/>
              </w:rPr>
            </w:pPr>
            <w:r w:rsidRPr="009D6035">
              <w:rPr>
                <w:rFonts w:ascii="Times New Roman" w:eastAsia="Times New Roman" w:hAnsi="Times New Roman" w:cs="Times New Roman"/>
                <w:sz w:val="24"/>
                <w:szCs w:val="24"/>
                <w:lang w:eastAsia="es-MX"/>
              </w:rPr>
              <w:t>G</w:t>
            </w:r>
            <w:r w:rsidR="003C096C" w:rsidRPr="009D6035">
              <w:rPr>
                <w:rFonts w:ascii="Times New Roman" w:eastAsia="Times New Roman" w:hAnsi="Times New Roman" w:cs="Times New Roman"/>
                <w:sz w:val="24"/>
                <w:szCs w:val="24"/>
                <w:lang w:eastAsia="es-MX"/>
              </w:rPr>
              <w:t>l</w:t>
            </w:r>
          </w:p>
        </w:tc>
        <w:tc>
          <w:tcPr>
            <w:tcW w:w="1198" w:type="dxa"/>
            <w:shd w:val="clear" w:color="auto" w:fill="auto"/>
            <w:noWrap/>
            <w:vAlign w:val="bottom"/>
            <w:hideMark/>
          </w:tcPr>
          <w:p w14:paraId="416D3273" w14:textId="77777777" w:rsidR="003C096C" w:rsidRPr="009D6035" w:rsidRDefault="003C096C" w:rsidP="009E4203">
            <w:pPr>
              <w:spacing w:line="360" w:lineRule="auto"/>
              <w:jc w:val="center"/>
              <w:rPr>
                <w:rFonts w:ascii="Times New Roman" w:eastAsia="Times New Roman" w:hAnsi="Times New Roman" w:cs="Times New Roman"/>
                <w:sz w:val="24"/>
                <w:szCs w:val="24"/>
                <w:lang w:eastAsia="es-MX"/>
              </w:rPr>
            </w:pPr>
            <w:r w:rsidRPr="009D6035">
              <w:rPr>
                <w:rFonts w:ascii="Times New Roman" w:eastAsia="Times New Roman" w:hAnsi="Times New Roman" w:cs="Times New Roman"/>
                <w:sz w:val="24"/>
                <w:szCs w:val="24"/>
                <w:lang w:eastAsia="es-MX"/>
              </w:rPr>
              <w:t>Sig.(p-valor)</w:t>
            </w:r>
          </w:p>
        </w:tc>
        <w:tc>
          <w:tcPr>
            <w:tcW w:w="1197" w:type="dxa"/>
            <w:shd w:val="clear" w:color="auto" w:fill="auto"/>
            <w:noWrap/>
            <w:vAlign w:val="bottom"/>
            <w:hideMark/>
          </w:tcPr>
          <w:p w14:paraId="15354850" w14:textId="77777777" w:rsidR="003C096C" w:rsidRPr="009D6035" w:rsidRDefault="003C096C" w:rsidP="009E4203">
            <w:pPr>
              <w:spacing w:line="360" w:lineRule="auto"/>
              <w:jc w:val="center"/>
              <w:rPr>
                <w:rFonts w:ascii="Times New Roman" w:eastAsia="Times New Roman" w:hAnsi="Times New Roman" w:cs="Times New Roman"/>
                <w:sz w:val="24"/>
                <w:szCs w:val="24"/>
                <w:lang w:eastAsia="es-MX"/>
              </w:rPr>
            </w:pPr>
            <w:r w:rsidRPr="009D6035">
              <w:rPr>
                <w:rFonts w:ascii="Times New Roman" w:eastAsia="Times New Roman" w:hAnsi="Times New Roman" w:cs="Times New Roman"/>
                <w:sz w:val="24"/>
                <w:szCs w:val="24"/>
                <w:lang w:eastAsia="es-MX"/>
              </w:rPr>
              <w:t>Estadístico</w:t>
            </w:r>
          </w:p>
        </w:tc>
        <w:tc>
          <w:tcPr>
            <w:tcW w:w="884" w:type="dxa"/>
            <w:shd w:val="clear" w:color="auto" w:fill="auto"/>
            <w:noWrap/>
            <w:vAlign w:val="bottom"/>
            <w:hideMark/>
          </w:tcPr>
          <w:p w14:paraId="3823D312" w14:textId="77777777" w:rsidR="003C096C" w:rsidRPr="009D6035" w:rsidRDefault="003C096C" w:rsidP="009E4203">
            <w:pPr>
              <w:spacing w:line="360" w:lineRule="auto"/>
              <w:jc w:val="center"/>
              <w:rPr>
                <w:rFonts w:ascii="Times New Roman" w:eastAsia="Times New Roman" w:hAnsi="Times New Roman" w:cs="Times New Roman"/>
                <w:sz w:val="24"/>
                <w:szCs w:val="24"/>
                <w:lang w:eastAsia="es-MX"/>
              </w:rPr>
            </w:pPr>
            <w:r w:rsidRPr="009D6035">
              <w:rPr>
                <w:rFonts w:ascii="Times New Roman" w:eastAsia="Times New Roman" w:hAnsi="Times New Roman" w:cs="Times New Roman"/>
                <w:sz w:val="24"/>
                <w:szCs w:val="24"/>
                <w:lang w:eastAsia="es-MX"/>
              </w:rPr>
              <w:t>gl</w:t>
            </w:r>
          </w:p>
        </w:tc>
        <w:tc>
          <w:tcPr>
            <w:tcW w:w="886" w:type="dxa"/>
            <w:shd w:val="clear" w:color="auto" w:fill="auto"/>
            <w:noWrap/>
            <w:vAlign w:val="bottom"/>
            <w:hideMark/>
          </w:tcPr>
          <w:p w14:paraId="5165213F" w14:textId="77777777" w:rsidR="003C096C" w:rsidRPr="009D6035" w:rsidRDefault="003C096C" w:rsidP="009E4203">
            <w:pPr>
              <w:spacing w:line="360" w:lineRule="auto"/>
              <w:jc w:val="center"/>
              <w:rPr>
                <w:rFonts w:ascii="Times New Roman" w:eastAsia="Times New Roman" w:hAnsi="Times New Roman" w:cs="Times New Roman"/>
                <w:sz w:val="24"/>
                <w:szCs w:val="24"/>
                <w:lang w:eastAsia="es-MX"/>
              </w:rPr>
            </w:pPr>
            <w:r w:rsidRPr="009D6035">
              <w:rPr>
                <w:rFonts w:ascii="Times New Roman" w:eastAsia="Times New Roman" w:hAnsi="Times New Roman" w:cs="Times New Roman"/>
                <w:sz w:val="24"/>
                <w:szCs w:val="24"/>
                <w:lang w:eastAsia="es-MX"/>
              </w:rPr>
              <w:t>Sig.</w:t>
            </w:r>
          </w:p>
        </w:tc>
      </w:tr>
      <w:tr w:rsidR="003C096C" w:rsidRPr="008A5796" w14:paraId="04FA3DCE" w14:textId="77777777" w:rsidTr="00EE7BDA">
        <w:trPr>
          <w:trHeight w:val="303"/>
        </w:trPr>
        <w:tc>
          <w:tcPr>
            <w:tcW w:w="2315" w:type="dxa"/>
            <w:shd w:val="clear" w:color="auto" w:fill="auto"/>
            <w:noWrap/>
            <w:vAlign w:val="bottom"/>
            <w:hideMark/>
          </w:tcPr>
          <w:p w14:paraId="7107677E" w14:textId="77777777" w:rsidR="003C096C" w:rsidRPr="009D6035" w:rsidRDefault="003C096C" w:rsidP="009E4203">
            <w:pPr>
              <w:spacing w:line="360" w:lineRule="auto"/>
              <w:jc w:val="both"/>
              <w:rPr>
                <w:rFonts w:ascii="Times New Roman" w:eastAsia="Times New Roman" w:hAnsi="Times New Roman" w:cs="Times New Roman"/>
                <w:sz w:val="24"/>
                <w:szCs w:val="24"/>
                <w:lang w:eastAsia="es-MX"/>
              </w:rPr>
            </w:pPr>
            <w:r w:rsidRPr="009D6035">
              <w:rPr>
                <w:rFonts w:ascii="Times New Roman" w:eastAsia="Times New Roman" w:hAnsi="Times New Roman" w:cs="Times New Roman"/>
                <w:sz w:val="24"/>
                <w:szCs w:val="24"/>
                <w:lang w:eastAsia="es-MX"/>
              </w:rPr>
              <w:t>Comprensión lectora</w:t>
            </w:r>
          </w:p>
        </w:tc>
        <w:tc>
          <w:tcPr>
            <w:tcW w:w="1205" w:type="dxa"/>
            <w:shd w:val="clear" w:color="auto" w:fill="auto"/>
            <w:noWrap/>
            <w:vAlign w:val="bottom"/>
            <w:hideMark/>
          </w:tcPr>
          <w:p w14:paraId="441A336D" w14:textId="77777777" w:rsidR="003C096C" w:rsidRPr="009D6035" w:rsidRDefault="003C096C" w:rsidP="009E4203">
            <w:pPr>
              <w:spacing w:line="360" w:lineRule="auto"/>
              <w:jc w:val="both"/>
              <w:rPr>
                <w:rFonts w:ascii="Times New Roman" w:eastAsia="Times New Roman" w:hAnsi="Times New Roman" w:cs="Times New Roman"/>
                <w:sz w:val="24"/>
                <w:szCs w:val="24"/>
                <w:lang w:eastAsia="es-MX"/>
              </w:rPr>
            </w:pPr>
            <w:r w:rsidRPr="009D6035">
              <w:rPr>
                <w:rFonts w:ascii="Times New Roman" w:eastAsia="Times New Roman" w:hAnsi="Times New Roman" w:cs="Times New Roman"/>
                <w:sz w:val="24"/>
                <w:szCs w:val="24"/>
                <w:lang w:eastAsia="es-MX"/>
              </w:rPr>
              <w:t>0.053</w:t>
            </w:r>
          </w:p>
        </w:tc>
        <w:tc>
          <w:tcPr>
            <w:tcW w:w="810" w:type="dxa"/>
            <w:shd w:val="clear" w:color="auto" w:fill="auto"/>
            <w:noWrap/>
            <w:vAlign w:val="bottom"/>
            <w:hideMark/>
          </w:tcPr>
          <w:p w14:paraId="3C33B0BE" w14:textId="77777777" w:rsidR="003C096C" w:rsidRPr="009D6035" w:rsidRDefault="003C096C" w:rsidP="009E4203">
            <w:pPr>
              <w:spacing w:line="360" w:lineRule="auto"/>
              <w:jc w:val="center"/>
              <w:rPr>
                <w:rFonts w:ascii="Times New Roman" w:eastAsia="Times New Roman" w:hAnsi="Times New Roman" w:cs="Times New Roman"/>
                <w:sz w:val="24"/>
                <w:szCs w:val="24"/>
                <w:lang w:eastAsia="es-MX"/>
              </w:rPr>
            </w:pPr>
            <w:r w:rsidRPr="009D6035">
              <w:rPr>
                <w:rFonts w:ascii="Times New Roman" w:eastAsia="Times New Roman" w:hAnsi="Times New Roman" w:cs="Times New Roman"/>
                <w:sz w:val="24"/>
                <w:szCs w:val="24"/>
                <w:lang w:eastAsia="es-MX"/>
              </w:rPr>
              <w:t>113</w:t>
            </w:r>
          </w:p>
        </w:tc>
        <w:tc>
          <w:tcPr>
            <w:tcW w:w="1198" w:type="dxa"/>
            <w:shd w:val="clear" w:color="auto" w:fill="auto"/>
            <w:noWrap/>
            <w:vAlign w:val="bottom"/>
            <w:hideMark/>
          </w:tcPr>
          <w:p w14:paraId="26104231" w14:textId="77777777" w:rsidR="003C096C" w:rsidRPr="00EE7BDA" w:rsidRDefault="003C096C" w:rsidP="009E4203">
            <w:pPr>
              <w:spacing w:line="360" w:lineRule="auto"/>
              <w:jc w:val="center"/>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.200*</w:t>
            </w:r>
          </w:p>
        </w:tc>
        <w:tc>
          <w:tcPr>
            <w:tcW w:w="1197" w:type="dxa"/>
            <w:shd w:val="clear" w:color="auto" w:fill="auto"/>
            <w:noWrap/>
            <w:vAlign w:val="bottom"/>
            <w:hideMark/>
          </w:tcPr>
          <w:p w14:paraId="58C80B1F" w14:textId="77777777" w:rsidR="003C096C" w:rsidRPr="009D6035" w:rsidRDefault="003C096C" w:rsidP="009E4203">
            <w:pPr>
              <w:spacing w:line="360" w:lineRule="auto"/>
              <w:jc w:val="center"/>
              <w:rPr>
                <w:rFonts w:ascii="Times New Roman" w:eastAsia="Times New Roman" w:hAnsi="Times New Roman" w:cs="Times New Roman"/>
                <w:sz w:val="24"/>
                <w:szCs w:val="24"/>
                <w:lang w:eastAsia="es-MX"/>
              </w:rPr>
            </w:pPr>
            <w:r w:rsidRPr="009D6035">
              <w:rPr>
                <w:rFonts w:ascii="Times New Roman" w:eastAsia="Times New Roman" w:hAnsi="Times New Roman" w:cs="Times New Roman"/>
                <w:sz w:val="24"/>
                <w:szCs w:val="24"/>
                <w:lang w:eastAsia="es-MX"/>
              </w:rPr>
              <w:t>0.987</w:t>
            </w:r>
          </w:p>
        </w:tc>
        <w:tc>
          <w:tcPr>
            <w:tcW w:w="884" w:type="dxa"/>
            <w:shd w:val="clear" w:color="auto" w:fill="auto"/>
            <w:noWrap/>
            <w:vAlign w:val="bottom"/>
            <w:hideMark/>
          </w:tcPr>
          <w:p w14:paraId="0D5F7C61" w14:textId="77777777" w:rsidR="003C096C" w:rsidRPr="009D6035" w:rsidRDefault="003C096C" w:rsidP="009E4203">
            <w:pPr>
              <w:spacing w:line="360" w:lineRule="auto"/>
              <w:jc w:val="center"/>
              <w:rPr>
                <w:rFonts w:ascii="Times New Roman" w:eastAsia="Times New Roman" w:hAnsi="Times New Roman" w:cs="Times New Roman"/>
                <w:sz w:val="24"/>
                <w:szCs w:val="24"/>
                <w:lang w:eastAsia="es-MX"/>
              </w:rPr>
            </w:pPr>
            <w:r w:rsidRPr="009D6035">
              <w:rPr>
                <w:rFonts w:ascii="Times New Roman" w:eastAsia="Times New Roman" w:hAnsi="Times New Roman" w:cs="Times New Roman"/>
                <w:sz w:val="24"/>
                <w:szCs w:val="24"/>
                <w:lang w:eastAsia="es-MX"/>
              </w:rPr>
              <w:t>113</w:t>
            </w:r>
          </w:p>
        </w:tc>
        <w:tc>
          <w:tcPr>
            <w:tcW w:w="886" w:type="dxa"/>
            <w:shd w:val="clear" w:color="auto" w:fill="auto"/>
            <w:noWrap/>
            <w:vAlign w:val="bottom"/>
            <w:hideMark/>
          </w:tcPr>
          <w:p w14:paraId="23336018" w14:textId="77777777" w:rsidR="003C096C" w:rsidRPr="00EE7BDA" w:rsidRDefault="003C096C" w:rsidP="009E4203">
            <w:pPr>
              <w:spacing w:line="360" w:lineRule="auto"/>
              <w:jc w:val="center"/>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0.332</w:t>
            </w:r>
          </w:p>
        </w:tc>
      </w:tr>
      <w:tr w:rsidR="003C096C" w:rsidRPr="008A5796" w14:paraId="6D53B25B" w14:textId="77777777" w:rsidTr="00EE7BDA">
        <w:trPr>
          <w:trHeight w:val="303"/>
        </w:trPr>
        <w:tc>
          <w:tcPr>
            <w:tcW w:w="2315" w:type="dxa"/>
            <w:shd w:val="clear" w:color="auto" w:fill="auto"/>
            <w:noWrap/>
            <w:vAlign w:val="bottom"/>
            <w:hideMark/>
          </w:tcPr>
          <w:p w14:paraId="0F21CD73" w14:textId="77777777" w:rsidR="003C096C" w:rsidRPr="009D6035" w:rsidRDefault="003C096C" w:rsidP="009E4203">
            <w:pPr>
              <w:spacing w:line="360" w:lineRule="auto"/>
              <w:jc w:val="both"/>
              <w:rPr>
                <w:rFonts w:ascii="Times New Roman" w:eastAsia="Times New Roman" w:hAnsi="Times New Roman" w:cs="Times New Roman"/>
                <w:sz w:val="24"/>
                <w:szCs w:val="24"/>
                <w:lang w:eastAsia="es-MX"/>
              </w:rPr>
            </w:pPr>
            <w:r w:rsidRPr="009D6035">
              <w:rPr>
                <w:rFonts w:ascii="Times New Roman" w:eastAsia="Times New Roman" w:hAnsi="Times New Roman" w:cs="Times New Roman"/>
                <w:sz w:val="24"/>
                <w:szCs w:val="24"/>
                <w:lang w:eastAsia="es-MX"/>
              </w:rPr>
              <w:t>Matemáticas</w:t>
            </w:r>
          </w:p>
        </w:tc>
        <w:tc>
          <w:tcPr>
            <w:tcW w:w="1205" w:type="dxa"/>
            <w:shd w:val="clear" w:color="auto" w:fill="auto"/>
            <w:noWrap/>
            <w:vAlign w:val="bottom"/>
            <w:hideMark/>
          </w:tcPr>
          <w:p w14:paraId="1ED35E71" w14:textId="77777777" w:rsidR="003C096C" w:rsidRPr="009D6035" w:rsidRDefault="003C096C" w:rsidP="009E4203">
            <w:pPr>
              <w:spacing w:line="360" w:lineRule="auto"/>
              <w:jc w:val="both"/>
              <w:rPr>
                <w:rFonts w:ascii="Times New Roman" w:eastAsia="Times New Roman" w:hAnsi="Times New Roman" w:cs="Times New Roman"/>
                <w:sz w:val="24"/>
                <w:szCs w:val="24"/>
                <w:lang w:eastAsia="es-MX"/>
              </w:rPr>
            </w:pPr>
            <w:r w:rsidRPr="009D6035">
              <w:rPr>
                <w:rFonts w:ascii="Times New Roman" w:eastAsia="Times New Roman" w:hAnsi="Times New Roman" w:cs="Times New Roman"/>
                <w:sz w:val="24"/>
                <w:szCs w:val="24"/>
                <w:lang w:eastAsia="es-MX"/>
              </w:rPr>
              <w:t>0.187</w:t>
            </w:r>
          </w:p>
        </w:tc>
        <w:tc>
          <w:tcPr>
            <w:tcW w:w="810" w:type="dxa"/>
            <w:shd w:val="clear" w:color="auto" w:fill="auto"/>
            <w:noWrap/>
            <w:vAlign w:val="bottom"/>
            <w:hideMark/>
          </w:tcPr>
          <w:p w14:paraId="2DDAC83A" w14:textId="77777777" w:rsidR="003C096C" w:rsidRPr="009D6035" w:rsidRDefault="003C096C" w:rsidP="009E4203">
            <w:pPr>
              <w:spacing w:line="360" w:lineRule="auto"/>
              <w:jc w:val="center"/>
              <w:rPr>
                <w:rFonts w:ascii="Times New Roman" w:eastAsia="Times New Roman" w:hAnsi="Times New Roman" w:cs="Times New Roman"/>
                <w:sz w:val="24"/>
                <w:szCs w:val="24"/>
                <w:lang w:eastAsia="es-MX"/>
              </w:rPr>
            </w:pPr>
            <w:r w:rsidRPr="009D6035">
              <w:rPr>
                <w:rFonts w:ascii="Times New Roman" w:eastAsia="Times New Roman" w:hAnsi="Times New Roman" w:cs="Times New Roman"/>
                <w:sz w:val="24"/>
                <w:szCs w:val="24"/>
                <w:lang w:eastAsia="es-MX"/>
              </w:rPr>
              <w:t>113</w:t>
            </w:r>
          </w:p>
        </w:tc>
        <w:tc>
          <w:tcPr>
            <w:tcW w:w="1198" w:type="dxa"/>
            <w:shd w:val="clear" w:color="auto" w:fill="auto"/>
            <w:noWrap/>
            <w:vAlign w:val="bottom"/>
            <w:hideMark/>
          </w:tcPr>
          <w:p w14:paraId="3D40353C" w14:textId="77777777" w:rsidR="003C096C" w:rsidRPr="00EE7BDA" w:rsidRDefault="003C096C" w:rsidP="009E4203">
            <w:pPr>
              <w:spacing w:line="360" w:lineRule="auto"/>
              <w:jc w:val="center"/>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0</w:t>
            </w:r>
          </w:p>
        </w:tc>
        <w:tc>
          <w:tcPr>
            <w:tcW w:w="1197" w:type="dxa"/>
            <w:shd w:val="clear" w:color="auto" w:fill="auto"/>
            <w:noWrap/>
            <w:vAlign w:val="bottom"/>
            <w:hideMark/>
          </w:tcPr>
          <w:p w14:paraId="6347024E" w14:textId="77777777" w:rsidR="003C096C" w:rsidRPr="009D6035" w:rsidRDefault="003C096C" w:rsidP="009E4203">
            <w:pPr>
              <w:spacing w:line="360" w:lineRule="auto"/>
              <w:jc w:val="center"/>
              <w:rPr>
                <w:rFonts w:ascii="Times New Roman" w:eastAsia="Times New Roman" w:hAnsi="Times New Roman" w:cs="Times New Roman"/>
                <w:sz w:val="24"/>
                <w:szCs w:val="24"/>
                <w:lang w:eastAsia="es-MX"/>
              </w:rPr>
            </w:pPr>
            <w:r w:rsidRPr="009D6035">
              <w:rPr>
                <w:rFonts w:ascii="Times New Roman" w:eastAsia="Times New Roman" w:hAnsi="Times New Roman" w:cs="Times New Roman"/>
                <w:sz w:val="24"/>
                <w:szCs w:val="24"/>
                <w:lang w:eastAsia="es-MX"/>
              </w:rPr>
              <w:t>0.886</w:t>
            </w:r>
          </w:p>
        </w:tc>
        <w:tc>
          <w:tcPr>
            <w:tcW w:w="884" w:type="dxa"/>
            <w:shd w:val="clear" w:color="auto" w:fill="auto"/>
            <w:noWrap/>
            <w:vAlign w:val="bottom"/>
            <w:hideMark/>
          </w:tcPr>
          <w:p w14:paraId="36305D6D" w14:textId="77777777" w:rsidR="003C096C" w:rsidRPr="009D6035" w:rsidRDefault="003C096C" w:rsidP="009E4203">
            <w:pPr>
              <w:spacing w:line="360" w:lineRule="auto"/>
              <w:jc w:val="center"/>
              <w:rPr>
                <w:rFonts w:ascii="Times New Roman" w:eastAsia="Times New Roman" w:hAnsi="Times New Roman" w:cs="Times New Roman"/>
                <w:sz w:val="24"/>
                <w:szCs w:val="24"/>
                <w:lang w:eastAsia="es-MX"/>
              </w:rPr>
            </w:pPr>
            <w:r w:rsidRPr="009D6035">
              <w:rPr>
                <w:rFonts w:ascii="Times New Roman" w:eastAsia="Times New Roman" w:hAnsi="Times New Roman" w:cs="Times New Roman"/>
                <w:sz w:val="24"/>
                <w:szCs w:val="24"/>
                <w:lang w:eastAsia="es-MX"/>
              </w:rPr>
              <w:t>113</w:t>
            </w:r>
          </w:p>
        </w:tc>
        <w:tc>
          <w:tcPr>
            <w:tcW w:w="886" w:type="dxa"/>
            <w:shd w:val="clear" w:color="auto" w:fill="auto"/>
            <w:noWrap/>
            <w:vAlign w:val="bottom"/>
            <w:hideMark/>
          </w:tcPr>
          <w:p w14:paraId="787CF86F" w14:textId="77777777" w:rsidR="003C096C" w:rsidRPr="00EE7BDA" w:rsidRDefault="003C096C" w:rsidP="009E4203">
            <w:pPr>
              <w:spacing w:line="360" w:lineRule="auto"/>
              <w:jc w:val="center"/>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0</w:t>
            </w:r>
          </w:p>
        </w:tc>
      </w:tr>
    </w:tbl>
    <w:p w14:paraId="570B559A" w14:textId="28AF4372" w:rsidR="003C096C" w:rsidRPr="00465B95" w:rsidRDefault="003C096C" w:rsidP="009D6035">
      <w:pPr>
        <w:pStyle w:val="NormalWeb"/>
        <w:spacing w:before="0" w:beforeAutospacing="0" w:after="0" w:afterAutospacing="0" w:line="360" w:lineRule="auto"/>
        <w:jc w:val="center"/>
      </w:pPr>
      <w:r w:rsidRPr="009D6035">
        <w:t>Fuente: Elaboración propia</w:t>
      </w:r>
    </w:p>
    <w:p w14:paraId="68DFE5C9" w14:textId="77777777" w:rsidR="003C096C" w:rsidRDefault="003C096C" w:rsidP="003C096C">
      <w:pPr>
        <w:spacing w:line="360" w:lineRule="auto"/>
        <w:ind w:firstLine="708"/>
        <w:jc w:val="both"/>
        <w:rPr>
          <w:rFonts w:ascii="Times New Roman" w:hAnsi="Times New Roman" w:cs="Times New Roman"/>
          <w:sz w:val="24"/>
          <w:szCs w:val="24"/>
          <w:lang w:val="es-ES"/>
        </w:rPr>
      </w:pPr>
      <w:r w:rsidRPr="00465B95">
        <w:rPr>
          <w:rFonts w:ascii="Times New Roman" w:hAnsi="Times New Roman" w:cs="Times New Roman"/>
          <w:sz w:val="24"/>
          <w:szCs w:val="24"/>
          <w:lang w:val="es-ES"/>
        </w:rPr>
        <w:t xml:space="preserve">A partir de la </w:t>
      </w:r>
      <w:r>
        <w:rPr>
          <w:rFonts w:ascii="Times New Roman" w:hAnsi="Times New Roman" w:cs="Times New Roman"/>
          <w:sz w:val="24"/>
          <w:szCs w:val="24"/>
          <w:lang w:val="es-ES"/>
        </w:rPr>
        <w:t>t</w:t>
      </w:r>
      <w:r w:rsidRPr="00465B95">
        <w:rPr>
          <w:rFonts w:ascii="Times New Roman" w:hAnsi="Times New Roman" w:cs="Times New Roman"/>
          <w:sz w:val="24"/>
          <w:szCs w:val="24"/>
          <w:lang w:val="es-ES"/>
        </w:rPr>
        <w:t xml:space="preserve">abla 1, se observa que en la prueba de </w:t>
      </w:r>
      <w:proofErr w:type="spellStart"/>
      <w:r w:rsidRPr="00465B95">
        <w:rPr>
          <w:rFonts w:ascii="Times New Roman" w:hAnsi="Times New Roman" w:cs="Times New Roman"/>
          <w:sz w:val="24"/>
          <w:szCs w:val="24"/>
          <w:lang w:val="es-ES"/>
        </w:rPr>
        <w:t>Kolmogorov-Smirnov</w:t>
      </w:r>
      <w:proofErr w:type="spellEnd"/>
      <w:r w:rsidRPr="00465B95">
        <w:rPr>
          <w:rFonts w:ascii="Times New Roman" w:hAnsi="Times New Roman" w:cs="Times New Roman"/>
          <w:sz w:val="24"/>
          <w:szCs w:val="24"/>
          <w:lang w:val="es-ES"/>
        </w:rPr>
        <w:t>, el p</w:t>
      </w:r>
      <w:r>
        <w:rPr>
          <w:rFonts w:ascii="Times New Roman" w:hAnsi="Times New Roman" w:cs="Times New Roman"/>
          <w:sz w:val="24"/>
          <w:szCs w:val="24"/>
          <w:lang w:val="es-ES"/>
        </w:rPr>
        <w:t>-</w:t>
      </w:r>
      <w:r w:rsidRPr="00465B95">
        <w:rPr>
          <w:rFonts w:ascii="Times New Roman" w:hAnsi="Times New Roman" w:cs="Times New Roman"/>
          <w:sz w:val="24"/>
          <w:szCs w:val="24"/>
          <w:lang w:val="es-ES"/>
        </w:rPr>
        <w:t xml:space="preserve">valor para la variable </w:t>
      </w:r>
      <w:r w:rsidRPr="008A5796">
        <w:rPr>
          <w:rFonts w:ascii="Times New Roman" w:hAnsi="Times New Roman" w:cs="Times New Roman"/>
          <w:i/>
          <w:iCs/>
          <w:sz w:val="24"/>
          <w:szCs w:val="24"/>
          <w:lang w:val="es-ES"/>
        </w:rPr>
        <w:t>comprensión lectora</w:t>
      </w:r>
      <w:r w:rsidRPr="00465B95">
        <w:rPr>
          <w:rFonts w:ascii="Times New Roman" w:hAnsi="Times New Roman" w:cs="Times New Roman"/>
          <w:sz w:val="24"/>
          <w:szCs w:val="24"/>
          <w:lang w:val="es-ES"/>
        </w:rPr>
        <w:t xml:space="preserve"> </w:t>
      </w:r>
      <w:r>
        <w:rPr>
          <w:rFonts w:ascii="Times New Roman" w:hAnsi="Times New Roman" w:cs="Times New Roman"/>
          <w:sz w:val="24"/>
          <w:szCs w:val="24"/>
          <w:lang w:val="es-ES"/>
        </w:rPr>
        <w:t>fue</w:t>
      </w:r>
      <w:r w:rsidRPr="00465B95">
        <w:rPr>
          <w:rFonts w:ascii="Times New Roman" w:hAnsi="Times New Roman" w:cs="Times New Roman"/>
          <w:sz w:val="24"/>
          <w:szCs w:val="24"/>
          <w:lang w:val="es-ES"/>
        </w:rPr>
        <w:t xml:space="preserve"> de 0.200, y para la prueba de Shapiro-Wilk de 0.332. En ambos casos, estos valores son superiores al nivel de significancia establecido (α</w:t>
      </w:r>
      <w:r>
        <w:rPr>
          <w:rFonts w:ascii="Times New Roman" w:hAnsi="Times New Roman" w:cs="Times New Roman"/>
          <w:sz w:val="24"/>
          <w:szCs w:val="24"/>
          <w:lang w:val="es-ES"/>
        </w:rPr>
        <w:t xml:space="preserve"> </w:t>
      </w:r>
      <w:r w:rsidRPr="00465B95">
        <w:rPr>
          <w:rFonts w:ascii="Times New Roman" w:hAnsi="Times New Roman" w:cs="Times New Roman"/>
          <w:sz w:val="24"/>
          <w:szCs w:val="24"/>
          <w:lang w:val="es-ES"/>
        </w:rPr>
        <w:t>=</w:t>
      </w:r>
      <w:r>
        <w:rPr>
          <w:rFonts w:ascii="Times New Roman" w:hAnsi="Times New Roman" w:cs="Times New Roman"/>
          <w:sz w:val="24"/>
          <w:szCs w:val="24"/>
          <w:lang w:val="es-ES"/>
        </w:rPr>
        <w:t xml:space="preserve"> </w:t>
      </w:r>
      <w:r w:rsidRPr="00465B95">
        <w:rPr>
          <w:rFonts w:ascii="Times New Roman" w:hAnsi="Times New Roman" w:cs="Times New Roman"/>
          <w:sz w:val="24"/>
          <w:szCs w:val="24"/>
          <w:lang w:val="es-ES"/>
        </w:rPr>
        <w:t xml:space="preserve">0.05), es decir, 0.200 &gt; 0.05 y 0.332 &gt; 0.05, lo que indica que la variable </w:t>
      </w:r>
      <w:r w:rsidRPr="008A5796">
        <w:rPr>
          <w:rFonts w:ascii="Times New Roman" w:hAnsi="Times New Roman" w:cs="Times New Roman"/>
          <w:i/>
          <w:iCs/>
          <w:sz w:val="24"/>
          <w:szCs w:val="24"/>
          <w:lang w:val="es-ES"/>
        </w:rPr>
        <w:t xml:space="preserve">comprensión lectora </w:t>
      </w:r>
      <w:r w:rsidRPr="00465B95">
        <w:rPr>
          <w:rFonts w:ascii="Times New Roman" w:hAnsi="Times New Roman" w:cs="Times New Roman"/>
          <w:sz w:val="24"/>
          <w:szCs w:val="24"/>
          <w:lang w:val="es-ES"/>
        </w:rPr>
        <w:t xml:space="preserve">sigue una distribución normal. Sin embargo, para la variable </w:t>
      </w:r>
      <w:r w:rsidRPr="008A5796">
        <w:rPr>
          <w:rFonts w:ascii="Times New Roman" w:hAnsi="Times New Roman" w:cs="Times New Roman"/>
          <w:i/>
          <w:iCs/>
          <w:sz w:val="24"/>
          <w:szCs w:val="24"/>
          <w:lang w:val="es-ES"/>
        </w:rPr>
        <w:t>matemáticas</w:t>
      </w:r>
      <w:r w:rsidRPr="00465B95">
        <w:rPr>
          <w:rFonts w:ascii="Times New Roman" w:hAnsi="Times New Roman" w:cs="Times New Roman"/>
          <w:sz w:val="24"/>
          <w:szCs w:val="24"/>
          <w:lang w:val="es-ES"/>
        </w:rPr>
        <w:t xml:space="preserve">, se observa que el </w:t>
      </w:r>
      <w:r>
        <w:rPr>
          <w:rFonts w:ascii="Times New Roman" w:hAnsi="Times New Roman" w:cs="Times New Roman"/>
          <w:sz w:val="24"/>
          <w:szCs w:val="24"/>
          <w:lang w:val="es-ES"/>
        </w:rPr>
        <w:t>p-</w:t>
      </w:r>
      <w:r w:rsidRPr="00465B95">
        <w:rPr>
          <w:rFonts w:ascii="Times New Roman" w:hAnsi="Times New Roman" w:cs="Times New Roman"/>
          <w:sz w:val="24"/>
          <w:szCs w:val="24"/>
          <w:lang w:val="es-ES"/>
        </w:rPr>
        <w:t xml:space="preserve">valor es igual a 0 en ambas pruebas, lo cual es menor que 0.05, es decir, 0 &lt; 0.05. Esto sugiere que la </w:t>
      </w:r>
      <w:proofErr w:type="gramStart"/>
      <w:r w:rsidRPr="00465B95">
        <w:rPr>
          <w:rFonts w:ascii="Times New Roman" w:hAnsi="Times New Roman" w:cs="Times New Roman"/>
          <w:sz w:val="24"/>
          <w:szCs w:val="24"/>
          <w:lang w:val="es-ES"/>
        </w:rPr>
        <w:t xml:space="preserve">variable </w:t>
      </w:r>
      <w:r w:rsidRPr="008A5796">
        <w:rPr>
          <w:rFonts w:ascii="Times New Roman" w:hAnsi="Times New Roman" w:cs="Times New Roman"/>
          <w:i/>
          <w:iCs/>
          <w:sz w:val="24"/>
          <w:szCs w:val="24"/>
          <w:lang w:val="es-ES"/>
        </w:rPr>
        <w:t>matemáticas</w:t>
      </w:r>
      <w:proofErr w:type="gramEnd"/>
      <w:r w:rsidRPr="00465B95">
        <w:rPr>
          <w:rFonts w:ascii="Times New Roman" w:hAnsi="Times New Roman" w:cs="Times New Roman"/>
          <w:sz w:val="24"/>
          <w:szCs w:val="24"/>
          <w:lang w:val="es-ES"/>
        </w:rPr>
        <w:t xml:space="preserve"> no sigue una distribución normal. Dado que una de las variables no cumple con la condición de normalidad, la prueba más apropiada para medir la fuerza de asociación es la Rho de Spearman</w:t>
      </w:r>
      <w:r w:rsidRPr="00DE62DE">
        <w:rPr>
          <w:rFonts w:ascii="Times New Roman" w:hAnsi="Times New Roman" w:cs="Times New Roman"/>
          <w:sz w:val="24"/>
          <w:szCs w:val="24"/>
          <w:lang w:val="es-ES"/>
        </w:rPr>
        <w:t xml:space="preserve"> </w:t>
      </w:r>
      <w:r w:rsidRPr="00DE62DE">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s</m:t>
            </m:r>
          </m:sub>
        </m:sSub>
        <m:r>
          <w:rPr>
            <w:rFonts w:ascii="Cambria Math" w:hAnsi="Cambria Math" w:cs="Times New Roman"/>
            <w:sz w:val="24"/>
            <w:szCs w:val="24"/>
          </w:rPr>
          <m:t>)</m:t>
        </m:r>
      </m:oMath>
      <w:r w:rsidRPr="00DE62DE">
        <w:rPr>
          <w:rFonts w:ascii="Times New Roman" w:hAnsi="Times New Roman" w:cs="Times New Roman"/>
          <w:sz w:val="24"/>
          <w:szCs w:val="24"/>
          <w:lang w:val="es-ES"/>
        </w:rPr>
        <w:t>.</w:t>
      </w:r>
    </w:p>
    <w:p w14:paraId="707F3EFC" w14:textId="77777777" w:rsidR="003C096C" w:rsidRDefault="003C096C" w:rsidP="003C096C">
      <w:pPr>
        <w:spacing w:line="360" w:lineRule="auto"/>
        <w:ind w:firstLine="708"/>
        <w:jc w:val="both"/>
        <w:rPr>
          <w:rFonts w:ascii="Times New Roman" w:hAnsi="Times New Roman" w:cs="Times New Roman"/>
          <w:sz w:val="24"/>
          <w:szCs w:val="24"/>
          <w:lang w:val="es-ES"/>
        </w:rPr>
      </w:pPr>
      <w:r w:rsidRPr="00465B95">
        <w:rPr>
          <w:rFonts w:ascii="Times New Roman" w:hAnsi="Times New Roman" w:cs="Times New Roman"/>
          <w:sz w:val="24"/>
          <w:szCs w:val="24"/>
          <w:lang w:val="es-ES"/>
        </w:rPr>
        <w:t xml:space="preserve">La distribución de los datos, agrupados por el número de aciertos, se presenta en la </w:t>
      </w:r>
      <w:r>
        <w:rPr>
          <w:rFonts w:ascii="Times New Roman" w:hAnsi="Times New Roman" w:cs="Times New Roman"/>
          <w:sz w:val="24"/>
          <w:szCs w:val="24"/>
          <w:lang w:val="es-ES"/>
        </w:rPr>
        <w:t>f</w:t>
      </w:r>
      <w:r w:rsidRPr="00465B95">
        <w:rPr>
          <w:rFonts w:ascii="Times New Roman" w:hAnsi="Times New Roman" w:cs="Times New Roman"/>
          <w:sz w:val="24"/>
          <w:szCs w:val="24"/>
          <w:lang w:val="es-ES"/>
        </w:rPr>
        <w:t>igura 1.</w:t>
      </w:r>
    </w:p>
    <w:p w14:paraId="0F87E834" w14:textId="77777777" w:rsidR="00534895" w:rsidRDefault="00534895" w:rsidP="003C096C">
      <w:pPr>
        <w:spacing w:line="360" w:lineRule="auto"/>
        <w:ind w:firstLine="708"/>
        <w:jc w:val="both"/>
        <w:rPr>
          <w:rFonts w:ascii="Times New Roman" w:hAnsi="Times New Roman" w:cs="Times New Roman"/>
          <w:sz w:val="24"/>
          <w:szCs w:val="24"/>
          <w:lang w:val="es-ES"/>
        </w:rPr>
      </w:pPr>
    </w:p>
    <w:p w14:paraId="7191D15F" w14:textId="1C8E5234" w:rsidR="009A12FE" w:rsidRPr="00465B95" w:rsidRDefault="009A12FE" w:rsidP="003C096C">
      <w:pPr>
        <w:spacing w:line="360" w:lineRule="auto"/>
        <w:ind w:firstLine="708"/>
        <w:jc w:val="both"/>
        <w:rPr>
          <w:rFonts w:ascii="Times New Roman" w:hAnsi="Times New Roman" w:cs="Times New Roman"/>
          <w:sz w:val="24"/>
          <w:szCs w:val="24"/>
          <w:lang w:val="es-ES"/>
        </w:rPr>
      </w:pPr>
      <w:r w:rsidRPr="00534895">
        <w:rPr>
          <w:rFonts w:ascii="Times New Roman" w:hAnsi="Times New Roman" w:cs="Times New Roman"/>
          <w:b/>
          <w:bCs/>
          <w:sz w:val="24"/>
          <w:szCs w:val="24"/>
          <w:lang w:val="es-ES"/>
        </w:rPr>
        <w:t>Figura 1</w:t>
      </w:r>
      <w:r w:rsidR="00534895" w:rsidRPr="00534895">
        <w:rPr>
          <w:rFonts w:ascii="Times New Roman" w:hAnsi="Times New Roman" w:cs="Times New Roman"/>
          <w:b/>
          <w:bCs/>
          <w:sz w:val="24"/>
          <w:szCs w:val="24"/>
          <w:lang w:val="es-ES"/>
        </w:rPr>
        <w:t>.</w:t>
      </w:r>
      <w:r>
        <w:rPr>
          <w:rFonts w:ascii="Times New Roman" w:hAnsi="Times New Roman" w:cs="Times New Roman"/>
          <w:sz w:val="24"/>
          <w:szCs w:val="24"/>
          <w:lang w:val="es-ES"/>
        </w:rPr>
        <w:t xml:space="preserve"> Distribución del número de aciertos de Comprensión lectora.</w:t>
      </w:r>
    </w:p>
    <w:p w14:paraId="5CA04A1F" w14:textId="357D8EE3" w:rsidR="003C096C" w:rsidRPr="00465B95" w:rsidRDefault="009A12FE" w:rsidP="003C096C">
      <w:pPr>
        <w:pStyle w:val="NormalWeb"/>
        <w:spacing w:before="0" w:beforeAutospacing="0" w:after="0" w:afterAutospacing="0" w:line="360" w:lineRule="auto"/>
        <w:jc w:val="center"/>
      </w:pPr>
      <w:r>
        <w:rPr>
          <w:noProof/>
        </w:rPr>
        <w:drawing>
          <wp:inline distT="0" distB="0" distL="0" distR="0" wp14:anchorId="2CDF64DF" wp14:editId="112D80A7">
            <wp:extent cx="4366600" cy="2560505"/>
            <wp:effectExtent l="0" t="0" r="15240" b="17780"/>
            <wp:docPr id="370162371" name="Gráfico 1">
              <a:extLst xmlns:a="http://schemas.openxmlformats.org/drawingml/2006/main">
                <a:ext uri="{FF2B5EF4-FFF2-40B4-BE49-F238E27FC236}">
                  <a16:creationId xmlns:a16="http://schemas.microsoft.com/office/drawing/2014/main" id="{6D357C69-E3A9-59D7-A4F4-259DF2DF8E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3C14614" w14:textId="500A5F24" w:rsidR="003C096C" w:rsidRPr="00465B95" w:rsidRDefault="003C096C" w:rsidP="004C626E">
      <w:pPr>
        <w:pStyle w:val="NormalWeb"/>
        <w:spacing w:before="0" w:beforeAutospacing="0" w:after="0" w:afterAutospacing="0" w:line="360" w:lineRule="auto"/>
        <w:jc w:val="center"/>
      </w:pPr>
      <w:r w:rsidRPr="00465B95">
        <w:t>Fuente: Elaboración propia</w:t>
      </w:r>
    </w:p>
    <w:p w14:paraId="38AA3D5D" w14:textId="77777777" w:rsidR="003C096C" w:rsidRDefault="003C096C" w:rsidP="003C096C">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En</w:t>
      </w:r>
      <w:r w:rsidRPr="00465B95">
        <w:rPr>
          <w:rFonts w:ascii="Times New Roman" w:hAnsi="Times New Roman" w:cs="Times New Roman"/>
          <w:sz w:val="24"/>
          <w:szCs w:val="24"/>
          <w:lang w:val="es-ES"/>
        </w:rPr>
        <w:t xml:space="preserve"> la </w:t>
      </w:r>
      <w:r>
        <w:rPr>
          <w:rFonts w:ascii="Times New Roman" w:hAnsi="Times New Roman" w:cs="Times New Roman"/>
          <w:sz w:val="24"/>
          <w:szCs w:val="24"/>
          <w:lang w:val="es-ES"/>
        </w:rPr>
        <w:t>f</w:t>
      </w:r>
      <w:r w:rsidRPr="00465B95">
        <w:rPr>
          <w:rFonts w:ascii="Times New Roman" w:hAnsi="Times New Roman" w:cs="Times New Roman"/>
          <w:sz w:val="24"/>
          <w:szCs w:val="24"/>
          <w:lang w:val="es-ES"/>
        </w:rPr>
        <w:t xml:space="preserve">igura 1 se aprecia una asimetría negativa mínima de -0.148, una dispersión de 5.41 y un rango intercuartílico de 7. Estos indicadores sugieren que la distribución </w:t>
      </w:r>
      <w:r w:rsidRPr="00465B95">
        <w:rPr>
          <w:rFonts w:ascii="Times New Roman" w:hAnsi="Times New Roman" w:cs="Times New Roman"/>
          <w:sz w:val="24"/>
          <w:szCs w:val="24"/>
          <w:lang w:val="es-ES"/>
        </w:rPr>
        <w:lastRenderedPageBreak/>
        <w:t xml:space="preserve">tiende a comportarse de acuerdo con la distribución normal, como se demostró en la </w:t>
      </w:r>
      <w:r>
        <w:rPr>
          <w:rFonts w:ascii="Times New Roman" w:hAnsi="Times New Roman" w:cs="Times New Roman"/>
          <w:sz w:val="24"/>
          <w:szCs w:val="24"/>
          <w:lang w:val="es-ES"/>
        </w:rPr>
        <w:t>t</w:t>
      </w:r>
      <w:r w:rsidRPr="00465B95">
        <w:rPr>
          <w:rFonts w:ascii="Times New Roman" w:hAnsi="Times New Roman" w:cs="Times New Roman"/>
          <w:sz w:val="24"/>
          <w:szCs w:val="24"/>
          <w:lang w:val="es-ES"/>
        </w:rPr>
        <w:t xml:space="preserve">abla 1. Por otro lado, en contraste con las </w:t>
      </w:r>
      <w:r>
        <w:rPr>
          <w:rFonts w:ascii="Times New Roman" w:hAnsi="Times New Roman" w:cs="Times New Roman"/>
          <w:sz w:val="24"/>
          <w:szCs w:val="24"/>
          <w:lang w:val="es-ES"/>
        </w:rPr>
        <w:t>m</w:t>
      </w:r>
      <w:r w:rsidRPr="00465B95">
        <w:rPr>
          <w:rFonts w:ascii="Times New Roman" w:hAnsi="Times New Roman" w:cs="Times New Roman"/>
          <w:sz w:val="24"/>
          <w:szCs w:val="24"/>
          <w:lang w:val="es-ES"/>
        </w:rPr>
        <w:t xml:space="preserve">atemáticas, como se puede observar en la </w:t>
      </w:r>
      <w:r>
        <w:rPr>
          <w:rFonts w:ascii="Times New Roman" w:hAnsi="Times New Roman" w:cs="Times New Roman"/>
          <w:sz w:val="24"/>
          <w:szCs w:val="24"/>
          <w:lang w:val="es-ES"/>
        </w:rPr>
        <w:t>f</w:t>
      </w:r>
      <w:r w:rsidRPr="00465B95">
        <w:rPr>
          <w:rFonts w:ascii="Times New Roman" w:hAnsi="Times New Roman" w:cs="Times New Roman"/>
          <w:sz w:val="24"/>
          <w:szCs w:val="24"/>
          <w:lang w:val="es-ES"/>
        </w:rPr>
        <w:t>igura 2, la distribución muestra un patrón diferente.</w:t>
      </w:r>
    </w:p>
    <w:p w14:paraId="5B87A874" w14:textId="77777777" w:rsidR="009A12FE" w:rsidRDefault="009A12FE" w:rsidP="003C096C">
      <w:pPr>
        <w:spacing w:line="360" w:lineRule="auto"/>
        <w:jc w:val="both"/>
        <w:rPr>
          <w:rFonts w:ascii="Times New Roman" w:hAnsi="Times New Roman" w:cs="Times New Roman"/>
          <w:sz w:val="24"/>
          <w:szCs w:val="24"/>
          <w:lang w:val="es-ES"/>
        </w:rPr>
      </w:pPr>
    </w:p>
    <w:p w14:paraId="51BC605A" w14:textId="409A7A7D" w:rsidR="009A12FE" w:rsidRPr="00465B95" w:rsidRDefault="009A12FE" w:rsidP="00534895">
      <w:pPr>
        <w:spacing w:line="360" w:lineRule="auto"/>
        <w:jc w:val="center"/>
        <w:rPr>
          <w:rFonts w:ascii="Times New Roman" w:hAnsi="Times New Roman" w:cs="Times New Roman"/>
          <w:sz w:val="24"/>
          <w:szCs w:val="24"/>
          <w:lang w:val="es-ES"/>
        </w:rPr>
      </w:pPr>
      <w:r w:rsidRPr="00534895">
        <w:rPr>
          <w:rFonts w:ascii="Times New Roman" w:hAnsi="Times New Roman" w:cs="Times New Roman"/>
          <w:b/>
          <w:bCs/>
          <w:sz w:val="24"/>
          <w:szCs w:val="24"/>
          <w:lang w:val="es-ES"/>
        </w:rPr>
        <w:t>Figura 2</w:t>
      </w:r>
      <w:r w:rsidR="00534895" w:rsidRPr="00534895">
        <w:rPr>
          <w:rFonts w:ascii="Times New Roman" w:hAnsi="Times New Roman" w:cs="Times New Roman"/>
          <w:b/>
          <w:bCs/>
          <w:sz w:val="24"/>
          <w:szCs w:val="24"/>
          <w:lang w:val="es-ES"/>
        </w:rPr>
        <w:t>.</w:t>
      </w:r>
      <w:r>
        <w:rPr>
          <w:rFonts w:ascii="Times New Roman" w:hAnsi="Times New Roman" w:cs="Times New Roman"/>
          <w:sz w:val="24"/>
          <w:szCs w:val="24"/>
          <w:lang w:val="es-ES"/>
        </w:rPr>
        <w:t xml:space="preserve"> Distribución número de aciertos en Matemáticas</w:t>
      </w:r>
    </w:p>
    <w:p w14:paraId="1E688A4A" w14:textId="46D77394" w:rsidR="003C096C" w:rsidRPr="00465B95" w:rsidRDefault="009A12FE" w:rsidP="003C096C">
      <w:pPr>
        <w:pStyle w:val="NormalWeb"/>
        <w:spacing w:before="0" w:beforeAutospacing="0" w:after="0" w:afterAutospacing="0" w:line="360" w:lineRule="auto"/>
        <w:jc w:val="center"/>
      </w:pPr>
      <w:r>
        <w:rPr>
          <w:noProof/>
        </w:rPr>
        <w:drawing>
          <wp:inline distT="0" distB="0" distL="0" distR="0" wp14:anchorId="5279D26D" wp14:editId="268A7B63">
            <wp:extent cx="4569801" cy="2738305"/>
            <wp:effectExtent l="0" t="0" r="15240" b="17780"/>
            <wp:docPr id="1062982082" name="Gráfico 1">
              <a:extLst xmlns:a="http://schemas.openxmlformats.org/drawingml/2006/main">
                <a:ext uri="{FF2B5EF4-FFF2-40B4-BE49-F238E27FC236}">
                  <a16:creationId xmlns:a16="http://schemas.microsoft.com/office/drawing/2014/main" id="{EAB27532-CFB6-9A08-5025-BCB9AE5757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129BAA5" w14:textId="51D94C29" w:rsidR="003C096C" w:rsidRPr="00465B95" w:rsidRDefault="003C096C" w:rsidP="004C626E">
      <w:pPr>
        <w:pStyle w:val="NormalWeb"/>
        <w:spacing w:before="0" w:beforeAutospacing="0" w:after="0" w:afterAutospacing="0" w:line="360" w:lineRule="auto"/>
        <w:jc w:val="center"/>
      </w:pPr>
      <w:r w:rsidRPr="00465B95">
        <w:t>Fuente: Elaboración propia</w:t>
      </w:r>
    </w:p>
    <w:p w14:paraId="38EA0D0E" w14:textId="77777777" w:rsidR="003C096C" w:rsidRDefault="003C096C" w:rsidP="003C096C">
      <w:pPr>
        <w:spacing w:line="360" w:lineRule="auto"/>
        <w:ind w:firstLine="708"/>
        <w:jc w:val="both"/>
        <w:rPr>
          <w:rFonts w:ascii="Times New Roman" w:hAnsi="Times New Roman" w:cs="Times New Roman"/>
          <w:sz w:val="24"/>
          <w:szCs w:val="24"/>
          <w:lang w:val="es-ES"/>
        </w:rPr>
      </w:pPr>
      <w:r w:rsidRPr="00465B95">
        <w:rPr>
          <w:rFonts w:ascii="Times New Roman" w:hAnsi="Times New Roman" w:cs="Times New Roman"/>
          <w:sz w:val="24"/>
          <w:szCs w:val="24"/>
          <w:lang w:val="es-ES"/>
        </w:rPr>
        <w:t xml:space="preserve">En la </w:t>
      </w:r>
      <w:r>
        <w:rPr>
          <w:rFonts w:ascii="Times New Roman" w:hAnsi="Times New Roman" w:cs="Times New Roman"/>
          <w:sz w:val="24"/>
          <w:szCs w:val="24"/>
          <w:lang w:val="es-ES"/>
        </w:rPr>
        <w:t>f</w:t>
      </w:r>
      <w:r w:rsidRPr="00465B95">
        <w:rPr>
          <w:rFonts w:ascii="Times New Roman" w:hAnsi="Times New Roman" w:cs="Times New Roman"/>
          <w:sz w:val="24"/>
          <w:szCs w:val="24"/>
          <w:lang w:val="es-ES"/>
        </w:rPr>
        <w:t xml:space="preserve">igura 2 se evidencia una asimetría positiva notable de 1.1, acompañada de una desviación estándar de 7.22 y un rango intercuartílico de 8. Estos datos confirman que la variable no sigue una distribución normal, </w:t>
      </w:r>
      <w:r>
        <w:rPr>
          <w:rFonts w:ascii="Times New Roman" w:hAnsi="Times New Roman" w:cs="Times New Roman"/>
          <w:sz w:val="24"/>
          <w:szCs w:val="24"/>
          <w:lang w:val="es-ES"/>
        </w:rPr>
        <w:t>y corroboran</w:t>
      </w:r>
      <w:r w:rsidRPr="00465B95">
        <w:rPr>
          <w:rFonts w:ascii="Times New Roman" w:hAnsi="Times New Roman" w:cs="Times New Roman"/>
          <w:sz w:val="24"/>
          <w:szCs w:val="24"/>
          <w:lang w:val="es-ES"/>
        </w:rPr>
        <w:t xml:space="preserve"> lo que se estableció previamente en la </w:t>
      </w:r>
      <w:r>
        <w:rPr>
          <w:rFonts w:ascii="Times New Roman" w:hAnsi="Times New Roman" w:cs="Times New Roman"/>
          <w:sz w:val="24"/>
          <w:szCs w:val="24"/>
          <w:lang w:val="es-ES"/>
        </w:rPr>
        <w:t>t</w:t>
      </w:r>
      <w:r w:rsidRPr="00465B95">
        <w:rPr>
          <w:rFonts w:ascii="Times New Roman" w:hAnsi="Times New Roman" w:cs="Times New Roman"/>
          <w:sz w:val="24"/>
          <w:szCs w:val="24"/>
          <w:lang w:val="es-ES"/>
        </w:rPr>
        <w:t>abla 1.</w:t>
      </w:r>
    </w:p>
    <w:p w14:paraId="0603A603" w14:textId="77777777" w:rsidR="003C096C" w:rsidRPr="00AF1D12" w:rsidRDefault="003C096C" w:rsidP="003C096C">
      <w:pPr>
        <w:spacing w:line="360" w:lineRule="auto"/>
        <w:ind w:firstLine="708"/>
        <w:jc w:val="both"/>
        <w:rPr>
          <w:rFonts w:ascii="Times New Roman" w:hAnsi="Times New Roman" w:cs="Times New Roman"/>
          <w:sz w:val="24"/>
          <w:szCs w:val="24"/>
          <w:lang w:val="es-ES"/>
        </w:rPr>
      </w:pPr>
      <w:r w:rsidRPr="00FB55BF">
        <w:rPr>
          <w:rFonts w:ascii="Times New Roman" w:hAnsi="Times New Roman" w:cs="Times New Roman"/>
          <w:sz w:val="24"/>
          <w:szCs w:val="24"/>
        </w:rPr>
        <w:t xml:space="preserve">Una vez justificado el uso del estadístico de prueba, se procedió a calcular el coeficiente de correlación de </w:t>
      </w:r>
      <w:r w:rsidRPr="00FB55BF">
        <w:rPr>
          <w:rFonts w:ascii="Times New Roman" w:hAnsi="Times New Roman" w:cs="Times New Roman"/>
          <w:sz w:val="24"/>
          <w:szCs w:val="24"/>
          <w:lang w:eastAsia="es-MX"/>
        </w:rPr>
        <w:t xml:space="preserve">Rho de Spearman </w:t>
      </w:r>
      <w:r w:rsidRPr="00FB55BF">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s</m:t>
            </m:r>
          </m:sub>
        </m:sSub>
        <m:r>
          <w:rPr>
            <w:rFonts w:ascii="Cambria Math" w:hAnsi="Cambria Math" w:cs="Times New Roman"/>
            <w:sz w:val="24"/>
            <w:szCs w:val="24"/>
          </w:rPr>
          <m:t>)</m:t>
        </m:r>
      </m:oMath>
      <w:r w:rsidRPr="00FB55BF">
        <w:rPr>
          <w:rFonts w:ascii="Times New Roman" w:hAnsi="Times New Roman" w:cs="Times New Roman"/>
          <w:sz w:val="24"/>
          <w:szCs w:val="24"/>
        </w:rPr>
        <w:t xml:space="preserve"> dada por la siguiente formula tomada </w:t>
      </w:r>
      <w:r>
        <w:rPr>
          <w:rFonts w:ascii="Times New Roman" w:hAnsi="Times New Roman" w:cs="Times New Roman"/>
          <w:sz w:val="24"/>
          <w:szCs w:val="24"/>
        </w:rPr>
        <w:t xml:space="preserve">de </w:t>
      </w:r>
      <w:r w:rsidRPr="00FB55BF">
        <w:rPr>
          <w:rFonts w:ascii="Times New Roman" w:hAnsi="Times New Roman" w:cs="Times New Roman"/>
          <w:sz w:val="24"/>
          <w:szCs w:val="24"/>
        </w:rPr>
        <w:t>Weimer (2009).</w:t>
      </w:r>
    </w:p>
    <w:p w14:paraId="55046A73" w14:textId="77777777" w:rsidR="003C096C" w:rsidRPr="00465B95" w:rsidRDefault="00000000" w:rsidP="003C096C">
      <w:pPr>
        <w:pStyle w:val="NormalWeb"/>
        <w:spacing w:before="0" w:beforeAutospacing="0" w:after="0" w:afterAutospacing="0" w:line="360" w:lineRule="auto"/>
        <w:jc w:val="center"/>
      </w:pPr>
      <m:oMath>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m:t>
        </m:r>
      </m:oMath>
      <w:r w:rsidR="003C096C" w:rsidRPr="00465B95">
        <w:t xml:space="preserve">1- </w:t>
      </w:r>
      <m:oMath>
        <m:f>
          <m:fPr>
            <m:ctrlPr>
              <w:rPr>
                <w:rFonts w:ascii="Cambria Math" w:hAnsi="Cambria Math"/>
                <w:i/>
              </w:rPr>
            </m:ctrlPr>
          </m:fPr>
          <m:num>
            <m:r>
              <w:rPr>
                <w:rFonts w:ascii="Cambria Math" w:hAnsi="Cambria Math"/>
              </w:rPr>
              <m:t>6</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d</m:t>
                    </m:r>
                  </m:e>
                  <m:sup>
                    <m:r>
                      <w:rPr>
                        <w:rFonts w:ascii="Cambria Math" w:hAnsi="Cambria Math"/>
                      </w:rPr>
                      <m:t>2</m:t>
                    </m:r>
                  </m:sup>
                </m:sSup>
              </m:e>
            </m:nary>
          </m:num>
          <m:den>
            <m:r>
              <w:rPr>
                <w:rFonts w:ascii="Cambria Math" w:hAnsi="Cambria Math"/>
              </w:rPr>
              <m:t>n(</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-1)</m:t>
            </m:r>
          </m:den>
        </m:f>
      </m:oMath>
    </w:p>
    <w:p w14:paraId="0670487C" w14:textId="77777777" w:rsidR="003C096C" w:rsidRDefault="003C096C" w:rsidP="003C096C">
      <w:pPr>
        <w:pStyle w:val="NormalWeb"/>
        <w:spacing w:before="0" w:beforeAutospacing="0" w:after="0" w:afterAutospacing="0" w:line="360" w:lineRule="auto"/>
        <w:jc w:val="both"/>
      </w:pPr>
    </w:p>
    <w:p w14:paraId="76A3FACD" w14:textId="77777777" w:rsidR="0051722E" w:rsidRDefault="0051722E" w:rsidP="003C096C">
      <w:pPr>
        <w:pStyle w:val="NormalWeb"/>
        <w:spacing w:before="0" w:beforeAutospacing="0" w:after="0" w:afterAutospacing="0" w:line="360" w:lineRule="auto"/>
        <w:jc w:val="both"/>
      </w:pPr>
    </w:p>
    <w:p w14:paraId="35254F86" w14:textId="77777777" w:rsidR="0051722E" w:rsidRDefault="0051722E" w:rsidP="003C096C">
      <w:pPr>
        <w:pStyle w:val="NormalWeb"/>
        <w:spacing w:before="0" w:beforeAutospacing="0" w:after="0" w:afterAutospacing="0" w:line="360" w:lineRule="auto"/>
        <w:jc w:val="both"/>
      </w:pPr>
    </w:p>
    <w:p w14:paraId="70AA7830" w14:textId="77777777" w:rsidR="00534895" w:rsidRDefault="00534895" w:rsidP="003C096C">
      <w:pPr>
        <w:pStyle w:val="NormalWeb"/>
        <w:spacing w:before="0" w:beforeAutospacing="0" w:after="0" w:afterAutospacing="0" w:line="360" w:lineRule="auto"/>
        <w:jc w:val="both"/>
      </w:pPr>
    </w:p>
    <w:p w14:paraId="468274B3" w14:textId="77777777" w:rsidR="00534895" w:rsidRDefault="00534895" w:rsidP="003C096C">
      <w:pPr>
        <w:pStyle w:val="NormalWeb"/>
        <w:spacing w:before="0" w:beforeAutospacing="0" w:after="0" w:afterAutospacing="0" w:line="360" w:lineRule="auto"/>
        <w:jc w:val="both"/>
      </w:pPr>
    </w:p>
    <w:p w14:paraId="12171E82" w14:textId="77777777" w:rsidR="00534895" w:rsidRDefault="00534895" w:rsidP="003C096C">
      <w:pPr>
        <w:pStyle w:val="NormalWeb"/>
        <w:spacing w:before="0" w:beforeAutospacing="0" w:after="0" w:afterAutospacing="0" w:line="360" w:lineRule="auto"/>
        <w:jc w:val="both"/>
      </w:pPr>
    </w:p>
    <w:p w14:paraId="30DBC8C9" w14:textId="77777777" w:rsidR="00C8428C" w:rsidRDefault="00C8428C" w:rsidP="003C096C">
      <w:pPr>
        <w:pStyle w:val="NormalWeb"/>
        <w:spacing w:before="0" w:beforeAutospacing="0" w:after="0" w:afterAutospacing="0" w:line="360" w:lineRule="auto"/>
        <w:jc w:val="both"/>
      </w:pPr>
    </w:p>
    <w:p w14:paraId="30E91412" w14:textId="77777777" w:rsidR="00C8428C" w:rsidRDefault="00C8428C" w:rsidP="003C096C">
      <w:pPr>
        <w:pStyle w:val="NormalWeb"/>
        <w:spacing w:before="0" w:beforeAutospacing="0" w:after="0" w:afterAutospacing="0" w:line="360" w:lineRule="auto"/>
        <w:jc w:val="both"/>
      </w:pPr>
    </w:p>
    <w:p w14:paraId="2387BF58" w14:textId="77777777" w:rsidR="00C8428C" w:rsidRDefault="00C8428C" w:rsidP="003C096C">
      <w:pPr>
        <w:pStyle w:val="NormalWeb"/>
        <w:spacing w:before="0" w:beforeAutospacing="0" w:after="0" w:afterAutospacing="0" w:line="360" w:lineRule="auto"/>
        <w:jc w:val="both"/>
      </w:pPr>
    </w:p>
    <w:p w14:paraId="1C997F10" w14:textId="77777777" w:rsidR="003C096C" w:rsidRPr="00465B95" w:rsidRDefault="003C096C" w:rsidP="003C096C">
      <w:pPr>
        <w:pStyle w:val="NormalWeb"/>
        <w:spacing w:before="0" w:beforeAutospacing="0" w:after="0" w:afterAutospacing="0" w:line="360" w:lineRule="auto"/>
        <w:jc w:val="center"/>
      </w:pPr>
      <w:r w:rsidRPr="00FB55BF">
        <w:rPr>
          <w:b/>
          <w:bCs/>
          <w:lang w:eastAsia="es-MX"/>
        </w:rPr>
        <w:lastRenderedPageBreak/>
        <w:t xml:space="preserve">Tabla 2. </w:t>
      </w:r>
      <w:r w:rsidRPr="00465B95">
        <w:rPr>
          <w:lang w:eastAsia="es-MX"/>
        </w:rPr>
        <w:t>Correlación Rho de Spearman</w:t>
      </w:r>
    </w:p>
    <w:tbl>
      <w:tblPr>
        <w:tblW w:w="6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33"/>
        <w:gridCol w:w="1912"/>
        <w:gridCol w:w="1367"/>
      </w:tblGrid>
      <w:tr w:rsidR="003C096C" w:rsidRPr="00EE7BDA" w14:paraId="4B5BE58E" w14:textId="77777777" w:rsidTr="00EE7BDA">
        <w:trPr>
          <w:trHeight w:val="259"/>
          <w:jc w:val="center"/>
        </w:trPr>
        <w:tc>
          <w:tcPr>
            <w:tcW w:w="4945" w:type="dxa"/>
            <w:gridSpan w:val="2"/>
            <w:shd w:val="clear" w:color="auto" w:fill="auto"/>
            <w:noWrap/>
            <w:vAlign w:val="bottom"/>
            <w:hideMark/>
          </w:tcPr>
          <w:p w14:paraId="47AC3D43" w14:textId="77777777" w:rsidR="003C096C" w:rsidRPr="00EE7BDA" w:rsidRDefault="003C096C" w:rsidP="009E4203">
            <w:pPr>
              <w:jc w:val="center"/>
              <w:rPr>
                <w:rFonts w:ascii="Times New Roman" w:eastAsia="Times New Roman" w:hAnsi="Times New Roman" w:cs="Times New Roman"/>
                <w:sz w:val="20"/>
                <w:szCs w:val="20"/>
                <w:lang w:eastAsia="es-MX"/>
              </w:rPr>
            </w:pPr>
          </w:p>
        </w:tc>
        <w:tc>
          <w:tcPr>
            <w:tcW w:w="1262" w:type="dxa"/>
            <w:shd w:val="clear" w:color="auto" w:fill="auto"/>
            <w:noWrap/>
            <w:vAlign w:val="bottom"/>
            <w:hideMark/>
          </w:tcPr>
          <w:p w14:paraId="35B712E0" w14:textId="77777777" w:rsidR="003C096C" w:rsidRPr="00EE7BDA" w:rsidRDefault="003C096C" w:rsidP="009E4203">
            <w:pPr>
              <w:jc w:val="both"/>
              <w:rPr>
                <w:rFonts w:ascii="Times New Roman" w:eastAsia="Times New Roman" w:hAnsi="Times New Roman" w:cs="Times New Roman"/>
                <w:sz w:val="20"/>
                <w:szCs w:val="20"/>
                <w:lang w:eastAsia="es-MX"/>
              </w:rPr>
            </w:pPr>
          </w:p>
        </w:tc>
      </w:tr>
      <w:tr w:rsidR="003C096C" w:rsidRPr="00EE7BDA" w14:paraId="2720CD7B" w14:textId="77777777" w:rsidTr="00EE7BDA">
        <w:trPr>
          <w:trHeight w:val="259"/>
          <w:jc w:val="center"/>
        </w:trPr>
        <w:tc>
          <w:tcPr>
            <w:tcW w:w="3033" w:type="dxa"/>
            <w:shd w:val="clear" w:color="auto" w:fill="auto"/>
            <w:noWrap/>
            <w:vAlign w:val="bottom"/>
            <w:hideMark/>
          </w:tcPr>
          <w:p w14:paraId="1F824BAF" w14:textId="77777777" w:rsidR="003C096C" w:rsidRPr="00EE7BDA" w:rsidRDefault="003C096C" w:rsidP="009E4203">
            <w:pPr>
              <w:jc w:val="both"/>
              <w:rPr>
                <w:rFonts w:ascii="Times New Roman" w:eastAsia="Times New Roman" w:hAnsi="Times New Roman" w:cs="Times New Roman"/>
                <w:sz w:val="20"/>
                <w:szCs w:val="20"/>
                <w:lang w:eastAsia="es-MX"/>
              </w:rPr>
            </w:pPr>
          </w:p>
        </w:tc>
        <w:tc>
          <w:tcPr>
            <w:tcW w:w="1912" w:type="dxa"/>
            <w:shd w:val="clear" w:color="auto" w:fill="auto"/>
            <w:noWrap/>
            <w:vAlign w:val="bottom"/>
            <w:hideMark/>
          </w:tcPr>
          <w:p w14:paraId="649E3CE8" w14:textId="77777777" w:rsidR="003C096C" w:rsidRPr="00EE7BDA" w:rsidRDefault="003C096C" w:rsidP="009E4203">
            <w:pPr>
              <w:jc w:val="center"/>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Comprensión lectora</w:t>
            </w:r>
          </w:p>
        </w:tc>
        <w:tc>
          <w:tcPr>
            <w:tcW w:w="1262" w:type="dxa"/>
            <w:shd w:val="clear" w:color="auto" w:fill="auto"/>
            <w:noWrap/>
            <w:vAlign w:val="bottom"/>
            <w:hideMark/>
          </w:tcPr>
          <w:p w14:paraId="2593834C" w14:textId="77777777" w:rsidR="003C096C" w:rsidRPr="00EE7BDA" w:rsidRDefault="003C096C" w:rsidP="009E4203">
            <w:pPr>
              <w:jc w:val="center"/>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Matemáticas</w:t>
            </w:r>
          </w:p>
        </w:tc>
      </w:tr>
      <w:tr w:rsidR="003C096C" w:rsidRPr="00EE7BDA" w14:paraId="6F0DC857" w14:textId="77777777" w:rsidTr="00EE7BDA">
        <w:trPr>
          <w:trHeight w:val="259"/>
          <w:jc w:val="center"/>
        </w:trPr>
        <w:tc>
          <w:tcPr>
            <w:tcW w:w="3033" w:type="dxa"/>
            <w:shd w:val="clear" w:color="auto" w:fill="auto"/>
            <w:noWrap/>
            <w:vAlign w:val="bottom"/>
            <w:hideMark/>
          </w:tcPr>
          <w:p w14:paraId="3077BD7A" w14:textId="77777777" w:rsidR="003C096C" w:rsidRPr="00EE7BDA" w:rsidRDefault="003C096C" w:rsidP="009E4203">
            <w:pPr>
              <w:jc w:val="both"/>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Coeficiente de correlación</w:t>
            </w:r>
          </w:p>
        </w:tc>
        <w:tc>
          <w:tcPr>
            <w:tcW w:w="1912" w:type="dxa"/>
            <w:shd w:val="clear" w:color="auto" w:fill="auto"/>
            <w:noWrap/>
            <w:vAlign w:val="bottom"/>
            <w:hideMark/>
          </w:tcPr>
          <w:p w14:paraId="7CACCA55" w14:textId="77777777" w:rsidR="003C096C" w:rsidRPr="00EE7BDA" w:rsidRDefault="003C096C" w:rsidP="009E4203">
            <w:pPr>
              <w:jc w:val="center"/>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1</w:t>
            </w:r>
          </w:p>
        </w:tc>
        <w:tc>
          <w:tcPr>
            <w:tcW w:w="1262" w:type="dxa"/>
            <w:shd w:val="clear" w:color="auto" w:fill="auto"/>
            <w:noWrap/>
            <w:vAlign w:val="bottom"/>
            <w:hideMark/>
          </w:tcPr>
          <w:p w14:paraId="0BDB16FE" w14:textId="77777777" w:rsidR="003C096C" w:rsidRPr="00EE7BDA" w:rsidRDefault="003C096C" w:rsidP="009E4203">
            <w:pPr>
              <w:jc w:val="center"/>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.391**</w:t>
            </w:r>
          </w:p>
        </w:tc>
      </w:tr>
      <w:tr w:rsidR="003C096C" w:rsidRPr="00EE7BDA" w14:paraId="0F5D7893" w14:textId="77777777" w:rsidTr="00EE7BDA">
        <w:trPr>
          <w:trHeight w:val="259"/>
          <w:jc w:val="center"/>
        </w:trPr>
        <w:tc>
          <w:tcPr>
            <w:tcW w:w="3033" w:type="dxa"/>
            <w:shd w:val="clear" w:color="auto" w:fill="auto"/>
            <w:noWrap/>
            <w:vAlign w:val="bottom"/>
            <w:hideMark/>
          </w:tcPr>
          <w:p w14:paraId="7ECBA90A" w14:textId="77777777" w:rsidR="003C096C" w:rsidRPr="00EE7BDA" w:rsidRDefault="003C096C" w:rsidP="009E4203">
            <w:pPr>
              <w:jc w:val="both"/>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Sig. (unilateral)</w:t>
            </w:r>
          </w:p>
        </w:tc>
        <w:tc>
          <w:tcPr>
            <w:tcW w:w="1912" w:type="dxa"/>
            <w:shd w:val="clear" w:color="auto" w:fill="auto"/>
            <w:noWrap/>
            <w:vAlign w:val="bottom"/>
            <w:hideMark/>
          </w:tcPr>
          <w:p w14:paraId="6620D326" w14:textId="77777777" w:rsidR="003C096C" w:rsidRPr="00EE7BDA" w:rsidRDefault="003C096C" w:rsidP="009E4203">
            <w:pPr>
              <w:jc w:val="center"/>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w:t>
            </w:r>
          </w:p>
        </w:tc>
        <w:tc>
          <w:tcPr>
            <w:tcW w:w="1262" w:type="dxa"/>
            <w:shd w:val="clear" w:color="auto" w:fill="auto"/>
            <w:noWrap/>
            <w:vAlign w:val="bottom"/>
            <w:hideMark/>
          </w:tcPr>
          <w:p w14:paraId="14515603" w14:textId="77777777" w:rsidR="003C096C" w:rsidRPr="00EE7BDA" w:rsidRDefault="003C096C" w:rsidP="009E4203">
            <w:pPr>
              <w:jc w:val="center"/>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0</w:t>
            </w:r>
          </w:p>
        </w:tc>
      </w:tr>
      <w:tr w:rsidR="003C096C" w:rsidRPr="00EE7BDA" w14:paraId="1B6A5F9A" w14:textId="77777777" w:rsidTr="00EE7BDA">
        <w:trPr>
          <w:trHeight w:val="259"/>
          <w:jc w:val="center"/>
        </w:trPr>
        <w:tc>
          <w:tcPr>
            <w:tcW w:w="3033" w:type="dxa"/>
            <w:shd w:val="clear" w:color="auto" w:fill="auto"/>
            <w:noWrap/>
            <w:vAlign w:val="bottom"/>
            <w:hideMark/>
          </w:tcPr>
          <w:p w14:paraId="0FE75DD2" w14:textId="77777777" w:rsidR="003C096C" w:rsidRPr="00EE7BDA" w:rsidRDefault="003C096C" w:rsidP="009E4203">
            <w:pPr>
              <w:jc w:val="both"/>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N</w:t>
            </w:r>
          </w:p>
        </w:tc>
        <w:tc>
          <w:tcPr>
            <w:tcW w:w="1912" w:type="dxa"/>
            <w:shd w:val="clear" w:color="auto" w:fill="auto"/>
            <w:noWrap/>
            <w:vAlign w:val="bottom"/>
            <w:hideMark/>
          </w:tcPr>
          <w:p w14:paraId="3A070087" w14:textId="77777777" w:rsidR="003C096C" w:rsidRPr="00EE7BDA" w:rsidRDefault="003C096C" w:rsidP="009E4203">
            <w:pPr>
              <w:jc w:val="center"/>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113</w:t>
            </w:r>
          </w:p>
        </w:tc>
        <w:tc>
          <w:tcPr>
            <w:tcW w:w="1262" w:type="dxa"/>
            <w:shd w:val="clear" w:color="auto" w:fill="auto"/>
            <w:noWrap/>
            <w:vAlign w:val="bottom"/>
            <w:hideMark/>
          </w:tcPr>
          <w:p w14:paraId="39AC2092" w14:textId="77777777" w:rsidR="003C096C" w:rsidRPr="00EE7BDA" w:rsidRDefault="003C096C" w:rsidP="009E4203">
            <w:pPr>
              <w:jc w:val="center"/>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113</w:t>
            </w:r>
          </w:p>
        </w:tc>
      </w:tr>
      <w:tr w:rsidR="003C096C" w:rsidRPr="00EE7BDA" w14:paraId="52EE07A3" w14:textId="77777777" w:rsidTr="00EE7BDA">
        <w:trPr>
          <w:trHeight w:val="259"/>
          <w:jc w:val="center"/>
        </w:trPr>
        <w:tc>
          <w:tcPr>
            <w:tcW w:w="3033" w:type="dxa"/>
            <w:shd w:val="clear" w:color="auto" w:fill="auto"/>
            <w:noWrap/>
            <w:vAlign w:val="bottom"/>
            <w:hideMark/>
          </w:tcPr>
          <w:p w14:paraId="5AE25343" w14:textId="77777777" w:rsidR="003C096C" w:rsidRPr="00EE7BDA" w:rsidRDefault="003C096C" w:rsidP="009E4203">
            <w:pPr>
              <w:jc w:val="both"/>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Coeficiente de correlación</w:t>
            </w:r>
          </w:p>
        </w:tc>
        <w:tc>
          <w:tcPr>
            <w:tcW w:w="1912" w:type="dxa"/>
            <w:shd w:val="clear" w:color="auto" w:fill="auto"/>
            <w:noWrap/>
            <w:vAlign w:val="bottom"/>
            <w:hideMark/>
          </w:tcPr>
          <w:p w14:paraId="37A113A6" w14:textId="77777777" w:rsidR="003C096C" w:rsidRPr="00EE7BDA" w:rsidRDefault="003C096C" w:rsidP="009E4203">
            <w:pPr>
              <w:jc w:val="center"/>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.391**</w:t>
            </w:r>
          </w:p>
        </w:tc>
        <w:tc>
          <w:tcPr>
            <w:tcW w:w="1262" w:type="dxa"/>
            <w:shd w:val="clear" w:color="auto" w:fill="auto"/>
            <w:noWrap/>
            <w:vAlign w:val="bottom"/>
            <w:hideMark/>
          </w:tcPr>
          <w:p w14:paraId="397B86C5" w14:textId="77777777" w:rsidR="003C096C" w:rsidRPr="00EE7BDA" w:rsidRDefault="003C096C" w:rsidP="009E4203">
            <w:pPr>
              <w:jc w:val="center"/>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1</w:t>
            </w:r>
          </w:p>
        </w:tc>
      </w:tr>
      <w:tr w:rsidR="003C096C" w:rsidRPr="00EE7BDA" w14:paraId="3EB15131" w14:textId="77777777" w:rsidTr="00EE7BDA">
        <w:trPr>
          <w:trHeight w:val="259"/>
          <w:jc w:val="center"/>
        </w:trPr>
        <w:tc>
          <w:tcPr>
            <w:tcW w:w="3033" w:type="dxa"/>
            <w:shd w:val="clear" w:color="auto" w:fill="auto"/>
            <w:noWrap/>
            <w:vAlign w:val="bottom"/>
            <w:hideMark/>
          </w:tcPr>
          <w:p w14:paraId="10A7CA6A" w14:textId="77777777" w:rsidR="003C096C" w:rsidRPr="00EE7BDA" w:rsidRDefault="003C096C" w:rsidP="009E4203">
            <w:pPr>
              <w:jc w:val="both"/>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Sig. (unilateral)</w:t>
            </w:r>
          </w:p>
        </w:tc>
        <w:tc>
          <w:tcPr>
            <w:tcW w:w="1912" w:type="dxa"/>
            <w:shd w:val="clear" w:color="auto" w:fill="auto"/>
            <w:noWrap/>
            <w:vAlign w:val="bottom"/>
            <w:hideMark/>
          </w:tcPr>
          <w:p w14:paraId="100D01F4" w14:textId="77777777" w:rsidR="003C096C" w:rsidRPr="00EE7BDA" w:rsidRDefault="003C096C" w:rsidP="009E4203">
            <w:pPr>
              <w:jc w:val="center"/>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0</w:t>
            </w:r>
          </w:p>
        </w:tc>
        <w:tc>
          <w:tcPr>
            <w:tcW w:w="1262" w:type="dxa"/>
            <w:shd w:val="clear" w:color="auto" w:fill="auto"/>
            <w:noWrap/>
            <w:vAlign w:val="bottom"/>
            <w:hideMark/>
          </w:tcPr>
          <w:p w14:paraId="5E109F04" w14:textId="77777777" w:rsidR="003C096C" w:rsidRPr="00EE7BDA" w:rsidRDefault="003C096C" w:rsidP="009E4203">
            <w:pPr>
              <w:jc w:val="center"/>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w:t>
            </w:r>
          </w:p>
        </w:tc>
      </w:tr>
      <w:tr w:rsidR="003C096C" w:rsidRPr="00EE7BDA" w14:paraId="5E47D466" w14:textId="77777777" w:rsidTr="00EE7BDA">
        <w:trPr>
          <w:trHeight w:val="259"/>
          <w:jc w:val="center"/>
        </w:trPr>
        <w:tc>
          <w:tcPr>
            <w:tcW w:w="3033" w:type="dxa"/>
            <w:shd w:val="clear" w:color="auto" w:fill="auto"/>
            <w:noWrap/>
            <w:vAlign w:val="bottom"/>
            <w:hideMark/>
          </w:tcPr>
          <w:p w14:paraId="33849E7E" w14:textId="77777777" w:rsidR="003C096C" w:rsidRPr="00EE7BDA" w:rsidRDefault="003C096C" w:rsidP="009E4203">
            <w:pPr>
              <w:jc w:val="both"/>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N</w:t>
            </w:r>
          </w:p>
        </w:tc>
        <w:tc>
          <w:tcPr>
            <w:tcW w:w="1912" w:type="dxa"/>
            <w:shd w:val="clear" w:color="auto" w:fill="auto"/>
            <w:noWrap/>
            <w:vAlign w:val="bottom"/>
            <w:hideMark/>
          </w:tcPr>
          <w:p w14:paraId="01C10B83" w14:textId="77777777" w:rsidR="003C096C" w:rsidRPr="00EE7BDA" w:rsidRDefault="003C096C" w:rsidP="009E4203">
            <w:pPr>
              <w:jc w:val="center"/>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113</w:t>
            </w:r>
          </w:p>
        </w:tc>
        <w:tc>
          <w:tcPr>
            <w:tcW w:w="1262" w:type="dxa"/>
            <w:shd w:val="clear" w:color="auto" w:fill="auto"/>
            <w:noWrap/>
            <w:vAlign w:val="bottom"/>
            <w:hideMark/>
          </w:tcPr>
          <w:p w14:paraId="65E35BDB" w14:textId="77777777" w:rsidR="003C096C" w:rsidRPr="00EE7BDA" w:rsidRDefault="003C096C" w:rsidP="009E4203">
            <w:pPr>
              <w:jc w:val="center"/>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113</w:t>
            </w:r>
          </w:p>
        </w:tc>
      </w:tr>
      <w:tr w:rsidR="003C096C" w:rsidRPr="00EE7BDA" w14:paraId="58274262" w14:textId="77777777" w:rsidTr="00EE7BDA">
        <w:trPr>
          <w:trHeight w:val="259"/>
          <w:jc w:val="center"/>
        </w:trPr>
        <w:tc>
          <w:tcPr>
            <w:tcW w:w="6207" w:type="dxa"/>
            <w:gridSpan w:val="3"/>
            <w:shd w:val="clear" w:color="auto" w:fill="auto"/>
            <w:noWrap/>
            <w:vAlign w:val="bottom"/>
            <w:hideMark/>
          </w:tcPr>
          <w:p w14:paraId="04AC36DB" w14:textId="77777777" w:rsidR="003C096C" w:rsidRPr="00EE7BDA" w:rsidRDefault="003C096C" w:rsidP="009E4203">
            <w:pPr>
              <w:jc w:val="both"/>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 La correlación es significativa en el nivel 0,01 (unilateral).</w:t>
            </w:r>
          </w:p>
          <w:p w14:paraId="5DC13551" w14:textId="77777777" w:rsidR="003C096C" w:rsidRPr="00EE7BDA" w:rsidRDefault="003C096C" w:rsidP="009E4203">
            <w:pPr>
              <w:jc w:val="both"/>
              <w:rPr>
                <w:rFonts w:ascii="Times New Roman" w:eastAsia="Times New Roman" w:hAnsi="Times New Roman" w:cs="Times New Roman"/>
                <w:sz w:val="24"/>
                <w:szCs w:val="24"/>
                <w:lang w:eastAsia="es-MX"/>
              </w:rPr>
            </w:pPr>
          </w:p>
        </w:tc>
      </w:tr>
    </w:tbl>
    <w:p w14:paraId="7F79643F" w14:textId="57C0BF41" w:rsidR="003C096C" w:rsidRPr="004C626E" w:rsidRDefault="003C096C" w:rsidP="004C626E">
      <w:pPr>
        <w:pStyle w:val="NormalWeb"/>
        <w:spacing w:before="0" w:beforeAutospacing="0" w:after="0" w:afterAutospacing="0" w:line="360" w:lineRule="auto"/>
        <w:jc w:val="center"/>
        <w:rPr>
          <w:lang w:val="es-MX"/>
        </w:rPr>
      </w:pPr>
      <w:r w:rsidRPr="004C626E">
        <w:rPr>
          <w:lang w:val="es-MX"/>
        </w:rPr>
        <w:t>Fuente: Elaboración propia</w:t>
      </w:r>
    </w:p>
    <w:p w14:paraId="6F07CE14" w14:textId="77777777" w:rsidR="003C096C" w:rsidRDefault="003C096C" w:rsidP="003C096C">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w:t>
      </w:r>
      <w:r w:rsidRPr="00465B95">
        <w:rPr>
          <w:rFonts w:ascii="Times New Roman" w:hAnsi="Times New Roman" w:cs="Times New Roman"/>
          <w:sz w:val="24"/>
          <w:szCs w:val="24"/>
          <w:lang w:val="es-ES"/>
        </w:rPr>
        <w:t xml:space="preserve">la </w:t>
      </w:r>
      <w:r>
        <w:rPr>
          <w:rFonts w:ascii="Times New Roman" w:hAnsi="Times New Roman" w:cs="Times New Roman"/>
          <w:sz w:val="24"/>
          <w:szCs w:val="24"/>
          <w:lang w:val="es-ES"/>
        </w:rPr>
        <w:t>t</w:t>
      </w:r>
      <w:r w:rsidRPr="00465B95">
        <w:rPr>
          <w:rFonts w:ascii="Times New Roman" w:hAnsi="Times New Roman" w:cs="Times New Roman"/>
          <w:sz w:val="24"/>
          <w:szCs w:val="24"/>
          <w:lang w:val="es-ES"/>
        </w:rPr>
        <w:t xml:space="preserve">abla 2 se </w:t>
      </w:r>
      <w:r>
        <w:rPr>
          <w:rFonts w:ascii="Times New Roman" w:hAnsi="Times New Roman" w:cs="Times New Roman"/>
          <w:sz w:val="24"/>
          <w:szCs w:val="24"/>
          <w:lang w:val="es-ES"/>
        </w:rPr>
        <w:t>observa</w:t>
      </w:r>
      <w:r w:rsidRPr="00465B95">
        <w:rPr>
          <w:rFonts w:ascii="Times New Roman" w:hAnsi="Times New Roman" w:cs="Times New Roman"/>
          <w:sz w:val="24"/>
          <w:szCs w:val="24"/>
          <w:lang w:val="es-ES"/>
        </w:rPr>
        <w:t xml:space="preserve"> un coeficiente de correlación de Rho de Spearman (</w:t>
      </w:r>
      <m:oMath>
        <m:sSub>
          <m:sSubPr>
            <m:ctrlPr>
              <w:rPr>
                <w:rFonts w:ascii="Cambria Math" w:hAnsi="Cambria Math"/>
                <w:i/>
              </w:rPr>
            </m:ctrlPr>
          </m:sSubPr>
          <m:e>
            <m:r>
              <w:rPr>
                <w:rFonts w:ascii="Cambria Math" w:hAnsi="Cambria Math"/>
              </w:rPr>
              <m:t>r</m:t>
            </m:r>
          </m:e>
          <m:sub>
            <m:r>
              <w:rPr>
                <w:rFonts w:ascii="Cambria Math" w:hAnsi="Cambria Math"/>
              </w:rPr>
              <m:t>s</m:t>
            </m:r>
          </m:sub>
        </m:sSub>
      </m:oMath>
      <w:r w:rsidRPr="00465B95">
        <w:rPr>
          <w:rFonts w:ascii="Times New Roman" w:hAnsi="Times New Roman" w:cs="Times New Roman"/>
          <w:sz w:val="24"/>
          <w:szCs w:val="24"/>
          <w:lang w:val="es-ES"/>
        </w:rPr>
        <w:t xml:space="preserve">) igual a 0.391. Para interpretar este coeficiente, </w:t>
      </w:r>
      <w:r>
        <w:rPr>
          <w:rFonts w:ascii="Times New Roman" w:hAnsi="Times New Roman" w:cs="Times New Roman"/>
          <w:sz w:val="24"/>
          <w:szCs w:val="24"/>
          <w:lang w:val="es-ES"/>
        </w:rPr>
        <w:t xml:space="preserve">véase </w:t>
      </w:r>
      <w:r w:rsidRPr="00465B95">
        <w:rPr>
          <w:rFonts w:ascii="Times New Roman" w:hAnsi="Times New Roman" w:cs="Times New Roman"/>
          <w:sz w:val="24"/>
          <w:szCs w:val="24"/>
          <w:lang w:val="es-ES"/>
        </w:rPr>
        <w:t xml:space="preserve">la </w:t>
      </w:r>
      <w:r>
        <w:rPr>
          <w:rFonts w:ascii="Times New Roman" w:hAnsi="Times New Roman" w:cs="Times New Roman"/>
          <w:sz w:val="24"/>
          <w:szCs w:val="24"/>
          <w:lang w:val="es-ES"/>
        </w:rPr>
        <w:t>t</w:t>
      </w:r>
      <w:r w:rsidRPr="00465B95">
        <w:rPr>
          <w:rFonts w:ascii="Times New Roman" w:hAnsi="Times New Roman" w:cs="Times New Roman"/>
          <w:sz w:val="24"/>
          <w:szCs w:val="24"/>
          <w:lang w:val="es-ES"/>
        </w:rPr>
        <w:t xml:space="preserve">abla 3, </w:t>
      </w:r>
      <w:r>
        <w:rPr>
          <w:rFonts w:ascii="Times New Roman" w:hAnsi="Times New Roman" w:cs="Times New Roman"/>
          <w:sz w:val="24"/>
          <w:szCs w:val="24"/>
          <w:lang w:val="es-ES"/>
        </w:rPr>
        <w:t xml:space="preserve">donde se aprecia </w:t>
      </w:r>
      <w:r w:rsidRPr="00465B95">
        <w:rPr>
          <w:rFonts w:ascii="Times New Roman" w:hAnsi="Times New Roman" w:cs="Times New Roman"/>
          <w:sz w:val="24"/>
          <w:szCs w:val="24"/>
          <w:lang w:val="es-ES"/>
        </w:rPr>
        <w:t xml:space="preserve">una correlación positiva baja. Esto implica que cuando una variable aumenta, la otra también tiende a aumentar, aunque no necesariamente en la misma proporción. </w:t>
      </w:r>
      <w:r>
        <w:rPr>
          <w:rFonts w:ascii="Times New Roman" w:hAnsi="Times New Roman" w:cs="Times New Roman"/>
          <w:sz w:val="24"/>
          <w:szCs w:val="24"/>
          <w:lang w:val="es-ES"/>
        </w:rPr>
        <w:t>Asimismo, e</w:t>
      </w:r>
      <w:r w:rsidRPr="00465B95">
        <w:rPr>
          <w:rFonts w:ascii="Times New Roman" w:hAnsi="Times New Roman" w:cs="Times New Roman"/>
          <w:sz w:val="24"/>
          <w:szCs w:val="24"/>
          <w:lang w:val="es-ES"/>
        </w:rPr>
        <w:t>s importante destacar que este coeficiente no establece una relación causal entre las variables.</w:t>
      </w:r>
    </w:p>
    <w:p w14:paraId="1979C596" w14:textId="77777777" w:rsidR="003C096C" w:rsidRPr="00465B95" w:rsidRDefault="003C096C" w:rsidP="003C096C">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Ahora bien, p</w:t>
      </w:r>
      <w:r w:rsidRPr="00465B95">
        <w:rPr>
          <w:rFonts w:ascii="Times New Roman" w:hAnsi="Times New Roman" w:cs="Times New Roman"/>
          <w:sz w:val="24"/>
          <w:szCs w:val="24"/>
          <w:lang w:val="es-ES"/>
        </w:rPr>
        <w:t xml:space="preserve">ara determinar el efecto de la variable independiente </w:t>
      </w:r>
      <w:r w:rsidRPr="00FB55BF">
        <w:rPr>
          <w:rFonts w:ascii="Times New Roman" w:hAnsi="Times New Roman" w:cs="Times New Roman"/>
          <w:i/>
          <w:iCs/>
          <w:sz w:val="24"/>
          <w:szCs w:val="24"/>
          <w:lang w:val="es-ES"/>
        </w:rPr>
        <w:t>comprensión lectora</w:t>
      </w:r>
      <w:r w:rsidRPr="00465B95">
        <w:rPr>
          <w:rFonts w:ascii="Times New Roman" w:hAnsi="Times New Roman" w:cs="Times New Roman"/>
          <w:sz w:val="24"/>
          <w:szCs w:val="24"/>
          <w:lang w:val="es-ES"/>
        </w:rPr>
        <w:t xml:space="preserve"> (X) sobre la variable dependiente </w:t>
      </w:r>
      <w:r w:rsidRPr="00FB55BF">
        <w:rPr>
          <w:rFonts w:ascii="Times New Roman" w:hAnsi="Times New Roman" w:cs="Times New Roman"/>
          <w:i/>
          <w:iCs/>
          <w:sz w:val="24"/>
          <w:szCs w:val="24"/>
          <w:lang w:val="es-ES"/>
        </w:rPr>
        <w:t>matemáticas</w:t>
      </w:r>
      <w:r w:rsidRPr="00465B95">
        <w:rPr>
          <w:rFonts w:ascii="Times New Roman" w:hAnsi="Times New Roman" w:cs="Times New Roman"/>
          <w:sz w:val="24"/>
          <w:szCs w:val="24"/>
          <w:lang w:val="es-ES"/>
        </w:rPr>
        <w:t xml:space="preserve"> (Y), se utilizará un modelo de regresión lineal, el cual será explicado </w:t>
      </w:r>
      <w:r>
        <w:rPr>
          <w:rFonts w:ascii="Times New Roman" w:hAnsi="Times New Roman" w:cs="Times New Roman"/>
          <w:sz w:val="24"/>
          <w:szCs w:val="24"/>
          <w:lang w:val="es-ES"/>
        </w:rPr>
        <w:t>más adelante</w:t>
      </w:r>
      <w:r w:rsidRPr="00465B95">
        <w:rPr>
          <w:rFonts w:ascii="Times New Roman" w:hAnsi="Times New Roman" w:cs="Times New Roman"/>
          <w:sz w:val="24"/>
          <w:szCs w:val="24"/>
          <w:lang w:val="es-ES"/>
        </w:rPr>
        <w:t>.</w:t>
      </w:r>
    </w:p>
    <w:p w14:paraId="6F9DC9C1" w14:textId="77777777" w:rsidR="003C096C" w:rsidRPr="00465B95" w:rsidRDefault="003C096C" w:rsidP="003C096C">
      <w:pPr>
        <w:spacing w:line="360" w:lineRule="auto"/>
        <w:jc w:val="both"/>
        <w:rPr>
          <w:rFonts w:ascii="Times New Roman" w:hAnsi="Times New Roman" w:cs="Times New Roman"/>
          <w:sz w:val="24"/>
          <w:szCs w:val="24"/>
          <w:lang w:val="es-ES"/>
        </w:rPr>
      </w:pPr>
    </w:p>
    <w:p w14:paraId="1351EF25" w14:textId="77777777" w:rsidR="003C096C" w:rsidRPr="00465B95" w:rsidRDefault="003C096C" w:rsidP="003C096C">
      <w:pPr>
        <w:pStyle w:val="NormalWeb"/>
        <w:spacing w:before="0" w:beforeAutospacing="0" w:after="0" w:afterAutospacing="0" w:line="360" w:lineRule="auto"/>
        <w:jc w:val="center"/>
      </w:pPr>
      <w:r w:rsidRPr="00FB55BF">
        <w:rPr>
          <w:b/>
          <w:bCs/>
        </w:rPr>
        <w:t>Tabla 3.</w:t>
      </w:r>
      <w:r w:rsidRPr="00465B95">
        <w:t xml:space="preserve"> Interpretación coeficiente de correlación Rho de Spearman</w:t>
      </w:r>
    </w:p>
    <w:tbl>
      <w:tblPr>
        <w:tblW w:w="4317" w:type="dxa"/>
        <w:jc w:val="center"/>
        <w:tblCellMar>
          <w:top w:w="15" w:type="dxa"/>
          <w:left w:w="70" w:type="dxa"/>
          <w:right w:w="70" w:type="dxa"/>
        </w:tblCellMar>
        <w:tblLook w:val="04A0" w:firstRow="1" w:lastRow="0" w:firstColumn="1" w:lastColumn="0" w:noHBand="0" w:noVBand="1"/>
      </w:tblPr>
      <w:tblGrid>
        <w:gridCol w:w="1772"/>
        <w:gridCol w:w="2328"/>
        <w:gridCol w:w="217"/>
      </w:tblGrid>
      <w:tr w:rsidR="003C096C" w:rsidRPr="004C626E" w14:paraId="69F8F815" w14:textId="77777777" w:rsidTr="009E4203">
        <w:trPr>
          <w:gridAfter w:val="1"/>
          <w:wAfter w:w="217" w:type="dxa"/>
          <w:trHeight w:val="271"/>
          <w:jc w:val="center"/>
        </w:trPr>
        <w:tc>
          <w:tcPr>
            <w:tcW w:w="1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025FF"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Valor</w:t>
            </w:r>
          </w:p>
        </w:tc>
        <w:tc>
          <w:tcPr>
            <w:tcW w:w="2328" w:type="dxa"/>
            <w:tcBorders>
              <w:top w:val="single" w:sz="4" w:space="0" w:color="auto"/>
              <w:left w:val="nil"/>
              <w:bottom w:val="single" w:sz="4" w:space="0" w:color="auto"/>
              <w:right w:val="single" w:sz="4" w:space="0" w:color="auto"/>
            </w:tcBorders>
            <w:shd w:val="clear" w:color="auto" w:fill="auto"/>
            <w:noWrap/>
            <w:vAlign w:val="bottom"/>
            <w:hideMark/>
          </w:tcPr>
          <w:p w14:paraId="22CE9363"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Significado</w:t>
            </w:r>
          </w:p>
        </w:tc>
      </w:tr>
      <w:tr w:rsidR="003C096C" w:rsidRPr="004C626E" w14:paraId="5003E197" w14:textId="77777777" w:rsidTr="009E4203">
        <w:trPr>
          <w:trHeight w:val="271"/>
          <w:jc w:val="center"/>
        </w:trPr>
        <w:tc>
          <w:tcPr>
            <w:tcW w:w="1772" w:type="dxa"/>
            <w:tcBorders>
              <w:top w:val="nil"/>
              <w:left w:val="single" w:sz="4" w:space="0" w:color="000000"/>
              <w:bottom w:val="single" w:sz="4" w:space="0" w:color="000000"/>
              <w:right w:val="single" w:sz="4" w:space="0" w:color="000000"/>
            </w:tcBorders>
            <w:shd w:val="clear" w:color="000000" w:fill="FFFFFF"/>
            <w:vAlign w:val="center"/>
            <w:hideMark/>
          </w:tcPr>
          <w:p w14:paraId="0F522389"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-0.01 – 0-19</w:t>
            </w:r>
          </w:p>
        </w:tc>
        <w:tc>
          <w:tcPr>
            <w:tcW w:w="2328" w:type="dxa"/>
            <w:tcBorders>
              <w:top w:val="single" w:sz="4" w:space="0" w:color="000000"/>
              <w:left w:val="nil"/>
              <w:bottom w:val="single" w:sz="4" w:space="0" w:color="000000"/>
              <w:right w:val="single" w:sz="4" w:space="0" w:color="000000"/>
            </w:tcBorders>
            <w:shd w:val="clear" w:color="000000" w:fill="FFFFFF"/>
            <w:vAlign w:val="center"/>
            <w:hideMark/>
          </w:tcPr>
          <w:p w14:paraId="5D29F371"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negativa muy baja</w:t>
            </w:r>
          </w:p>
        </w:tc>
        <w:tc>
          <w:tcPr>
            <w:tcW w:w="217" w:type="dxa"/>
            <w:vAlign w:val="center"/>
            <w:hideMark/>
          </w:tcPr>
          <w:p w14:paraId="2D6D2A7E" w14:textId="77777777" w:rsidR="003C096C" w:rsidRPr="004C626E" w:rsidRDefault="003C096C" w:rsidP="009E4203">
            <w:pPr>
              <w:jc w:val="both"/>
              <w:rPr>
                <w:rFonts w:ascii="Times New Roman" w:hAnsi="Times New Roman" w:cs="Times New Roman"/>
                <w:sz w:val="24"/>
                <w:szCs w:val="24"/>
              </w:rPr>
            </w:pPr>
          </w:p>
        </w:tc>
      </w:tr>
      <w:tr w:rsidR="003C096C" w:rsidRPr="004C626E" w14:paraId="19C5E2DF" w14:textId="77777777" w:rsidTr="009E4203">
        <w:trPr>
          <w:trHeight w:val="271"/>
          <w:jc w:val="center"/>
        </w:trPr>
        <w:tc>
          <w:tcPr>
            <w:tcW w:w="1772" w:type="dxa"/>
            <w:tcBorders>
              <w:top w:val="nil"/>
              <w:left w:val="single" w:sz="4" w:space="0" w:color="000000"/>
              <w:bottom w:val="single" w:sz="4" w:space="0" w:color="000000"/>
              <w:right w:val="single" w:sz="4" w:space="0" w:color="000000"/>
            </w:tcBorders>
            <w:shd w:val="clear" w:color="000000" w:fill="FFFFFF"/>
            <w:vAlign w:val="center"/>
            <w:hideMark/>
          </w:tcPr>
          <w:p w14:paraId="3FF23213"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-0,2 a -0,39</w:t>
            </w:r>
          </w:p>
        </w:tc>
        <w:tc>
          <w:tcPr>
            <w:tcW w:w="2328" w:type="dxa"/>
            <w:tcBorders>
              <w:top w:val="single" w:sz="4" w:space="0" w:color="000000"/>
              <w:left w:val="nil"/>
              <w:bottom w:val="single" w:sz="4" w:space="0" w:color="000000"/>
              <w:right w:val="single" w:sz="4" w:space="0" w:color="000000"/>
            </w:tcBorders>
            <w:shd w:val="clear" w:color="000000" w:fill="FFFFFF"/>
            <w:vAlign w:val="center"/>
            <w:hideMark/>
          </w:tcPr>
          <w:p w14:paraId="4977E309"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negativa baja</w:t>
            </w:r>
          </w:p>
        </w:tc>
        <w:tc>
          <w:tcPr>
            <w:tcW w:w="217" w:type="dxa"/>
            <w:vAlign w:val="center"/>
            <w:hideMark/>
          </w:tcPr>
          <w:p w14:paraId="174DABD6" w14:textId="77777777" w:rsidR="003C096C" w:rsidRPr="004C626E" w:rsidRDefault="003C096C" w:rsidP="009E4203">
            <w:pPr>
              <w:jc w:val="both"/>
              <w:rPr>
                <w:rFonts w:ascii="Times New Roman" w:hAnsi="Times New Roman" w:cs="Times New Roman"/>
                <w:sz w:val="24"/>
                <w:szCs w:val="24"/>
              </w:rPr>
            </w:pPr>
          </w:p>
        </w:tc>
      </w:tr>
      <w:tr w:rsidR="003C096C" w:rsidRPr="004C626E" w14:paraId="356703C7" w14:textId="77777777" w:rsidTr="009E4203">
        <w:trPr>
          <w:trHeight w:val="271"/>
          <w:jc w:val="center"/>
        </w:trPr>
        <w:tc>
          <w:tcPr>
            <w:tcW w:w="1772" w:type="dxa"/>
            <w:tcBorders>
              <w:top w:val="nil"/>
              <w:left w:val="single" w:sz="4" w:space="0" w:color="000000"/>
              <w:bottom w:val="single" w:sz="4" w:space="0" w:color="000000"/>
              <w:right w:val="single" w:sz="4" w:space="0" w:color="000000"/>
            </w:tcBorders>
            <w:shd w:val="clear" w:color="000000" w:fill="FFFFFF"/>
            <w:vAlign w:val="center"/>
            <w:hideMark/>
          </w:tcPr>
          <w:p w14:paraId="579D4C58"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-0,4 a -0,59</w:t>
            </w:r>
          </w:p>
        </w:tc>
        <w:tc>
          <w:tcPr>
            <w:tcW w:w="2328" w:type="dxa"/>
            <w:tcBorders>
              <w:top w:val="single" w:sz="4" w:space="0" w:color="000000"/>
              <w:left w:val="nil"/>
              <w:bottom w:val="single" w:sz="4" w:space="0" w:color="000000"/>
              <w:right w:val="single" w:sz="4" w:space="0" w:color="000000"/>
            </w:tcBorders>
            <w:shd w:val="clear" w:color="000000" w:fill="FFFFFF"/>
            <w:vAlign w:val="center"/>
            <w:hideMark/>
          </w:tcPr>
          <w:p w14:paraId="4886A2CF"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negativa baja moderada</w:t>
            </w:r>
          </w:p>
        </w:tc>
        <w:tc>
          <w:tcPr>
            <w:tcW w:w="217" w:type="dxa"/>
            <w:vAlign w:val="center"/>
            <w:hideMark/>
          </w:tcPr>
          <w:p w14:paraId="7020CD0B" w14:textId="77777777" w:rsidR="003C096C" w:rsidRPr="004C626E" w:rsidRDefault="003C096C" w:rsidP="009E4203">
            <w:pPr>
              <w:jc w:val="both"/>
              <w:rPr>
                <w:rFonts w:ascii="Times New Roman" w:hAnsi="Times New Roman" w:cs="Times New Roman"/>
                <w:sz w:val="24"/>
                <w:szCs w:val="24"/>
              </w:rPr>
            </w:pPr>
          </w:p>
        </w:tc>
      </w:tr>
      <w:tr w:rsidR="003C096C" w:rsidRPr="004C626E" w14:paraId="084AB37E" w14:textId="77777777" w:rsidTr="009E4203">
        <w:trPr>
          <w:trHeight w:val="271"/>
          <w:jc w:val="center"/>
        </w:trPr>
        <w:tc>
          <w:tcPr>
            <w:tcW w:w="1772" w:type="dxa"/>
            <w:tcBorders>
              <w:top w:val="nil"/>
              <w:left w:val="single" w:sz="4" w:space="0" w:color="000000"/>
              <w:bottom w:val="single" w:sz="4" w:space="0" w:color="000000"/>
              <w:right w:val="single" w:sz="4" w:space="0" w:color="000000"/>
            </w:tcBorders>
            <w:shd w:val="clear" w:color="000000" w:fill="FFFFFF"/>
            <w:vAlign w:val="center"/>
            <w:hideMark/>
          </w:tcPr>
          <w:p w14:paraId="4C08A89B"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-0,60 a -0,79</w:t>
            </w:r>
          </w:p>
        </w:tc>
        <w:tc>
          <w:tcPr>
            <w:tcW w:w="2328" w:type="dxa"/>
            <w:tcBorders>
              <w:top w:val="single" w:sz="4" w:space="0" w:color="000000"/>
              <w:left w:val="nil"/>
              <w:bottom w:val="single" w:sz="4" w:space="0" w:color="000000"/>
              <w:right w:val="single" w:sz="4" w:space="0" w:color="000000"/>
            </w:tcBorders>
            <w:shd w:val="clear" w:color="000000" w:fill="FFFFFF"/>
            <w:vAlign w:val="center"/>
            <w:hideMark/>
          </w:tcPr>
          <w:p w14:paraId="03392ECF"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negativa alta</w:t>
            </w:r>
          </w:p>
        </w:tc>
        <w:tc>
          <w:tcPr>
            <w:tcW w:w="217" w:type="dxa"/>
            <w:vAlign w:val="center"/>
            <w:hideMark/>
          </w:tcPr>
          <w:p w14:paraId="43C56F46" w14:textId="77777777" w:rsidR="003C096C" w:rsidRPr="004C626E" w:rsidRDefault="003C096C" w:rsidP="009E4203">
            <w:pPr>
              <w:jc w:val="both"/>
              <w:rPr>
                <w:rFonts w:ascii="Times New Roman" w:hAnsi="Times New Roman" w:cs="Times New Roman"/>
                <w:sz w:val="24"/>
                <w:szCs w:val="24"/>
              </w:rPr>
            </w:pPr>
          </w:p>
        </w:tc>
      </w:tr>
      <w:tr w:rsidR="003C096C" w:rsidRPr="004C626E" w14:paraId="76B6BCAA" w14:textId="77777777" w:rsidTr="009E4203">
        <w:trPr>
          <w:trHeight w:val="271"/>
          <w:jc w:val="center"/>
        </w:trPr>
        <w:tc>
          <w:tcPr>
            <w:tcW w:w="1772" w:type="dxa"/>
            <w:tcBorders>
              <w:top w:val="nil"/>
              <w:left w:val="single" w:sz="4" w:space="0" w:color="000000"/>
              <w:bottom w:val="single" w:sz="4" w:space="0" w:color="000000"/>
              <w:right w:val="single" w:sz="4" w:space="0" w:color="000000"/>
            </w:tcBorders>
            <w:shd w:val="clear" w:color="000000" w:fill="FFFFFF"/>
            <w:vAlign w:val="center"/>
            <w:hideMark/>
          </w:tcPr>
          <w:p w14:paraId="34D491D6"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-0,80 a -0,99</w:t>
            </w:r>
          </w:p>
        </w:tc>
        <w:tc>
          <w:tcPr>
            <w:tcW w:w="2328" w:type="dxa"/>
            <w:tcBorders>
              <w:top w:val="single" w:sz="4" w:space="0" w:color="000000"/>
              <w:left w:val="nil"/>
              <w:bottom w:val="single" w:sz="4" w:space="0" w:color="000000"/>
              <w:right w:val="single" w:sz="4" w:space="0" w:color="000000"/>
            </w:tcBorders>
            <w:shd w:val="clear" w:color="000000" w:fill="FFFFFF"/>
            <w:vAlign w:val="center"/>
            <w:hideMark/>
          </w:tcPr>
          <w:p w14:paraId="59EB86E6"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negativa muy alta</w:t>
            </w:r>
          </w:p>
        </w:tc>
        <w:tc>
          <w:tcPr>
            <w:tcW w:w="217" w:type="dxa"/>
            <w:vAlign w:val="center"/>
            <w:hideMark/>
          </w:tcPr>
          <w:p w14:paraId="3BA2FC52" w14:textId="77777777" w:rsidR="003C096C" w:rsidRPr="004C626E" w:rsidRDefault="003C096C" w:rsidP="009E4203">
            <w:pPr>
              <w:jc w:val="both"/>
              <w:rPr>
                <w:rFonts w:ascii="Times New Roman" w:hAnsi="Times New Roman" w:cs="Times New Roman"/>
                <w:sz w:val="24"/>
                <w:szCs w:val="24"/>
              </w:rPr>
            </w:pPr>
          </w:p>
        </w:tc>
      </w:tr>
      <w:tr w:rsidR="003C096C" w:rsidRPr="004C626E" w14:paraId="6A15DA58" w14:textId="77777777" w:rsidTr="009E4203">
        <w:trPr>
          <w:trHeight w:val="271"/>
          <w:jc w:val="center"/>
        </w:trPr>
        <w:tc>
          <w:tcPr>
            <w:tcW w:w="1772" w:type="dxa"/>
            <w:tcBorders>
              <w:top w:val="nil"/>
              <w:left w:val="single" w:sz="4" w:space="0" w:color="000000"/>
              <w:bottom w:val="single" w:sz="4" w:space="0" w:color="000000"/>
              <w:right w:val="single" w:sz="4" w:space="0" w:color="000000"/>
            </w:tcBorders>
            <w:shd w:val="clear" w:color="000000" w:fill="FFFFFF"/>
            <w:vAlign w:val="center"/>
          </w:tcPr>
          <w:p w14:paraId="5B70AEA8"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-1</w:t>
            </w:r>
          </w:p>
        </w:tc>
        <w:tc>
          <w:tcPr>
            <w:tcW w:w="2328" w:type="dxa"/>
            <w:tcBorders>
              <w:top w:val="single" w:sz="4" w:space="0" w:color="000000"/>
              <w:left w:val="nil"/>
              <w:bottom w:val="single" w:sz="4" w:space="0" w:color="000000"/>
              <w:right w:val="single" w:sz="4" w:space="0" w:color="000000"/>
            </w:tcBorders>
            <w:shd w:val="clear" w:color="000000" w:fill="FFFFFF"/>
            <w:vAlign w:val="center"/>
          </w:tcPr>
          <w:p w14:paraId="0CE94843"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negativa perfecta</w:t>
            </w:r>
          </w:p>
        </w:tc>
        <w:tc>
          <w:tcPr>
            <w:tcW w:w="217" w:type="dxa"/>
            <w:vAlign w:val="center"/>
          </w:tcPr>
          <w:p w14:paraId="6C85F506" w14:textId="77777777" w:rsidR="003C096C" w:rsidRPr="004C626E" w:rsidRDefault="003C096C" w:rsidP="009E4203">
            <w:pPr>
              <w:jc w:val="both"/>
              <w:rPr>
                <w:rFonts w:ascii="Times New Roman" w:hAnsi="Times New Roman" w:cs="Times New Roman"/>
                <w:sz w:val="24"/>
                <w:szCs w:val="24"/>
              </w:rPr>
            </w:pPr>
          </w:p>
        </w:tc>
      </w:tr>
      <w:tr w:rsidR="003C096C" w:rsidRPr="004C626E" w14:paraId="5B8891B4" w14:textId="77777777" w:rsidTr="009E4203">
        <w:trPr>
          <w:trHeight w:val="271"/>
          <w:jc w:val="center"/>
        </w:trPr>
        <w:tc>
          <w:tcPr>
            <w:tcW w:w="1772" w:type="dxa"/>
            <w:tcBorders>
              <w:top w:val="nil"/>
              <w:left w:val="single" w:sz="4" w:space="0" w:color="000000"/>
              <w:bottom w:val="single" w:sz="4" w:space="0" w:color="000000"/>
              <w:right w:val="single" w:sz="4" w:space="0" w:color="000000"/>
            </w:tcBorders>
            <w:shd w:val="clear" w:color="000000" w:fill="FFFFFF"/>
            <w:vAlign w:val="center"/>
            <w:hideMark/>
          </w:tcPr>
          <w:p w14:paraId="636642D9"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0</w:t>
            </w:r>
          </w:p>
        </w:tc>
        <w:tc>
          <w:tcPr>
            <w:tcW w:w="2328" w:type="dxa"/>
            <w:tcBorders>
              <w:top w:val="single" w:sz="4" w:space="0" w:color="000000"/>
              <w:left w:val="nil"/>
              <w:bottom w:val="single" w:sz="4" w:space="0" w:color="000000"/>
              <w:right w:val="single" w:sz="4" w:space="0" w:color="000000"/>
            </w:tcBorders>
            <w:shd w:val="clear" w:color="000000" w:fill="FFFFFF"/>
            <w:vAlign w:val="center"/>
            <w:hideMark/>
          </w:tcPr>
          <w:p w14:paraId="651F79B6"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relación nula</w:t>
            </w:r>
          </w:p>
        </w:tc>
        <w:tc>
          <w:tcPr>
            <w:tcW w:w="217" w:type="dxa"/>
            <w:vAlign w:val="center"/>
            <w:hideMark/>
          </w:tcPr>
          <w:p w14:paraId="038D3721" w14:textId="77777777" w:rsidR="003C096C" w:rsidRPr="004C626E" w:rsidRDefault="003C096C" w:rsidP="009E4203">
            <w:pPr>
              <w:jc w:val="both"/>
              <w:rPr>
                <w:rFonts w:ascii="Times New Roman" w:hAnsi="Times New Roman" w:cs="Times New Roman"/>
                <w:sz w:val="24"/>
                <w:szCs w:val="24"/>
              </w:rPr>
            </w:pPr>
          </w:p>
        </w:tc>
      </w:tr>
      <w:tr w:rsidR="003C096C" w:rsidRPr="004C626E" w14:paraId="2C097529" w14:textId="77777777" w:rsidTr="009E4203">
        <w:trPr>
          <w:trHeight w:val="271"/>
          <w:jc w:val="center"/>
        </w:trPr>
        <w:tc>
          <w:tcPr>
            <w:tcW w:w="1772" w:type="dxa"/>
            <w:tcBorders>
              <w:top w:val="nil"/>
              <w:left w:val="single" w:sz="4" w:space="0" w:color="000000"/>
              <w:bottom w:val="single" w:sz="4" w:space="0" w:color="000000"/>
              <w:right w:val="single" w:sz="4" w:space="0" w:color="000000"/>
            </w:tcBorders>
            <w:shd w:val="clear" w:color="000000" w:fill="FFFFFF"/>
            <w:vAlign w:val="center"/>
            <w:hideMark/>
          </w:tcPr>
          <w:p w14:paraId="214A8062"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0,01 a 0,19</w:t>
            </w:r>
          </w:p>
        </w:tc>
        <w:tc>
          <w:tcPr>
            <w:tcW w:w="2328" w:type="dxa"/>
            <w:tcBorders>
              <w:top w:val="single" w:sz="4" w:space="0" w:color="000000"/>
              <w:left w:val="nil"/>
              <w:bottom w:val="single" w:sz="4" w:space="0" w:color="000000"/>
              <w:right w:val="single" w:sz="4" w:space="0" w:color="000000"/>
            </w:tcBorders>
            <w:shd w:val="clear" w:color="000000" w:fill="FFFFFF"/>
            <w:vAlign w:val="center"/>
            <w:hideMark/>
          </w:tcPr>
          <w:p w14:paraId="422BE8D9"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 xml:space="preserve">positiva muy baja </w:t>
            </w:r>
          </w:p>
        </w:tc>
        <w:tc>
          <w:tcPr>
            <w:tcW w:w="217" w:type="dxa"/>
            <w:vAlign w:val="center"/>
            <w:hideMark/>
          </w:tcPr>
          <w:p w14:paraId="29909DFB" w14:textId="77777777" w:rsidR="003C096C" w:rsidRPr="004C626E" w:rsidRDefault="003C096C" w:rsidP="009E4203">
            <w:pPr>
              <w:jc w:val="both"/>
              <w:rPr>
                <w:rFonts w:ascii="Times New Roman" w:hAnsi="Times New Roman" w:cs="Times New Roman"/>
                <w:sz w:val="24"/>
                <w:szCs w:val="24"/>
              </w:rPr>
            </w:pPr>
          </w:p>
        </w:tc>
      </w:tr>
      <w:tr w:rsidR="003C096C" w:rsidRPr="004C626E" w14:paraId="393E5818" w14:textId="77777777" w:rsidTr="009E4203">
        <w:trPr>
          <w:trHeight w:val="271"/>
          <w:jc w:val="center"/>
        </w:trPr>
        <w:tc>
          <w:tcPr>
            <w:tcW w:w="1772" w:type="dxa"/>
            <w:tcBorders>
              <w:top w:val="nil"/>
              <w:left w:val="single" w:sz="4" w:space="0" w:color="000000"/>
              <w:bottom w:val="single" w:sz="4" w:space="0" w:color="000000"/>
              <w:right w:val="single" w:sz="4" w:space="0" w:color="000000"/>
            </w:tcBorders>
            <w:shd w:val="clear" w:color="000000" w:fill="FFFFFF"/>
            <w:vAlign w:val="center"/>
            <w:hideMark/>
          </w:tcPr>
          <w:p w14:paraId="01E06A9C"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0,2 a 0,39</w:t>
            </w:r>
          </w:p>
        </w:tc>
        <w:tc>
          <w:tcPr>
            <w:tcW w:w="2328" w:type="dxa"/>
            <w:tcBorders>
              <w:top w:val="single" w:sz="4" w:space="0" w:color="000000"/>
              <w:left w:val="nil"/>
              <w:bottom w:val="single" w:sz="4" w:space="0" w:color="000000"/>
              <w:right w:val="single" w:sz="4" w:space="0" w:color="000000"/>
            </w:tcBorders>
            <w:shd w:val="clear" w:color="000000" w:fill="FFFFFF"/>
            <w:vAlign w:val="center"/>
            <w:hideMark/>
          </w:tcPr>
          <w:p w14:paraId="19668571"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color w:val="000000" w:themeColor="text1"/>
                <w:sz w:val="24"/>
                <w:szCs w:val="24"/>
              </w:rPr>
              <w:t>positiva baja</w:t>
            </w:r>
          </w:p>
        </w:tc>
        <w:tc>
          <w:tcPr>
            <w:tcW w:w="217" w:type="dxa"/>
            <w:vAlign w:val="center"/>
            <w:hideMark/>
          </w:tcPr>
          <w:p w14:paraId="0D19FE52" w14:textId="77777777" w:rsidR="003C096C" w:rsidRPr="004C626E" w:rsidRDefault="003C096C" w:rsidP="009E4203">
            <w:pPr>
              <w:jc w:val="both"/>
              <w:rPr>
                <w:rFonts w:ascii="Times New Roman" w:hAnsi="Times New Roman" w:cs="Times New Roman"/>
                <w:sz w:val="24"/>
                <w:szCs w:val="24"/>
              </w:rPr>
            </w:pPr>
          </w:p>
        </w:tc>
      </w:tr>
      <w:tr w:rsidR="003C096C" w:rsidRPr="004C626E" w14:paraId="066375CC" w14:textId="77777777" w:rsidTr="009E4203">
        <w:trPr>
          <w:trHeight w:val="271"/>
          <w:jc w:val="center"/>
        </w:trPr>
        <w:tc>
          <w:tcPr>
            <w:tcW w:w="1772" w:type="dxa"/>
            <w:tcBorders>
              <w:top w:val="nil"/>
              <w:left w:val="single" w:sz="4" w:space="0" w:color="000000"/>
              <w:bottom w:val="single" w:sz="4" w:space="0" w:color="000000"/>
              <w:right w:val="single" w:sz="4" w:space="0" w:color="000000"/>
            </w:tcBorders>
            <w:shd w:val="clear" w:color="000000" w:fill="FFFFFF"/>
            <w:vAlign w:val="center"/>
            <w:hideMark/>
          </w:tcPr>
          <w:p w14:paraId="27C6756D" w14:textId="77777777" w:rsidR="003C096C" w:rsidRPr="004C626E" w:rsidRDefault="003C096C" w:rsidP="009E4203">
            <w:pPr>
              <w:jc w:val="both"/>
              <w:rPr>
                <w:rFonts w:ascii="Times New Roman" w:hAnsi="Times New Roman" w:cs="Times New Roman"/>
                <w:sz w:val="24"/>
                <w:szCs w:val="24"/>
                <w:highlight w:val="yellow"/>
              </w:rPr>
            </w:pPr>
            <w:r w:rsidRPr="004C626E">
              <w:rPr>
                <w:rFonts w:ascii="Times New Roman" w:hAnsi="Times New Roman" w:cs="Times New Roman"/>
                <w:sz w:val="24"/>
                <w:szCs w:val="24"/>
              </w:rPr>
              <w:t>0,4 a 0,59</w:t>
            </w:r>
          </w:p>
        </w:tc>
        <w:tc>
          <w:tcPr>
            <w:tcW w:w="2328" w:type="dxa"/>
            <w:tcBorders>
              <w:top w:val="single" w:sz="4" w:space="0" w:color="000000"/>
              <w:left w:val="nil"/>
              <w:bottom w:val="single" w:sz="4" w:space="0" w:color="000000"/>
              <w:right w:val="single" w:sz="4" w:space="0" w:color="000000"/>
            </w:tcBorders>
            <w:shd w:val="clear" w:color="000000" w:fill="FFFFFF"/>
            <w:vAlign w:val="center"/>
            <w:hideMark/>
          </w:tcPr>
          <w:p w14:paraId="03938EDF" w14:textId="77777777" w:rsidR="003C096C" w:rsidRPr="004C626E" w:rsidRDefault="003C096C" w:rsidP="009E4203">
            <w:pPr>
              <w:jc w:val="both"/>
              <w:rPr>
                <w:rFonts w:ascii="Times New Roman" w:hAnsi="Times New Roman" w:cs="Times New Roman"/>
                <w:sz w:val="24"/>
                <w:szCs w:val="24"/>
                <w:highlight w:val="yellow"/>
              </w:rPr>
            </w:pPr>
            <w:r w:rsidRPr="004C626E">
              <w:rPr>
                <w:rFonts w:ascii="Times New Roman" w:hAnsi="Times New Roman" w:cs="Times New Roman"/>
                <w:sz w:val="24"/>
                <w:szCs w:val="24"/>
              </w:rPr>
              <w:t>positiva baja moderada</w:t>
            </w:r>
          </w:p>
        </w:tc>
        <w:tc>
          <w:tcPr>
            <w:tcW w:w="217" w:type="dxa"/>
            <w:vAlign w:val="center"/>
            <w:hideMark/>
          </w:tcPr>
          <w:p w14:paraId="4EDCC44C" w14:textId="77777777" w:rsidR="003C096C" w:rsidRPr="004C626E" w:rsidRDefault="003C096C" w:rsidP="009E4203">
            <w:pPr>
              <w:jc w:val="both"/>
              <w:rPr>
                <w:rFonts w:ascii="Times New Roman" w:hAnsi="Times New Roman" w:cs="Times New Roman"/>
                <w:sz w:val="24"/>
                <w:szCs w:val="24"/>
              </w:rPr>
            </w:pPr>
          </w:p>
        </w:tc>
      </w:tr>
      <w:tr w:rsidR="003C096C" w:rsidRPr="004C626E" w14:paraId="0A79FDFD" w14:textId="77777777" w:rsidTr="009E4203">
        <w:trPr>
          <w:trHeight w:val="271"/>
          <w:jc w:val="center"/>
        </w:trPr>
        <w:tc>
          <w:tcPr>
            <w:tcW w:w="1772" w:type="dxa"/>
            <w:tcBorders>
              <w:top w:val="nil"/>
              <w:left w:val="single" w:sz="4" w:space="0" w:color="000000"/>
              <w:bottom w:val="single" w:sz="4" w:space="0" w:color="000000"/>
              <w:right w:val="single" w:sz="4" w:space="0" w:color="000000"/>
            </w:tcBorders>
            <w:shd w:val="clear" w:color="000000" w:fill="FFFFFF"/>
            <w:vAlign w:val="center"/>
            <w:hideMark/>
          </w:tcPr>
          <w:p w14:paraId="30AAD2F3"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0,60 a 0,79</w:t>
            </w:r>
          </w:p>
        </w:tc>
        <w:tc>
          <w:tcPr>
            <w:tcW w:w="2328" w:type="dxa"/>
            <w:tcBorders>
              <w:top w:val="single" w:sz="4" w:space="0" w:color="000000"/>
              <w:left w:val="nil"/>
              <w:bottom w:val="single" w:sz="4" w:space="0" w:color="000000"/>
              <w:right w:val="single" w:sz="4" w:space="0" w:color="000000"/>
            </w:tcBorders>
            <w:shd w:val="clear" w:color="000000" w:fill="FFFFFF"/>
            <w:vAlign w:val="center"/>
            <w:hideMark/>
          </w:tcPr>
          <w:p w14:paraId="246B84D4"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positiva alta</w:t>
            </w:r>
          </w:p>
        </w:tc>
        <w:tc>
          <w:tcPr>
            <w:tcW w:w="217" w:type="dxa"/>
            <w:vAlign w:val="center"/>
            <w:hideMark/>
          </w:tcPr>
          <w:p w14:paraId="4BD3769B" w14:textId="77777777" w:rsidR="003C096C" w:rsidRPr="004C626E" w:rsidRDefault="003C096C" w:rsidP="009E4203">
            <w:pPr>
              <w:jc w:val="both"/>
              <w:rPr>
                <w:rFonts w:ascii="Times New Roman" w:hAnsi="Times New Roman" w:cs="Times New Roman"/>
                <w:sz w:val="24"/>
                <w:szCs w:val="24"/>
              </w:rPr>
            </w:pPr>
          </w:p>
        </w:tc>
      </w:tr>
      <w:tr w:rsidR="003C096C" w:rsidRPr="004C626E" w14:paraId="3D553606" w14:textId="77777777" w:rsidTr="009E4203">
        <w:trPr>
          <w:trHeight w:val="271"/>
          <w:jc w:val="center"/>
        </w:trPr>
        <w:tc>
          <w:tcPr>
            <w:tcW w:w="1772" w:type="dxa"/>
            <w:tcBorders>
              <w:top w:val="nil"/>
              <w:left w:val="single" w:sz="4" w:space="0" w:color="000000"/>
              <w:bottom w:val="single" w:sz="4" w:space="0" w:color="000000"/>
              <w:right w:val="single" w:sz="4" w:space="0" w:color="000000"/>
            </w:tcBorders>
            <w:shd w:val="clear" w:color="000000" w:fill="FFFFFF"/>
            <w:vAlign w:val="center"/>
            <w:hideMark/>
          </w:tcPr>
          <w:p w14:paraId="0511990C"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0,80 a 0,99</w:t>
            </w:r>
          </w:p>
        </w:tc>
        <w:tc>
          <w:tcPr>
            <w:tcW w:w="2328" w:type="dxa"/>
            <w:tcBorders>
              <w:top w:val="single" w:sz="4" w:space="0" w:color="000000"/>
              <w:left w:val="nil"/>
              <w:bottom w:val="single" w:sz="4" w:space="0" w:color="000000"/>
              <w:right w:val="single" w:sz="4" w:space="0" w:color="000000"/>
            </w:tcBorders>
            <w:shd w:val="clear" w:color="000000" w:fill="FFFFFF"/>
            <w:vAlign w:val="center"/>
            <w:hideMark/>
          </w:tcPr>
          <w:p w14:paraId="0F291570"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positiva muy alta</w:t>
            </w:r>
          </w:p>
        </w:tc>
        <w:tc>
          <w:tcPr>
            <w:tcW w:w="217" w:type="dxa"/>
            <w:vAlign w:val="center"/>
            <w:hideMark/>
          </w:tcPr>
          <w:p w14:paraId="36282661" w14:textId="77777777" w:rsidR="003C096C" w:rsidRPr="004C626E" w:rsidRDefault="003C096C" w:rsidP="009E4203">
            <w:pPr>
              <w:jc w:val="both"/>
              <w:rPr>
                <w:rFonts w:ascii="Times New Roman" w:hAnsi="Times New Roman" w:cs="Times New Roman"/>
                <w:sz w:val="24"/>
                <w:szCs w:val="24"/>
              </w:rPr>
            </w:pPr>
          </w:p>
        </w:tc>
      </w:tr>
      <w:tr w:rsidR="003C096C" w:rsidRPr="004C626E" w14:paraId="3B97F261" w14:textId="77777777" w:rsidTr="009E4203">
        <w:trPr>
          <w:trHeight w:val="271"/>
          <w:jc w:val="center"/>
        </w:trPr>
        <w:tc>
          <w:tcPr>
            <w:tcW w:w="1772"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9065568"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1</w:t>
            </w:r>
          </w:p>
        </w:tc>
        <w:tc>
          <w:tcPr>
            <w:tcW w:w="232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307265C"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relación positiva perfecta</w:t>
            </w:r>
          </w:p>
        </w:tc>
        <w:tc>
          <w:tcPr>
            <w:tcW w:w="217" w:type="dxa"/>
            <w:vAlign w:val="center"/>
            <w:hideMark/>
          </w:tcPr>
          <w:p w14:paraId="54577E5F" w14:textId="77777777" w:rsidR="003C096C" w:rsidRPr="004C626E" w:rsidRDefault="003C096C" w:rsidP="009E4203">
            <w:pPr>
              <w:jc w:val="both"/>
              <w:rPr>
                <w:rFonts w:ascii="Times New Roman" w:hAnsi="Times New Roman" w:cs="Times New Roman"/>
                <w:sz w:val="24"/>
                <w:szCs w:val="24"/>
              </w:rPr>
            </w:pPr>
          </w:p>
        </w:tc>
      </w:tr>
      <w:tr w:rsidR="003C096C" w:rsidRPr="004C626E" w14:paraId="25EEC0A9" w14:textId="77777777" w:rsidTr="009E4203">
        <w:trPr>
          <w:trHeight w:val="26"/>
          <w:jc w:val="center"/>
        </w:trPr>
        <w:tc>
          <w:tcPr>
            <w:tcW w:w="1772" w:type="dxa"/>
            <w:vMerge/>
            <w:tcBorders>
              <w:top w:val="nil"/>
              <w:left w:val="single" w:sz="4" w:space="0" w:color="000000"/>
              <w:bottom w:val="single" w:sz="4" w:space="0" w:color="000000"/>
              <w:right w:val="single" w:sz="4" w:space="0" w:color="000000"/>
            </w:tcBorders>
            <w:vAlign w:val="center"/>
            <w:hideMark/>
          </w:tcPr>
          <w:p w14:paraId="4F3A5458" w14:textId="77777777" w:rsidR="003C096C" w:rsidRPr="004C626E" w:rsidRDefault="003C096C" w:rsidP="009E4203">
            <w:pPr>
              <w:jc w:val="both"/>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vAlign w:val="center"/>
            <w:hideMark/>
          </w:tcPr>
          <w:p w14:paraId="0BC29D65" w14:textId="77777777" w:rsidR="003C096C" w:rsidRPr="004C626E" w:rsidRDefault="003C096C" w:rsidP="009E4203">
            <w:pPr>
              <w:jc w:val="both"/>
              <w:rPr>
                <w:rFonts w:ascii="Times New Roman" w:hAnsi="Times New Roman" w:cs="Times New Roman"/>
                <w:sz w:val="24"/>
                <w:szCs w:val="24"/>
              </w:rPr>
            </w:pPr>
          </w:p>
        </w:tc>
        <w:tc>
          <w:tcPr>
            <w:tcW w:w="217" w:type="dxa"/>
            <w:tcBorders>
              <w:top w:val="nil"/>
              <w:left w:val="nil"/>
              <w:bottom w:val="nil"/>
              <w:right w:val="nil"/>
            </w:tcBorders>
            <w:shd w:val="clear" w:color="auto" w:fill="auto"/>
            <w:noWrap/>
            <w:vAlign w:val="bottom"/>
            <w:hideMark/>
          </w:tcPr>
          <w:p w14:paraId="441CF4F9" w14:textId="77777777" w:rsidR="003C096C" w:rsidRPr="004C626E" w:rsidRDefault="003C096C" w:rsidP="009E4203">
            <w:pPr>
              <w:jc w:val="both"/>
              <w:rPr>
                <w:rFonts w:ascii="Times New Roman" w:hAnsi="Times New Roman" w:cs="Times New Roman"/>
                <w:sz w:val="24"/>
                <w:szCs w:val="24"/>
              </w:rPr>
            </w:pPr>
          </w:p>
        </w:tc>
      </w:tr>
    </w:tbl>
    <w:p w14:paraId="6D475A71" w14:textId="491E52FC" w:rsidR="003C096C" w:rsidRPr="004C626E" w:rsidRDefault="003C096C" w:rsidP="004C626E">
      <w:pPr>
        <w:pStyle w:val="NormalWeb"/>
        <w:spacing w:before="0" w:beforeAutospacing="0" w:after="0" w:afterAutospacing="0" w:line="360" w:lineRule="auto"/>
        <w:jc w:val="center"/>
        <w:rPr>
          <w:lang w:val="es-MX"/>
        </w:rPr>
      </w:pPr>
      <w:r w:rsidRPr="004C626E">
        <w:rPr>
          <w:lang w:val="es-MX"/>
        </w:rPr>
        <w:t>Fuente: Mayorga (2022)</w:t>
      </w:r>
    </w:p>
    <w:p w14:paraId="65659E2E" w14:textId="5E57A3BB" w:rsidR="003C096C" w:rsidRPr="00465B95" w:rsidRDefault="003C096C" w:rsidP="003C096C">
      <w:pPr>
        <w:spacing w:line="360" w:lineRule="auto"/>
        <w:ind w:firstLine="708"/>
        <w:jc w:val="both"/>
        <w:rPr>
          <w:rFonts w:ascii="Times New Roman" w:hAnsi="Times New Roman" w:cs="Times New Roman"/>
          <w:sz w:val="24"/>
          <w:szCs w:val="24"/>
          <w:lang w:val="es-ES"/>
        </w:rPr>
      </w:pPr>
      <w:r w:rsidRPr="00465B95">
        <w:rPr>
          <w:rFonts w:ascii="Times New Roman" w:hAnsi="Times New Roman" w:cs="Times New Roman"/>
          <w:sz w:val="24"/>
          <w:szCs w:val="24"/>
          <w:lang w:val="es-ES"/>
        </w:rPr>
        <w:lastRenderedPageBreak/>
        <w:t xml:space="preserve">Aunque el coeficiente de correlación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s</m:t>
            </m:r>
          </m:sub>
        </m:sSub>
      </m:oMath>
      <w:r w:rsidRPr="00FB55BF">
        <w:rPr>
          <w:rFonts w:ascii="Times New Roman" w:hAnsi="Times New Roman" w:cs="Times New Roman"/>
          <w:sz w:val="24"/>
          <w:szCs w:val="24"/>
        </w:rPr>
        <w:t xml:space="preserve"> =0.391</w:t>
      </w:r>
      <w:r w:rsidRPr="00465B95">
        <w:rPr>
          <w:rFonts w:ascii="Times New Roman" w:hAnsi="Times New Roman" w:cs="Times New Roman"/>
          <w:sz w:val="24"/>
          <w:szCs w:val="24"/>
          <w:lang w:val="es-ES"/>
        </w:rPr>
        <w:t xml:space="preserve"> </w:t>
      </w:r>
      <w:r w:rsidR="00360F42">
        <w:rPr>
          <w:rFonts w:ascii="Times New Roman" w:hAnsi="Times New Roman" w:cs="Times New Roman"/>
          <w:sz w:val="24"/>
          <w:szCs w:val="24"/>
          <w:lang w:val="es-ES"/>
        </w:rPr>
        <w:t xml:space="preserve">según la tabla 3 </w:t>
      </w:r>
      <w:r w:rsidRPr="00465B95">
        <w:rPr>
          <w:rFonts w:ascii="Times New Roman" w:hAnsi="Times New Roman" w:cs="Times New Roman"/>
          <w:sz w:val="24"/>
          <w:szCs w:val="24"/>
          <w:lang w:val="es-ES"/>
        </w:rPr>
        <w:t xml:space="preserve">indica una relación positiva de magnitud </w:t>
      </w:r>
      <w:proofErr w:type="gramStart"/>
      <w:r w:rsidRPr="00465B95">
        <w:rPr>
          <w:rFonts w:ascii="Times New Roman" w:hAnsi="Times New Roman" w:cs="Times New Roman"/>
          <w:sz w:val="24"/>
          <w:szCs w:val="24"/>
          <w:lang w:val="es-ES"/>
        </w:rPr>
        <w:t>baja,</w:t>
      </w:r>
      <w:r w:rsidR="00360F42">
        <w:rPr>
          <w:rFonts w:ascii="Times New Roman" w:hAnsi="Times New Roman" w:cs="Times New Roman"/>
          <w:sz w:val="24"/>
          <w:szCs w:val="24"/>
          <w:lang w:val="es-ES"/>
        </w:rPr>
        <w:t xml:space="preserve"> </w:t>
      </w:r>
      <w:r w:rsidRPr="00465B95">
        <w:rPr>
          <w:rFonts w:ascii="Times New Roman" w:hAnsi="Times New Roman" w:cs="Times New Roman"/>
          <w:sz w:val="24"/>
          <w:szCs w:val="24"/>
          <w:lang w:val="es-ES"/>
        </w:rPr>
        <w:t xml:space="preserve"> el</w:t>
      </w:r>
      <w:proofErr w:type="gramEnd"/>
      <w:r w:rsidRPr="00465B95">
        <w:rPr>
          <w:rFonts w:ascii="Times New Roman" w:hAnsi="Times New Roman" w:cs="Times New Roman"/>
          <w:sz w:val="24"/>
          <w:szCs w:val="24"/>
          <w:lang w:val="es-ES"/>
        </w:rPr>
        <w:t xml:space="preserve"> próximo paso consistirá en realizar una demostración formal para establecer que el promedio de aciertos en comprensión lectora es significativamente superior al promedio obtenido en </w:t>
      </w:r>
      <w:r>
        <w:rPr>
          <w:rFonts w:ascii="Times New Roman" w:hAnsi="Times New Roman" w:cs="Times New Roman"/>
          <w:sz w:val="24"/>
          <w:szCs w:val="24"/>
          <w:lang w:val="es-ES"/>
        </w:rPr>
        <w:t>m</w:t>
      </w:r>
      <w:r w:rsidRPr="00465B95">
        <w:rPr>
          <w:rFonts w:ascii="Times New Roman" w:hAnsi="Times New Roman" w:cs="Times New Roman"/>
          <w:sz w:val="24"/>
          <w:szCs w:val="24"/>
          <w:lang w:val="es-ES"/>
        </w:rPr>
        <w:t xml:space="preserve">atemáticas. Para ello, </w:t>
      </w:r>
      <w:r>
        <w:rPr>
          <w:rFonts w:ascii="Times New Roman" w:hAnsi="Times New Roman" w:cs="Times New Roman"/>
          <w:sz w:val="24"/>
          <w:szCs w:val="24"/>
          <w:lang w:val="es-ES"/>
        </w:rPr>
        <w:t xml:space="preserve">se </w:t>
      </w:r>
      <w:r w:rsidRPr="00465B95">
        <w:rPr>
          <w:rFonts w:ascii="Times New Roman" w:hAnsi="Times New Roman" w:cs="Times New Roman"/>
          <w:sz w:val="24"/>
          <w:szCs w:val="24"/>
          <w:lang w:val="es-ES"/>
        </w:rPr>
        <w:t>plantea la siguiente prueba de hipótesis:</w:t>
      </w:r>
    </w:p>
    <w:p w14:paraId="067231BE" w14:textId="77777777" w:rsidR="003C096C" w:rsidRDefault="003C096C" w:rsidP="003C096C">
      <w:pPr>
        <w:pStyle w:val="Prrafodelista"/>
        <w:numPr>
          <w:ilvl w:val="0"/>
          <w:numId w:val="2"/>
        </w:numPr>
        <w:spacing w:after="160" w:line="360" w:lineRule="auto"/>
        <w:jc w:val="both"/>
      </w:pPr>
      <w:r w:rsidRPr="00AA43B1">
        <w:t xml:space="preserve">Hipótesis nula (Ho): El promedio de aciertos en comprensión lectora es menor o igual al promedio en </w:t>
      </w:r>
      <w:r>
        <w:t>m</w:t>
      </w:r>
      <w:r w:rsidRPr="00AA43B1">
        <w:t>atemáticas.</w:t>
      </w:r>
    </w:p>
    <w:p w14:paraId="65EAF022" w14:textId="77777777" w:rsidR="003C096C" w:rsidRPr="00AA43B1" w:rsidRDefault="003C096C" w:rsidP="00534895">
      <w:pPr>
        <w:pStyle w:val="Prrafodelista"/>
        <w:numPr>
          <w:ilvl w:val="0"/>
          <w:numId w:val="2"/>
        </w:numPr>
        <w:spacing w:line="360" w:lineRule="auto"/>
        <w:jc w:val="both"/>
      </w:pPr>
      <w:r w:rsidRPr="00AA43B1">
        <w:t xml:space="preserve">Hipótesis alternativa (Hi): El promedio de aciertos en comprensión lectora es mayor que el promedio en </w:t>
      </w:r>
      <w:r>
        <w:t>m</w:t>
      </w:r>
      <w:r w:rsidRPr="00AA43B1">
        <w:t>atemáticas.</w:t>
      </w:r>
    </w:p>
    <w:p w14:paraId="23A43E0B" w14:textId="77777777" w:rsidR="003C096C" w:rsidRPr="00C8428C" w:rsidRDefault="003C096C" w:rsidP="003C096C">
      <w:pPr>
        <w:pStyle w:val="NormalWeb"/>
        <w:spacing w:before="0" w:beforeAutospacing="0" w:after="0" w:afterAutospacing="0" w:line="360" w:lineRule="auto"/>
        <w:jc w:val="both"/>
        <w:rPr>
          <w:lang w:val="es-MX"/>
        </w:rPr>
      </w:pPr>
      <w:r w:rsidRPr="00C8428C">
        <w:rPr>
          <w:noProof/>
        </w:rPr>
        <mc:AlternateContent>
          <mc:Choice Requires="wps">
            <w:drawing>
              <wp:anchor distT="0" distB="0" distL="114300" distR="114300" simplePos="0" relativeHeight="251659264" behindDoc="0" locked="0" layoutInCell="1" allowOverlap="1" wp14:anchorId="01622A4B" wp14:editId="69AD2724">
                <wp:simplePos x="0" y="0"/>
                <wp:positionH relativeFrom="column">
                  <wp:posOffset>518265</wp:posOffset>
                </wp:positionH>
                <wp:positionV relativeFrom="paragraph">
                  <wp:posOffset>234040</wp:posOffset>
                </wp:positionV>
                <wp:extent cx="3276000" cy="594995"/>
                <wp:effectExtent l="0" t="0" r="0" b="0"/>
                <wp:wrapNone/>
                <wp:docPr id="1343202954" name="Objec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76000" cy="59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5ACB4" w14:textId="77777777" w:rsidR="003C096C" w:rsidRPr="00BC1D14" w:rsidRDefault="00000000" w:rsidP="003C096C">
                            <w:pPr>
                              <w:rPr>
                                <w:rFonts w:ascii="Times New Roman" w:hAnsi="Times New Roman" w:cs="Times New Roman"/>
                                <w:i/>
                                <w:iCs/>
                                <w:sz w:val="24"/>
                                <w:szCs w:val="24"/>
                              </w:rPr>
                            </w:pPr>
                            <m:oMathPara>
                              <m:oMathParaPr>
                                <m:jc m:val="centerGroup"/>
                              </m:oMathParaPr>
                              <m:oMath>
                                <m:sSub>
                                  <m:sSubPr>
                                    <m:ctrlPr>
                                      <w:rPr>
                                        <w:rFonts w:ascii="Cambria Math" w:eastAsiaTheme="minorEastAsia" w:hAnsi="Cambria Math" w:cs="Times New Roman"/>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m:t>
                                </m:r>
                                <m:r>
                                  <w:rPr>
                                    <w:rFonts w:ascii="Cambria Math" w:eastAsia="Cambria Math" w:hAnsi="Cambria Math" w:cs="Times New Roman"/>
                                    <w:sz w:val="24"/>
                                    <w:szCs w:val="24"/>
                                    <w:lang w:val="es-ES"/>
                                  </w:rPr>
                                  <m:t> </m:t>
                                </m:r>
                                <m:sSub>
                                  <m:sSubPr>
                                    <m:ctrlPr>
                                      <w:rPr>
                                        <w:rFonts w:ascii="Cambria Math" w:eastAsia="Cambria Math" w:hAnsi="Cambria Math" w:cs="Times New Roman"/>
                                        <w:i/>
                                        <w:iCs/>
                                        <w:sz w:val="24"/>
                                        <w:szCs w:val="24"/>
                                        <w:lang w:val="es-ES"/>
                                      </w:rPr>
                                    </m:ctrlPr>
                                  </m:sSubPr>
                                  <m:e>
                                    <m:r>
                                      <w:rPr>
                                        <w:rFonts w:ascii="Cambria Math" w:eastAsia="Cambria Math" w:hAnsi="Cambria Math" w:cs="Times New Roman"/>
                                        <w:sz w:val="24"/>
                                        <w:szCs w:val="24"/>
                                        <w:lang w:val="es-ES"/>
                                      </w:rPr>
                                      <m:t>μ</m:t>
                                    </m:r>
                                  </m:e>
                                  <m:sub>
                                    <m:r>
                                      <w:rPr>
                                        <w:rFonts w:ascii="Cambria Math" w:eastAsia="Cambria Math" w:hAnsi="Cambria Math" w:cs="Times New Roman"/>
                                        <w:sz w:val="24"/>
                                        <w:szCs w:val="24"/>
                                        <w:lang w:val="es-ES"/>
                                      </w:rPr>
                                      <m:t xml:space="preserve">cl </m:t>
                                    </m:r>
                                  </m:sub>
                                </m:sSub>
                                <m:r>
                                  <w:rPr>
                                    <w:rFonts w:ascii="Cambria Math" w:hAnsi="Cambria Math" w:cs="Times New Roman"/>
                                    <w:sz w:val="24"/>
                                    <w:szCs w:val="24"/>
                                  </w:rPr>
                                  <m:t xml:space="preserve">- </m:t>
                                </m:r>
                                <m:sSub>
                                  <m:sSubPr>
                                    <m:ctrlPr>
                                      <w:rPr>
                                        <w:rFonts w:ascii="Cambria Math" w:eastAsiaTheme="minorEastAsia" w:hAnsi="Cambria Math" w:cs="Times New Roman"/>
                                        <w:i/>
                                        <w:iCs/>
                                        <w:sz w:val="24"/>
                                        <w:szCs w:val="24"/>
                                      </w:rPr>
                                    </m:ctrlPr>
                                  </m:sSubPr>
                                  <m:e>
                                    <m:r>
                                      <w:rPr>
                                        <w:rFonts w:ascii="Cambria Math" w:hAnsi="Cambria Math" w:cs="Times New Roman"/>
                                        <w:sz w:val="24"/>
                                        <w:szCs w:val="24"/>
                                      </w:rPr>
                                      <m:t>μ</m:t>
                                    </m:r>
                                  </m:e>
                                  <m:sub>
                                    <m:r>
                                      <w:rPr>
                                        <w:rFonts w:ascii="Cambria Math" w:hAnsi="Cambria Math" w:cs="Times New Roman"/>
                                        <w:sz w:val="24"/>
                                        <w:szCs w:val="24"/>
                                        <w:lang w:val="es-ES"/>
                                      </w:rPr>
                                      <m:t>m</m:t>
                                    </m:r>
                                  </m:sub>
                                </m:sSub>
                                <m:r>
                                  <w:rPr>
                                    <w:rFonts w:ascii="Cambria Math" w:eastAsiaTheme="minorEastAsia" w:hAnsi="Cambria Math" w:cs="Times New Roman"/>
                                    <w:sz w:val="24"/>
                                    <w:szCs w:val="24"/>
                                  </w:rPr>
                                  <m:t>≤</m:t>
                                </m:r>
                                <m:r>
                                  <w:rPr>
                                    <w:rFonts w:ascii="Cambria Math" w:hAnsi="Cambria Math" w:cs="Times New Roman"/>
                                    <w:sz w:val="24"/>
                                    <w:szCs w:val="24"/>
                                  </w:rPr>
                                  <m:t xml:space="preserve">0     vs.         </m:t>
                                </m:r>
                                <m:sSub>
                                  <m:sSubPr>
                                    <m:ctrlPr>
                                      <w:rPr>
                                        <w:rFonts w:ascii="Cambria Math" w:eastAsiaTheme="minorEastAsia" w:hAnsi="Cambria Math" w:cs="Times New Roman"/>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eastAsia="Cambria Math" w:hAnsi="Cambria Math" w:cs="Times New Roman"/>
                                        <w:i/>
                                        <w:iCs/>
                                        <w:sz w:val="24"/>
                                        <w:szCs w:val="24"/>
                                        <w:lang w:val="es-ES"/>
                                      </w:rPr>
                                    </m:ctrlPr>
                                  </m:sSubPr>
                                  <m:e>
                                    <m:r>
                                      <w:rPr>
                                        <w:rFonts w:ascii="Cambria Math" w:eastAsia="Cambria Math" w:hAnsi="Cambria Math" w:cs="Times New Roman"/>
                                        <w:sz w:val="24"/>
                                        <w:szCs w:val="24"/>
                                        <w:lang w:val="es-ES"/>
                                      </w:rPr>
                                      <m:t>μ</m:t>
                                    </m:r>
                                  </m:e>
                                  <m:sub>
                                    <m:r>
                                      <w:rPr>
                                        <w:rFonts w:ascii="Cambria Math" w:eastAsia="Cambria Math" w:hAnsi="Cambria Math" w:cs="Times New Roman"/>
                                        <w:sz w:val="24"/>
                                        <w:szCs w:val="24"/>
                                        <w:lang w:val="es-ES"/>
                                      </w:rPr>
                                      <m:t>cl</m:t>
                                    </m:r>
                                  </m:sub>
                                </m:sSub>
                                <m:r>
                                  <w:rPr>
                                    <w:rFonts w:ascii="Cambria Math" w:eastAsia="Cambria Math" w:hAnsi="Cambria Math" w:cs="Times New Roman"/>
                                    <w:sz w:val="24"/>
                                    <w:szCs w:val="24"/>
                                    <w:lang w:val="es-ES"/>
                                  </w:rPr>
                                  <m:t xml:space="preserve">- </m:t>
                                </m:r>
                                <m:sSub>
                                  <m:sSubPr>
                                    <m:ctrlPr>
                                      <w:rPr>
                                        <w:rFonts w:ascii="Cambria Math" w:eastAsiaTheme="minorEastAsia" w:hAnsi="Cambria Math" w:cs="Times New Roman"/>
                                        <w:i/>
                                        <w:iCs/>
                                        <w:sz w:val="24"/>
                                        <w:szCs w:val="24"/>
                                      </w:rPr>
                                    </m:ctrlPr>
                                  </m:sSubPr>
                                  <m:e>
                                    <m:r>
                                      <w:rPr>
                                        <w:rFonts w:ascii="Cambria Math" w:hAnsi="Cambria Math" w:cs="Times New Roman"/>
                                        <w:sz w:val="24"/>
                                        <w:szCs w:val="24"/>
                                      </w:rPr>
                                      <m:t>μ</m:t>
                                    </m:r>
                                  </m:e>
                                  <m:sub>
                                    <m:r>
                                      <w:rPr>
                                        <w:rFonts w:ascii="Cambria Math" w:hAnsi="Cambria Math" w:cs="Times New Roman"/>
                                        <w:sz w:val="24"/>
                                        <w:szCs w:val="24"/>
                                        <w:lang w:val="es-ES"/>
                                      </w:rPr>
                                      <m:t>m</m:t>
                                    </m:r>
                                  </m:sub>
                                </m:sSub>
                                <m:r>
                                  <w:rPr>
                                    <w:rFonts w:ascii="Cambria Math" w:eastAsiaTheme="minorEastAsia" w:hAnsi="Cambria Math" w:cs="Times New Roman"/>
                                    <w:sz w:val="24"/>
                                    <w:szCs w:val="24"/>
                                    <w:lang w:val="es-ES"/>
                                  </w:rPr>
                                  <m:t>&gt;</m:t>
                                </m:r>
                                <m:r>
                                  <w:rPr>
                                    <w:rFonts w:ascii="Cambria Math" w:eastAsia="Cambria Math" w:hAnsi="Cambria Math" w:cs="Times New Roman"/>
                                    <w:sz w:val="24"/>
                                    <w:szCs w:val="24"/>
                                    <w:lang w:val="es-ES"/>
                                  </w:rPr>
                                  <m:t>0 </m:t>
                                </m:r>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01622A4B" id="_x0000_t202" coordsize="21600,21600" o:spt="202" path="m,l,21600r21600,l21600,xe">
                <v:stroke joinstyle="miter"/>
                <v:path gradientshapeok="t" o:connecttype="rect"/>
              </v:shapetype>
              <v:shape id="Object 19" o:spid="_x0000_s1026" type="#_x0000_t202" style="position:absolute;left:0;text-align:left;margin-left:40.8pt;margin-top:18.45pt;width:257.95pt;height:4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aizwEAAIoDAAAOAAAAZHJzL2Uyb0RvYy54bWysU9uO0zAQfUfiHyy/06Sl3aVR0xWwKkJa&#10;FqSFD3Adp7FIPGbGbVK+nrHTdgu8IV4szyXH55yZrO6GrhUHg2TBlXI6yaUwTkNl3a6U375uXr2R&#10;goJylWrBmVIeDcm79csXq94XZgYNtJVBwSCOit6XsgnBF1lGujGdogl447hYA3YqcIi7rELVM3rX&#10;ZrM8v8l6wMojaEPE2fuxKNcJv66NDp/rmkwQbSmZW0gnpnMbz2y9UsUOlW+sPtFQ/8CiU9bxoxeo&#10;exWU2KP9C6qzGoGgDhMNXQZ1bbVJGljNNP9DzVOjvEla2BzyF5vo/8Hqx8OT/4IiDO9g4AEmEeQf&#10;QH8n9ibrPRWnnugpFRS7t/0nqHiaah8gfTHU2EX5LEgwDDt9vLhrhiA0J1/Pbm/ynEuaa4vlfLlc&#10;RPszVZy/9kjhg4FOxEspkaeX0NXhgcLYem6JjznY2LZNE2zdbwnGjJnEPhIeqYdhO3B3VLGF6sg6&#10;EMaF4AXmSwP4U4qel6GU9GOv0EjRfnTs9nI6n8ftScF8cTvjAK8r2+uKcpqhShmkGK/vw7hxe492&#10;1/BLZ5vfsn8bm6Q9szrx5oEnc07LGTfqOk5dz7/Q+hcAAAD//wMAUEsDBBQABgAIAAAAIQB3ZQyg&#10;4QAAAA4BAAAPAAAAZHJzL2Rvd25yZXYueG1sTE/LbsIwELxX6j9Yi9RbcQARQoiDUFMuPVQqrTg7&#10;8TYJxOsoNpD+fbenchlpNbPzyLaj7cQVB986UjCbRiCQKmdaqhV8fe6fExA+aDK6c4QKftDDNn98&#10;yHRq3I0+8HoItWAT8qlW0ITQp1L6qkGr/dT1SMx9u8HqwOdQSzPoG5vbTs6jKJZWt8QJje7xpcHq&#10;fLhYBatkX5g54fkNi+q13L3b4/FklXqajMWGYbcBEXAM/x/wt4H7Q87FSnch40WnIJnFrFSwiNcg&#10;mF+uV0sQJQsXUQwyz+T9jPwXAAD//wMAUEsBAi0AFAAGAAgAAAAhALaDOJL+AAAA4QEAABMAAAAA&#10;AAAAAAAAAAAAAAAAAFtDb250ZW50X1R5cGVzXS54bWxQSwECLQAUAAYACAAAACEAOP0h/9YAAACU&#10;AQAACwAAAAAAAAAAAAAAAAAvAQAAX3JlbHMvLnJlbHNQSwECLQAUAAYACAAAACEA5RpWos8BAACK&#10;AwAADgAAAAAAAAAAAAAAAAAuAgAAZHJzL2Uyb0RvYy54bWxQSwECLQAUAAYACAAAACEAd2UMoOEA&#10;AAAOAQAADwAAAAAAAAAAAAAAAAApBAAAZHJzL2Rvd25yZXYueG1sUEsFBgAAAAAEAAQA8wAAADcF&#10;AAAAAA==&#10;" filled="f" stroked="f">
                <v:path arrowok="t"/>
                <v:textbox style="mso-fit-shape-to-text:t">
                  <w:txbxContent>
                    <w:p w14:paraId="2075ACB4" w14:textId="77777777" w:rsidR="003C096C" w:rsidRPr="00BC1D14" w:rsidRDefault="00000000" w:rsidP="003C096C">
                      <w:pPr>
                        <w:rPr>
                          <w:rFonts w:ascii="Times New Roman" w:hAnsi="Times New Roman" w:cs="Times New Roman"/>
                          <w:i/>
                          <w:iCs/>
                          <w:sz w:val="24"/>
                          <w:szCs w:val="24"/>
                        </w:rPr>
                      </w:pPr>
                      <m:oMathPara>
                        <m:oMathParaPr>
                          <m:jc m:val="centerGroup"/>
                        </m:oMathParaPr>
                        <m:oMath>
                          <m:sSub>
                            <m:sSubPr>
                              <m:ctrlPr>
                                <w:rPr>
                                  <w:rFonts w:ascii="Cambria Math" w:eastAsiaTheme="minorEastAsia" w:hAnsi="Cambria Math" w:cs="Times New Roman"/>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m:t>
                          </m:r>
                          <m:r>
                            <w:rPr>
                              <w:rFonts w:ascii="Cambria Math" w:eastAsia="Cambria Math" w:hAnsi="Cambria Math" w:cs="Times New Roman"/>
                              <w:sz w:val="24"/>
                              <w:szCs w:val="24"/>
                              <w:lang w:val="es-ES"/>
                            </w:rPr>
                            <m:t> </m:t>
                          </m:r>
                          <m:sSub>
                            <m:sSubPr>
                              <m:ctrlPr>
                                <w:rPr>
                                  <w:rFonts w:ascii="Cambria Math" w:eastAsia="Cambria Math" w:hAnsi="Cambria Math" w:cs="Times New Roman"/>
                                  <w:i/>
                                  <w:iCs/>
                                  <w:sz w:val="24"/>
                                  <w:szCs w:val="24"/>
                                  <w:lang w:val="es-ES"/>
                                </w:rPr>
                              </m:ctrlPr>
                            </m:sSubPr>
                            <m:e>
                              <m:r>
                                <w:rPr>
                                  <w:rFonts w:ascii="Cambria Math" w:eastAsia="Cambria Math" w:hAnsi="Cambria Math" w:cs="Times New Roman"/>
                                  <w:sz w:val="24"/>
                                  <w:szCs w:val="24"/>
                                  <w:lang w:val="es-ES"/>
                                </w:rPr>
                                <m:t>μ</m:t>
                              </m:r>
                            </m:e>
                            <m:sub>
                              <m:r>
                                <w:rPr>
                                  <w:rFonts w:ascii="Cambria Math" w:eastAsia="Cambria Math" w:hAnsi="Cambria Math" w:cs="Times New Roman"/>
                                  <w:sz w:val="24"/>
                                  <w:szCs w:val="24"/>
                                  <w:lang w:val="es-ES"/>
                                </w:rPr>
                                <m:t xml:space="preserve">cl </m:t>
                              </m:r>
                            </m:sub>
                          </m:sSub>
                          <m:r>
                            <w:rPr>
                              <w:rFonts w:ascii="Cambria Math" w:hAnsi="Cambria Math" w:cs="Times New Roman"/>
                              <w:sz w:val="24"/>
                              <w:szCs w:val="24"/>
                            </w:rPr>
                            <m:t xml:space="preserve">- </m:t>
                          </m:r>
                          <m:sSub>
                            <m:sSubPr>
                              <m:ctrlPr>
                                <w:rPr>
                                  <w:rFonts w:ascii="Cambria Math" w:eastAsiaTheme="minorEastAsia" w:hAnsi="Cambria Math" w:cs="Times New Roman"/>
                                  <w:i/>
                                  <w:iCs/>
                                  <w:sz w:val="24"/>
                                  <w:szCs w:val="24"/>
                                </w:rPr>
                              </m:ctrlPr>
                            </m:sSubPr>
                            <m:e>
                              <m:r>
                                <w:rPr>
                                  <w:rFonts w:ascii="Cambria Math" w:hAnsi="Cambria Math" w:cs="Times New Roman"/>
                                  <w:sz w:val="24"/>
                                  <w:szCs w:val="24"/>
                                </w:rPr>
                                <m:t>μ</m:t>
                              </m:r>
                            </m:e>
                            <m:sub>
                              <m:r>
                                <w:rPr>
                                  <w:rFonts w:ascii="Cambria Math" w:hAnsi="Cambria Math" w:cs="Times New Roman"/>
                                  <w:sz w:val="24"/>
                                  <w:szCs w:val="24"/>
                                  <w:lang w:val="es-ES"/>
                                </w:rPr>
                                <m:t>m</m:t>
                              </m:r>
                            </m:sub>
                          </m:sSub>
                          <m:r>
                            <w:rPr>
                              <w:rFonts w:ascii="Cambria Math" w:eastAsiaTheme="minorEastAsia" w:hAnsi="Cambria Math" w:cs="Times New Roman"/>
                              <w:sz w:val="24"/>
                              <w:szCs w:val="24"/>
                            </w:rPr>
                            <m:t>≤</m:t>
                          </m:r>
                          <m:r>
                            <w:rPr>
                              <w:rFonts w:ascii="Cambria Math" w:hAnsi="Cambria Math" w:cs="Times New Roman"/>
                              <w:sz w:val="24"/>
                              <w:szCs w:val="24"/>
                            </w:rPr>
                            <m:t xml:space="preserve">0     vs.         </m:t>
                          </m:r>
                          <m:sSub>
                            <m:sSubPr>
                              <m:ctrlPr>
                                <w:rPr>
                                  <w:rFonts w:ascii="Cambria Math" w:eastAsiaTheme="minorEastAsia" w:hAnsi="Cambria Math" w:cs="Times New Roman"/>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eastAsia="Cambria Math" w:hAnsi="Cambria Math" w:cs="Times New Roman"/>
                                  <w:i/>
                                  <w:iCs/>
                                  <w:sz w:val="24"/>
                                  <w:szCs w:val="24"/>
                                  <w:lang w:val="es-ES"/>
                                </w:rPr>
                              </m:ctrlPr>
                            </m:sSubPr>
                            <m:e>
                              <m:r>
                                <w:rPr>
                                  <w:rFonts w:ascii="Cambria Math" w:eastAsia="Cambria Math" w:hAnsi="Cambria Math" w:cs="Times New Roman"/>
                                  <w:sz w:val="24"/>
                                  <w:szCs w:val="24"/>
                                  <w:lang w:val="es-ES"/>
                                </w:rPr>
                                <m:t>μ</m:t>
                              </m:r>
                            </m:e>
                            <m:sub>
                              <m:r>
                                <w:rPr>
                                  <w:rFonts w:ascii="Cambria Math" w:eastAsia="Cambria Math" w:hAnsi="Cambria Math" w:cs="Times New Roman"/>
                                  <w:sz w:val="24"/>
                                  <w:szCs w:val="24"/>
                                  <w:lang w:val="es-ES"/>
                                </w:rPr>
                                <m:t>cl</m:t>
                              </m:r>
                            </m:sub>
                          </m:sSub>
                          <m:r>
                            <w:rPr>
                              <w:rFonts w:ascii="Cambria Math" w:eastAsia="Cambria Math" w:hAnsi="Cambria Math" w:cs="Times New Roman"/>
                              <w:sz w:val="24"/>
                              <w:szCs w:val="24"/>
                              <w:lang w:val="es-ES"/>
                            </w:rPr>
                            <m:t xml:space="preserve">- </m:t>
                          </m:r>
                          <m:sSub>
                            <m:sSubPr>
                              <m:ctrlPr>
                                <w:rPr>
                                  <w:rFonts w:ascii="Cambria Math" w:eastAsiaTheme="minorEastAsia" w:hAnsi="Cambria Math" w:cs="Times New Roman"/>
                                  <w:i/>
                                  <w:iCs/>
                                  <w:sz w:val="24"/>
                                  <w:szCs w:val="24"/>
                                </w:rPr>
                              </m:ctrlPr>
                            </m:sSubPr>
                            <m:e>
                              <m:r>
                                <w:rPr>
                                  <w:rFonts w:ascii="Cambria Math" w:hAnsi="Cambria Math" w:cs="Times New Roman"/>
                                  <w:sz w:val="24"/>
                                  <w:szCs w:val="24"/>
                                </w:rPr>
                                <m:t>μ</m:t>
                              </m:r>
                            </m:e>
                            <m:sub>
                              <m:r>
                                <w:rPr>
                                  <w:rFonts w:ascii="Cambria Math" w:hAnsi="Cambria Math" w:cs="Times New Roman"/>
                                  <w:sz w:val="24"/>
                                  <w:szCs w:val="24"/>
                                  <w:lang w:val="es-ES"/>
                                </w:rPr>
                                <m:t>m</m:t>
                              </m:r>
                            </m:sub>
                          </m:sSub>
                          <m:r>
                            <w:rPr>
                              <w:rFonts w:ascii="Cambria Math" w:eastAsiaTheme="minorEastAsia" w:hAnsi="Cambria Math" w:cs="Times New Roman"/>
                              <w:sz w:val="24"/>
                              <w:szCs w:val="24"/>
                              <w:lang w:val="es-ES"/>
                            </w:rPr>
                            <m:t>&gt;</m:t>
                          </m:r>
                          <m:r>
                            <w:rPr>
                              <w:rFonts w:ascii="Cambria Math" w:eastAsia="Cambria Math" w:hAnsi="Cambria Math" w:cs="Times New Roman"/>
                              <w:sz w:val="24"/>
                              <w:szCs w:val="24"/>
                              <w:lang w:val="es-ES"/>
                            </w:rPr>
                            <m:t>0 </m:t>
                          </m:r>
                        </m:oMath>
                      </m:oMathPara>
                    </w:p>
                  </w:txbxContent>
                </v:textbox>
              </v:shape>
            </w:pict>
          </mc:Fallback>
        </mc:AlternateContent>
      </w:r>
      <w:r w:rsidRPr="00C8428C">
        <w:t>Paso 1. Planteamiento estadístico</w:t>
      </w:r>
    </w:p>
    <w:p w14:paraId="6EECF1C1" w14:textId="77777777" w:rsidR="003C096C" w:rsidRPr="00BC1D14" w:rsidRDefault="003C096C" w:rsidP="003C096C">
      <w:pPr>
        <w:pStyle w:val="NormalWeb"/>
        <w:spacing w:line="360" w:lineRule="auto"/>
        <w:jc w:val="both"/>
        <w:rPr>
          <w:lang w:val="es-MX"/>
        </w:rPr>
      </w:pPr>
    </w:p>
    <w:p w14:paraId="03E98164" w14:textId="6704ECA7" w:rsidR="003C096C" w:rsidRPr="00C8428C" w:rsidRDefault="003C096C" w:rsidP="00534895">
      <w:pPr>
        <w:pStyle w:val="NormalWeb"/>
        <w:spacing w:before="0" w:beforeAutospacing="0" w:after="0" w:afterAutospacing="0" w:line="360" w:lineRule="auto"/>
        <w:jc w:val="both"/>
      </w:pPr>
      <w:r w:rsidRPr="00C8428C">
        <w:t xml:space="preserve">Paso 2. Considerar un nivel de significancia del </w:t>
      </w:r>
      <m:oMath>
        <m:r>
          <w:rPr>
            <w:rFonts w:ascii="Cambria Math" w:hAnsi="Cambria Math"/>
          </w:rPr>
          <m:t>∝=</m:t>
        </m:r>
      </m:oMath>
      <w:r w:rsidRPr="00C8428C">
        <w:t xml:space="preserve"> 5 % (0.05) probabilidad de rechazar la hipótesis nula siendo verdadera.</w:t>
      </w:r>
    </w:p>
    <w:p w14:paraId="30158098" w14:textId="77777777" w:rsidR="003C096C" w:rsidRPr="00465B95" w:rsidRDefault="003C096C" w:rsidP="00534895">
      <w:pPr>
        <w:pStyle w:val="NormalWeb"/>
        <w:spacing w:before="0" w:beforeAutospacing="0" w:after="0" w:afterAutospacing="0" w:line="360" w:lineRule="auto"/>
        <w:jc w:val="both"/>
        <w:rPr>
          <w:b/>
          <w:bCs/>
        </w:rPr>
      </w:pPr>
      <w:r w:rsidRPr="00C8428C">
        <w:t xml:space="preserve">Paso 3. </w:t>
      </w:r>
      <w:r w:rsidRPr="00465B95">
        <w:t xml:space="preserve">El estadístico de prueba </w:t>
      </w:r>
      <w:r>
        <w:t>por</w:t>
      </w:r>
      <w:r w:rsidRPr="00465B95">
        <w:t xml:space="preserve"> utilizar para probar </w:t>
      </w:r>
      <w:r>
        <w:t>la</w:t>
      </w:r>
      <w:r w:rsidRPr="00465B95">
        <w:t xml:space="preserve"> hipótesis nula est</w:t>
      </w:r>
      <w:r>
        <w:t>á</w:t>
      </w:r>
      <w:r w:rsidRPr="00465B95">
        <w:t xml:space="preserve"> dado por:</w:t>
      </w:r>
    </w:p>
    <w:p w14:paraId="38CCDA93" w14:textId="140B9792" w:rsidR="003C096C" w:rsidRPr="00465B95" w:rsidRDefault="003C096C" w:rsidP="003C096C">
      <w:pPr>
        <w:pStyle w:val="NormalWeb"/>
        <w:spacing w:line="360" w:lineRule="auto"/>
        <w:jc w:val="both"/>
      </w:pPr>
      <m:oMath>
        <m:r>
          <w:rPr>
            <w:rFonts w:ascii="Cambria Math" w:hAnsi="Cambria Math"/>
          </w:rPr>
          <m:t>Z=</m:t>
        </m:r>
        <m:f>
          <m:fPr>
            <m:ctrlPr>
              <w:rPr>
                <w:rFonts w:ascii="Cambria Math" w:hAnsi="Cambria Math"/>
                <w:i/>
              </w:rPr>
            </m:ctrlPr>
          </m:fPr>
          <m:num>
            <m:sSub>
              <m:sSubPr>
                <m:ctrlPr>
                  <w:rPr>
                    <w:rFonts w:ascii="Cambria Math" w:eastAsia="Cambria Math" w:hAnsi="Cambria Math"/>
                    <w:i/>
                    <w:iCs/>
                    <w:color w:val="000000"/>
                  </w:rPr>
                </m:ctrlPr>
              </m:sSubPr>
              <m:e>
                <m:r>
                  <w:rPr>
                    <w:rFonts w:ascii="Cambria Math" w:eastAsia="Cambria Math" w:hAnsi="Cambria Math"/>
                    <w:color w:val="000000"/>
                  </w:rPr>
                  <m:t>μ</m:t>
                </m:r>
              </m:e>
              <m:sub>
                <m:r>
                  <w:rPr>
                    <w:rFonts w:ascii="Cambria Math" w:eastAsia="Cambria Math" w:hAnsi="Cambria Math"/>
                    <w:color w:val="000000"/>
                  </w:rPr>
                  <m:t xml:space="preserve">cl </m:t>
                </m:r>
              </m:sub>
            </m:sSub>
            <m:r>
              <w:rPr>
                <w:rFonts w:ascii="Cambria Math" w:eastAsia="Cambria Math" w:hAnsi="Cambria Math"/>
                <w:color w:val="000000"/>
              </w:rPr>
              <m:t>-</m:t>
            </m:r>
            <m:sSub>
              <m:sSubPr>
                <m:ctrlPr>
                  <w:rPr>
                    <w:rFonts w:ascii="Cambria Math" w:eastAsiaTheme="minorEastAsia" w:hAnsi="Cambria Math"/>
                    <w:i/>
                    <w:iCs/>
                    <w:color w:val="000000"/>
                  </w:rPr>
                </m:ctrlPr>
              </m:sSubPr>
              <m:e>
                <m:r>
                  <w:rPr>
                    <w:rFonts w:ascii="Cambria Math" w:hAnsi="Cambria Math"/>
                    <w:color w:val="000000"/>
                  </w:rPr>
                  <m:t>μ</m:t>
                </m:r>
              </m:e>
              <m:sub>
                <m:r>
                  <w:rPr>
                    <w:rFonts w:ascii="Cambria Math" w:hAnsi="Cambria Math"/>
                    <w:color w:val="000000"/>
                  </w:rPr>
                  <m:t>m</m:t>
                </m:r>
              </m:sub>
            </m:sSub>
          </m:num>
          <m:den>
            <m:rad>
              <m:radPr>
                <m:degHide m:val="1"/>
                <m:ctrlPr>
                  <w:rPr>
                    <w:rFonts w:ascii="Cambria Math" w:hAnsi="Cambria Math"/>
                    <w:i/>
                  </w:rPr>
                </m:ctrlPr>
              </m:radPr>
              <m:deg/>
              <m:e>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hAnsi="Cambria Math"/>
                          </w:rPr>
                          <m:t>cl</m:t>
                        </m:r>
                      </m:sub>
                      <m:sup>
                        <m:r>
                          <w:rPr>
                            <w:rFonts w:ascii="Cambria Math" w:hAnsi="Cambria Math"/>
                          </w:rPr>
                          <m:t>2</m:t>
                        </m:r>
                      </m:sup>
                    </m:sSubSup>
                  </m:num>
                  <m:den>
                    <m:r>
                      <w:rPr>
                        <w:rFonts w:ascii="Cambria Math" w:hAnsi="Cambria Math"/>
                      </w:rPr>
                      <m:t>n1</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hAnsi="Cambria Math"/>
                          </w:rPr>
                          <m:t>m</m:t>
                        </m:r>
                      </m:sub>
                      <m:sup>
                        <m:r>
                          <w:rPr>
                            <w:rFonts w:ascii="Cambria Math" w:hAnsi="Cambria Math"/>
                          </w:rPr>
                          <m:t>2</m:t>
                        </m:r>
                      </m:sup>
                    </m:sSubSup>
                  </m:num>
                  <m:den>
                    <m:r>
                      <w:rPr>
                        <w:rFonts w:ascii="Cambria Math" w:hAnsi="Cambria Math"/>
                      </w:rPr>
                      <m:t>n2</m:t>
                    </m:r>
                  </m:den>
                </m:f>
              </m:e>
            </m:rad>
          </m:den>
        </m:f>
        <m:r>
          <w:rPr>
            <w:rFonts w:ascii="Cambria Math" w:hAnsi="Cambria Math"/>
          </w:rPr>
          <m:t>=</m:t>
        </m:r>
        <m:f>
          <m:fPr>
            <m:ctrlPr>
              <w:rPr>
                <w:rFonts w:ascii="Cambria Math" w:hAnsi="Cambria Math"/>
                <w:i/>
              </w:rPr>
            </m:ctrlPr>
          </m:fPr>
          <m:num>
            <m:r>
              <w:rPr>
                <w:rFonts w:ascii="Cambria Math" w:hAnsi="Cambria Math"/>
              </w:rPr>
              <m:t>22.16-19.06</m:t>
            </m:r>
          </m:num>
          <m:den>
            <m:rad>
              <m:radPr>
                <m:degHide m:val="1"/>
                <m:ctrlPr>
                  <w:rPr>
                    <w:rFonts w:ascii="Cambria Math" w:hAnsi="Cambria Math"/>
                    <w:i/>
                  </w:rPr>
                </m:ctrlPr>
              </m:radPr>
              <m:deg/>
              <m:e>
                <m:f>
                  <m:fPr>
                    <m:ctrlPr>
                      <w:rPr>
                        <w:rFonts w:ascii="Cambria Math" w:hAnsi="Cambria Math"/>
                        <w:i/>
                      </w:rPr>
                    </m:ctrlPr>
                  </m:fPr>
                  <m:num>
                    <m:r>
                      <w:rPr>
                        <w:rFonts w:ascii="Cambria Math" w:hAnsi="Cambria Math"/>
                      </w:rPr>
                      <m:t>29.30</m:t>
                    </m:r>
                  </m:num>
                  <m:den>
                    <m:r>
                      <w:rPr>
                        <w:rFonts w:ascii="Cambria Math" w:hAnsi="Cambria Math"/>
                      </w:rPr>
                      <m:t>113</m:t>
                    </m:r>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52.16</m:t>
                    </m:r>
                  </m:num>
                  <m:den>
                    <m:r>
                      <w:rPr>
                        <w:rFonts w:ascii="Cambria Math" w:hAnsi="Cambria Math"/>
                      </w:rPr>
                      <m:t>113</m:t>
                    </m:r>
                  </m:den>
                </m:f>
              </m:e>
            </m:rad>
          </m:den>
        </m:f>
        <m:r>
          <w:rPr>
            <w:rFonts w:ascii="Cambria Math" w:hAnsi="Cambria Math"/>
          </w:rPr>
          <m:t>=</m:t>
        </m:r>
        <m:f>
          <m:fPr>
            <m:ctrlPr>
              <w:rPr>
                <w:rFonts w:ascii="Cambria Math" w:hAnsi="Cambria Math"/>
                <w:i/>
              </w:rPr>
            </m:ctrlPr>
          </m:fPr>
          <m:num>
            <m:r>
              <w:rPr>
                <w:rFonts w:ascii="Cambria Math" w:hAnsi="Cambria Math"/>
              </w:rPr>
              <m:t>3.1</m:t>
            </m:r>
          </m:num>
          <m:den>
            <m:r>
              <w:rPr>
                <w:rFonts w:ascii="Cambria Math" w:hAnsi="Cambria Math"/>
              </w:rPr>
              <m:t>0.8489</m:t>
            </m:r>
          </m:den>
        </m:f>
        <m:r>
          <w:rPr>
            <w:rFonts w:ascii="Cambria Math" w:hAnsi="Cambria Math"/>
          </w:rPr>
          <m:t>=3.651</m:t>
        </m:r>
      </m:oMath>
      <w:r>
        <w:t>.</w:t>
      </w:r>
    </w:p>
    <w:p w14:paraId="25EA03BC" w14:textId="1DF4959A" w:rsidR="003C096C" w:rsidRPr="00534895" w:rsidRDefault="003C096C" w:rsidP="00534895">
      <w:pPr>
        <w:pStyle w:val="NormalWeb"/>
        <w:spacing w:before="0" w:beforeAutospacing="0" w:after="0" w:afterAutospacing="0" w:line="360" w:lineRule="auto"/>
        <w:jc w:val="both"/>
      </w:pPr>
      <w:r w:rsidRPr="00534895">
        <w:t xml:space="preserve">Paso 4. El análisis es unidireccional por la derecha, y considerando un nivel de confianza del 95 %, por lo que el valor crítico es igual </w:t>
      </w:r>
      <m:oMath>
        <m:sSub>
          <m:sSubPr>
            <m:ctrlPr>
              <w:rPr>
                <w:rFonts w:ascii="Cambria Math" w:hAnsi="Cambria Math"/>
                <w:i/>
              </w:rPr>
            </m:ctrlPr>
          </m:sSubPr>
          <m:e>
            <m:r>
              <w:rPr>
                <w:rFonts w:ascii="Cambria Math" w:hAnsi="Cambria Math"/>
              </w:rPr>
              <m:t>Z</m:t>
            </m:r>
          </m:e>
          <m:sub>
            <m:r>
              <w:rPr>
                <w:rFonts w:ascii="Cambria Math" w:hAnsi="Cambria Math"/>
              </w:rPr>
              <m:t>0.05</m:t>
            </m:r>
          </m:sub>
        </m:sSub>
        <m:r>
          <w:rPr>
            <w:rFonts w:ascii="Cambria Math" w:hAnsi="Cambria Math"/>
          </w:rPr>
          <m:t>=1.645</m:t>
        </m:r>
      </m:oMath>
      <w:r w:rsidRPr="00534895">
        <w:t>.</w:t>
      </w:r>
    </w:p>
    <w:p w14:paraId="1D9DFDF8" w14:textId="77777777" w:rsidR="003C096C" w:rsidRPr="00534895" w:rsidRDefault="003C096C" w:rsidP="00534895">
      <w:pPr>
        <w:pStyle w:val="NormalWeb"/>
        <w:spacing w:before="0" w:beforeAutospacing="0" w:after="0" w:afterAutospacing="0" w:line="360" w:lineRule="auto"/>
        <w:jc w:val="both"/>
      </w:pPr>
      <w:r w:rsidRPr="00534895">
        <w:t>Paso 5. Toma de decisión, comparando el valor crítico 1.645 con el valor calculado 3.651 resulta ser menor, es decir, 1.645 &lt; 3.651. Por lo tanto, se toma la decisión de rechazar la hipótesis nula y aceptar la hipótesis de investigación con un nivel de confianza del 95 %.</w:t>
      </w:r>
    </w:p>
    <w:p w14:paraId="5124CF2F" w14:textId="77777777" w:rsidR="003C096C" w:rsidRDefault="003C096C" w:rsidP="00534895">
      <w:pPr>
        <w:pStyle w:val="NormalWeb"/>
        <w:spacing w:before="0" w:beforeAutospacing="0" w:after="0" w:afterAutospacing="0" w:line="360" w:lineRule="auto"/>
        <w:jc w:val="both"/>
      </w:pPr>
      <w:r w:rsidRPr="00534895">
        <w:t>Paso 6.</w:t>
      </w:r>
      <w:r w:rsidRPr="00465B95">
        <w:t xml:space="preserve"> </w:t>
      </w:r>
      <w:r>
        <w:t>I</w:t>
      </w:r>
      <w:r w:rsidRPr="00465B95">
        <w:t>nterpretación</w:t>
      </w:r>
      <w:r>
        <w:t>.</w:t>
      </w:r>
      <w:r w:rsidRPr="00465B95">
        <w:t xml:space="preserve"> </w:t>
      </w:r>
      <w:r>
        <w:t>P</w:t>
      </w:r>
      <w:r w:rsidRPr="00465B95">
        <w:t xml:space="preserve">odemos afirmar con </w:t>
      </w:r>
      <w:r>
        <w:t>el</w:t>
      </w:r>
      <w:r w:rsidRPr="00465B95">
        <w:t xml:space="preserve"> 95</w:t>
      </w:r>
      <w:r>
        <w:t xml:space="preserve"> </w:t>
      </w:r>
      <w:r w:rsidRPr="00465B95">
        <w:t xml:space="preserve">% de confianza que el promedio obtenido en comprensión lectora es significativamente mayor al promedio obtenido en </w:t>
      </w:r>
      <w:r>
        <w:t>m</w:t>
      </w:r>
      <w:r w:rsidRPr="00465B95">
        <w:t>atemáticas. En otras palabras, si tomáramos 100 muestras del mismo tamaño</w:t>
      </w:r>
      <w:r>
        <w:t>,</w:t>
      </w:r>
      <w:r w:rsidRPr="00465B95">
        <w:t xml:space="preserve"> en 95 de ellas se cumpliría y en 5 no. </w:t>
      </w:r>
    </w:p>
    <w:p w14:paraId="0C2D31D8" w14:textId="77777777" w:rsidR="003C096C" w:rsidRDefault="003C096C" w:rsidP="00534895">
      <w:pPr>
        <w:pStyle w:val="NormalWeb"/>
        <w:spacing w:before="0" w:beforeAutospacing="0" w:after="0" w:afterAutospacing="0" w:line="360" w:lineRule="auto"/>
        <w:ind w:firstLine="708"/>
        <w:jc w:val="both"/>
        <w:rPr>
          <w:bCs/>
        </w:rPr>
      </w:pPr>
      <w:r w:rsidRPr="00465B95">
        <w:rPr>
          <w:color w:val="000000" w:themeColor="text1"/>
        </w:rPr>
        <w:t xml:space="preserve">Por último, se </w:t>
      </w:r>
      <w:r w:rsidRPr="00465B95">
        <w:t>encontró la ecuación lineal de Y sobre X</w:t>
      </w:r>
      <w:r>
        <w:t xml:space="preserve">, la cual </w:t>
      </w:r>
      <w:r w:rsidRPr="00465B95">
        <w:t>permit</w:t>
      </w:r>
      <w:r>
        <w:t>e</w:t>
      </w:r>
      <w:r w:rsidRPr="00465B95">
        <w:t xml:space="preserve"> aproximar la relación de dependencia entre la variable dependiente Y (</w:t>
      </w:r>
      <w:r>
        <w:t>m</w:t>
      </w:r>
      <w:r w:rsidRPr="00465B95">
        <w:t>atemáticas) y la variable independiente X (</w:t>
      </w:r>
      <w:r>
        <w:t>c</w:t>
      </w:r>
      <w:r w:rsidRPr="00465B95">
        <w:t xml:space="preserve">omprensión </w:t>
      </w:r>
      <w:r>
        <w:t>l</w:t>
      </w:r>
      <w:r w:rsidRPr="00465B95">
        <w:t xml:space="preserve">ectora), </w:t>
      </w:r>
      <w:r w:rsidRPr="00465B95">
        <w:rPr>
          <w:bCs/>
        </w:rPr>
        <w:t>aplicando el modelo de regresión lineal dada por la siguiente expresión matemática Y</w:t>
      </w:r>
      <w:r>
        <w:rPr>
          <w:bCs/>
        </w:rPr>
        <w:t xml:space="preserve"> </w:t>
      </w:r>
      <w:r w:rsidRPr="00465B95">
        <w:rPr>
          <w:bCs/>
        </w:rPr>
        <w:t>=</w:t>
      </w:r>
      <w:r>
        <w:rPr>
          <w:bCs/>
        </w:rPr>
        <w:t xml:space="preserve"> </w:t>
      </w:r>
      <m:oMath>
        <m:sSub>
          <m:sSubPr>
            <m:ctrlPr>
              <w:rPr>
                <w:rFonts w:ascii="Cambria Math" w:hAnsi="Cambria Math"/>
                <w:bCs/>
                <w:i/>
              </w:rPr>
            </m:ctrlPr>
          </m:sSubPr>
          <m:e>
            <m:r>
              <w:rPr>
                <w:rFonts w:ascii="Cambria Math" w:hAnsi="Cambria Math"/>
              </w:rPr>
              <m:t>a</m:t>
            </m:r>
          </m:e>
          <m:sub>
            <m:r>
              <w:rPr>
                <w:rFonts w:ascii="Cambria Math" w:hAnsi="Cambria Math"/>
              </w:rPr>
              <m:t>0</m:t>
            </m:r>
          </m:sub>
        </m:sSub>
        <m:r>
          <w:rPr>
            <w:rFonts w:ascii="Cambria Math" w:hAnsi="Cambria Math"/>
          </w:rPr>
          <m:t xml:space="preserve">+ </m:t>
        </m:r>
        <m:sSub>
          <m:sSubPr>
            <m:ctrlPr>
              <w:rPr>
                <w:rFonts w:ascii="Cambria Math" w:hAnsi="Cambria Math"/>
                <w:bCs/>
                <w:i/>
              </w:rPr>
            </m:ctrlPr>
          </m:sSubPr>
          <m:e>
            <m:r>
              <w:rPr>
                <w:rFonts w:ascii="Cambria Math" w:hAnsi="Cambria Math"/>
              </w:rPr>
              <m:t>a</m:t>
            </m:r>
          </m:e>
          <m:sub>
            <m:r>
              <w:rPr>
                <w:rFonts w:ascii="Cambria Math" w:hAnsi="Cambria Math"/>
              </w:rPr>
              <m:t>1</m:t>
            </m:r>
          </m:sub>
        </m:sSub>
        <m:r>
          <w:rPr>
            <w:rFonts w:ascii="Cambria Math" w:hAnsi="Cambria Math"/>
          </w:rPr>
          <m:t>X</m:t>
        </m:r>
      </m:oMath>
      <w:r>
        <w:rPr>
          <w:bCs/>
        </w:rPr>
        <w:t>. En tal sentido,</w:t>
      </w:r>
      <w:r w:rsidRPr="00465B95">
        <w:rPr>
          <w:bCs/>
        </w:rPr>
        <w:t xml:space="preserve"> utilizando el método de mínimos cuadrados para encontrar los valores de los coeficientes y el SPSS</w:t>
      </w:r>
      <w:r>
        <w:rPr>
          <w:bCs/>
        </w:rPr>
        <w:t>,</w:t>
      </w:r>
      <w:r w:rsidRPr="00465B95">
        <w:rPr>
          <w:bCs/>
        </w:rPr>
        <w:t xml:space="preserve"> se obtiene</w:t>
      </w:r>
      <w:r>
        <w:rPr>
          <w:bCs/>
        </w:rPr>
        <w:t xml:space="preserve"> lo siguiente: </w:t>
      </w:r>
    </w:p>
    <w:p w14:paraId="726FFDA5" w14:textId="61C86B7F" w:rsidR="00534895" w:rsidRPr="00465B95" w:rsidRDefault="00BC1D14" w:rsidP="00BC1D14">
      <w:pPr>
        <w:pStyle w:val="NormalWeb"/>
        <w:spacing w:before="0" w:beforeAutospacing="0" w:after="0" w:afterAutospacing="0" w:line="360" w:lineRule="auto"/>
        <w:ind w:firstLine="708"/>
        <w:jc w:val="center"/>
      </w:pPr>
      <w:r w:rsidRPr="009B4E84">
        <w:rPr>
          <w:b/>
          <w:bCs/>
          <w:color w:val="010205"/>
        </w:rPr>
        <w:lastRenderedPageBreak/>
        <w:t>Tabla 4.</w:t>
      </w:r>
      <w:r w:rsidRPr="009B4E84">
        <w:rPr>
          <w:color w:val="010205"/>
        </w:rPr>
        <w:t xml:space="preserve"> M</w:t>
      </w:r>
      <w:r w:rsidRPr="009B4E84">
        <w:t>odelo de regresión lineal</w:t>
      </w:r>
    </w:p>
    <w:tbl>
      <w:tblPr>
        <w:tblW w:w="8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9"/>
        <w:gridCol w:w="1794"/>
        <w:gridCol w:w="1303"/>
        <w:gridCol w:w="1304"/>
        <w:gridCol w:w="1303"/>
        <w:gridCol w:w="909"/>
        <w:gridCol w:w="915"/>
      </w:tblGrid>
      <w:tr w:rsidR="003C096C" w:rsidRPr="009B4E84" w14:paraId="39C924D7" w14:textId="77777777" w:rsidTr="00BC1D14">
        <w:trPr>
          <w:cantSplit/>
          <w:trHeight w:val="637"/>
        </w:trPr>
        <w:tc>
          <w:tcPr>
            <w:tcW w:w="2443" w:type="dxa"/>
            <w:gridSpan w:val="2"/>
            <w:vMerge w:val="restart"/>
            <w:shd w:val="clear" w:color="auto" w:fill="FFFFFF"/>
            <w:vAlign w:val="bottom"/>
          </w:tcPr>
          <w:p w14:paraId="70BFE953" w14:textId="77777777" w:rsidR="003C096C" w:rsidRPr="00EE7BDA" w:rsidRDefault="003C096C" w:rsidP="009E4203">
            <w:pPr>
              <w:spacing w:line="360" w:lineRule="auto"/>
              <w:ind w:left="60" w:right="60"/>
              <w:jc w:val="both"/>
              <w:rPr>
                <w:rFonts w:ascii="Times New Roman" w:hAnsi="Times New Roman" w:cs="Times New Roman"/>
                <w:color w:val="auto"/>
                <w:sz w:val="24"/>
                <w:szCs w:val="24"/>
              </w:rPr>
            </w:pPr>
            <w:r w:rsidRPr="00EE7BDA">
              <w:rPr>
                <w:rFonts w:ascii="Times New Roman" w:hAnsi="Times New Roman" w:cs="Times New Roman"/>
                <w:color w:val="auto"/>
                <w:sz w:val="24"/>
                <w:szCs w:val="24"/>
              </w:rPr>
              <w:t>Modelo</w:t>
            </w:r>
          </w:p>
        </w:tc>
        <w:tc>
          <w:tcPr>
            <w:tcW w:w="2607" w:type="dxa"/>
            <w:gridSpan w:val="2"/>
            <w:shd w:val="clear" w:color="auto" w:fill="FFFFFF"/>
            <w:vAlign w:val="bottom"/>
          </w:tcPr>
          <w:p w14:paraId="0D67106A" w14:textId="77777777" w:rsidR="003C096C" w:rsidRPr="00EE7BDA" w:rsidRDefault="003C096C" w:rsidP="009E4203">
            <w:pPr>
              <w:spacing w:line="360" w:lineRule="auto"/>
              <w:ind w:left="60" w:right="60"/>
              <w:jc w:val="both"/>
              <w:rPr>
                <w:rFonts w:ascii="Times New Roman" w:hAnsi="Times New Roman" w:cs="Times New Roman"/>
                <w:color w:val="auto"/>
                <w:sz w:val="24"/>
                <w:szCs w:val="24"/>
              </w:rPr>
            </w:pPr>
            <w:r w:rsidRPr="00EE7BDA">
              <w:rPr>
                <w:rFonts w:ascii="Times New Roman" w:hAnsi="Times New Roman" w:cs="Times New Roman"/>
                <w:color w:val="auto"/>
                <w:sz w:val="24"/>
                <w:szCs w:val="24"/>
              </w:rPr>
              <w:t>Coeficientes no estandarizados</w:t>
            </w:r>
          </w:p>
        </w:tc>
        <w:tc>
          <w:tcPr>
            <w:tcW w:w="1303" w:type="dxa"/>
            <w:shd w:val="clear" w:color="auto" w:fill="FFFFFF"/>
            <w:vAlign w:val="bottom"/>
          </w:tcPr>
          <w:p w14:paraId="45ED5E57" w14:textId="77777777" w:rsidR="003C096C" w:rsidRPr="00EE7BDA" w:rsidRDefault="003C096C" w:rsidP="009E4203">
            <w:pPr>
              <w:spacing w:line="360" w:lineRule="auto"/>
              <w:ind w:left="60" w:right="60"/>
              <w:jc w:val="both"/>
              <w:rPr>
                <w:rFonts w:ascii="Times New Roman" w:hAnsi="Times New Roman" w:cs="Times New Roman"/>
                <w:color w:val="auto"/>
                <w:sz w:val="24"/>
                <w:szCs w:val="24"/>
              </w:rPr>
            </w:pPr>
            <w:r w:rsidRPr="00EE7BDA">
              <w:rPr>
                <w:rFonts w:ascii="Times New Roman" w:hAnsi="Times New Roman" w:cs="Times New Roman"/>
                <w:color w:val="auto"/>
                <w:sz w:val="24"/>
                <w:szCs w:val="24"/>
              </w:rPr>
              <w:t>Coeficientes estandarizados</w:t>
            </w:r>
          </w:p>
        </w:tc>
        <w:tc>
          <w:tcPr>
            <w:tcW w:w="909" w:type="dxa"/>
            <w:vMerge w:val="restart"/>
            <w:shd w:val="clear" w:color="auto" w:fill="FFFFFF"/>
            <w:vAlign w:val="bottom"/>
          </w:tcPr>
          <w:p w14:paraId="3E491369" w14:textId="77777777" w:rsidR="003C096C" w:rsidRPr="009B4E84" w:rsidRDefault="003C096C" w:rsidP="009E4203">
            <w:pPr>
              <w:spacing w:line="360" w:lineRule="auto"/>
              <w:ind w:left="60" w:right="60"/>
              <w:jc w:val="both"/>
              <w:rPr>
                <w:rFonts w:ascii="Times New Roman" w:hAnsi="Times New Roman" w:cs="Times New Roman"/>
                <w:color w:val="264A60"/>
                <w:sz w:val="24"/>
                <w:szCs w:val="24"/>
              </w:rPr>
            </w:pPr>
            <w:r w:rsidRPr="009B4E84">
              <w:rPr>
                <w:rFonts w:ascii="Times New Roman" w:hAnsi="Times New Roman" w:cs="Times New Roman"/>
                <w:color w:val="264A60"/>
                <w:sz w:val="24"/>
                <w:szCs w:val="24"/>
              </w:rPr>
              <w:t>t</w:t>
            </w:r>
          </w:p>
        </w:tc>
        <w:tc>
          <w:tcPr>
            <w:tcW w:w="915" w:type="dxa"/>
            <w:vMerge w:val="restart"/>
            <w:shd w:val="clear" w:color="auto" w:fill="FFFFFF"/>
            <w:vAlign w:val="bottom"/>
          </w:tcPr>
          <w:p w14:paraId="147A7AE3" w14:textId="77777777" w:rsidR="003C096C" w:rsidRPr="009B4E84" w:rsidRDefault="003C096C" w:rsidP="009E4203">
            <w:pPr>
              <w:spacing w:line="360" w:lineRule="auto"/>
              <w:ind w:left="60" w:right="60"/>
              <w:jc w:val="both"/>
              <w:rPr>
                <w:rFonts w:ascii="Times New Roman" w:hAnsi="Times New Roman" w:cs="Times New Roman"/>
                <w:color w:val="264A60"/>
                <w:sz w:val="24"/>
                <w:szCs w:val="24"/>
              </w:rPr>
            </w:pPr>
            <w:r w:rsidRPr="009B4E84">
              <w:rPr>
                <w:rFonts w:ascii="Times New Roman" w:hAnsi="Times New Roman" w:cs="Times New Roman"/>
                <w:color w:val="264A60"/>
                <w:sz w:val="24"/>
                <w:szCs w:val="24"/>
              </w:rPr>
              <w:t>Sig.</w:t>
            </w:r>
          </w:p>
        </w:tc>
      </w:tr>
      <w:tr w:rsidR="003C096C" w:rsidRPr="009B4E84" w14:paraId="75FADC91" w14:textId="77777777" w:rsidTr="00BC1D14">
        <w:trPr>
          <w:cantSplit/>
          <w:trHeight w:val="94"/>
        </w:trPr>
        <w:tc>
          <w:tcPr>
            <w:tcW w:w="2443" w:type="dxa"/>
            <w:gridSpan w:val="2"/>
            <w:vMerge/>
            <w:shd w:val="clear" w:color="auto" w:fill="FFFFFF"/>
            <w:vAlign w:val="bottom"/>
          </w:tcPr>
          <w:p w14:paraId="749725CB" w14:textId="77777777" w:rsidR="003C096C" w:rsidRPr="00EE7BDA" w:rsidRDefault="003C096C" w:rsidP="009E4203">
            <w:pPr>
              <w:spacing w:line="360" w:lineRule="auto"/>
              <w:jc w:val="both"/>
              <w:rPr>
                <w:rFonts w:ascii="Times New Roman" w:hAnsi="Times New Roman" w:cs="Times New Roman"/>
                <w:color w:val="auto"/>
                <w:sz w:val="24"/>
                <w:szCs w:val="24"/>
              </w:rPr>
            </w:pPr>
          </w:p>
        </w:tc>
        <w:tc>
          <w:tcPr>
            <w:tcW w:w="1303" w:type="dxa"/>
            <w:shd w:val="clear" w:color="auto" w:fill="FFFFFF"/>
            <w:vAlign w:val="bottom"/>
          </w:tcPr>
          <w:p w14:paraId="6591C6D8" w14:textId="77777777" w:rsidR="003C096C" w:rsidRPr="00EE7BDA" w:rsidRDefault="003C096C" w:rsidP="009E4203">
            <w:pPr>
              <w:spacing w:line="360" w:lineRule="auto"/>
              <w:ind w:left="60" w:right="60"/>
              <w:jc w:val="both"/>
              <w:rPr>
                <w:rFonts w:ascii="Times New Roman" w:hAnsi="Times New Roman" w:cs="Times New Roman"/>
                <w:color w:val="auto"/>
                <w:sz w:val="24"/>
                <w:szCs w:val="24"/>
              </w:rPr>
            </w:pPr>
            <w:r w:rsidRPr="00EE7BDA">
              <w:rPr>
                <w:rFonts w:ascii="Times New Roman" w:hAnsi="Times New Roman" w:cs="Times New Roman"/>
                <w:color w:val="auto"/>
                <w:sz w:val="24"/>
                <w:szCs w:val="24"/>
              </w:rPr>
              <w:t>B</w:t>
            </w:r>
          </w:p>
        </w:tc>
        <w:tc>
          <w:tcPr>
            <w:tcW w:w="1304" w:type="dxa"/>
            <w:shd w:val="clear" w:color="auto" w:fill="FFFFFF"/>
            <w:vAlign w:val="bottom"/>
          </w:tcPr>
          <w:p w14:paraId="24862E1A" w14:textId="77777777" w:rsidR="003C096C" w:rsidRPr="00EE7BDA" w:rsidRDefault="003C096C" w:rsidP="009E4203">
            <w:pPr>
              <w:spacing w:line="360" w:lineRule="auto"/>
              <w:ind w:left="60" w:right="60"/>
              <w:jc w:val="both"/>
              <w:rPr>
                <w:rFonts w:ascii="Times New Roman" w:hAnsi="Times New Roman" w:cs="Times New Roman"/>
                <w:color w:val="auto"/>
                <w:sz w:val="24"/>
                <w:szCs w:val="24"/>
              </w:rPr>
            </w:pPr>
            <w:r w:rsidRPr="00EE7BDA">
              <w:rPr>
                <w:rFonts w:ascii="Times New Roman" w:hAnsi="Times New Roman" w:cs="Times New Roman"/>
                <w:color w:val="auto"/>
                <w:sz w:val="24"/>
                <w:szCs w:val="24"/>
              </w:rPr>
              <w:t>Desv. Error</w:t>
            </w:r>
          </w:p>
        </w:tc>
        <w:tc>
          <w:tcPr>
            <w:tcW w:w="1303" w:type="dxa"/>
            <w:shd w:val="clear" w:color="auto" w:fill="FFFFFF"/>
            <w:vAlign w:val="bottom"/>
          </w:tcPr>
          <w:p w14:paraId="4AA368EC" w14:textId="77777777" w:rsidR="003C096C" w:rsidRPr="00EE7BDA" w:rsidRDefault="003C096C" w:rsidP="009E4203">
            <w:pPr>
              <w:spacing w:line="360" w:lineRule="auto"/>
              <w:ind w:left="60" w:right="60"/>
              <w:jc w:val="both"/>
              <w:rPr>
                <w:rFonts w:ascii="Times New Roman" w:hAnsi="Times New Roman" w:cs="Times New Roman"/>
                <w:color w:val="auto"/>
                <w:sz w:val="24"/>
                <w:szCs w:val="24"/>
              </w:rPr>
            </w:pPr>
            <w:r w:rsidRPr="00EE7BDA">
              <w:rPr>
                <w:rFonts w:ascii="Times New Roman" w:hAnsi="Times New Roman" w:cs="Times New Roman"/>
                <w:color w:val="auto"/>
                <w:sz w:val="24"/>
                <w:szCs w:val="24"/>
              </w:rPr>
              <w:t>Beta</w:t>
            </w:r>
          </w:p>
        </w:tc>
        <w:tc>
          <w:tcPr>
            <w:tcW w:w="909" w:type="dxa"/>
            <w:vMerge/>
            <w:shd w:val="clear" w:color="auto" w:fill="FFFFFF"/>
            <w:vAlign w:val="bottom"/>
          </w:tcPr>
          <w:p w14:paraId="79FCF887" w14:textId="77777777" w:rsidR="003C096C" w:rsidRPr="009B4E84" w:rsidRDefault="003C096C" w:rsidP="009E4203">
            <w:pPr>
              <w:spacing w:line="360" w:lineRule="auto"/>
              <w:jc w:val="both"/>
              <w:rPr>
                <w:rFonts w:ascii="Times New Roman" w:hAnsi="Times New Roman" w:cs="Times New Roman"/>
                <w:color w:val="264A60"/>
                <w:sz w:val="24"/>
                <w:szCs w:val="24"/>
              </w:rPr>
            </w:pPr>
          </w:p>
        </w:tc>
        <w:tc>
          <w:tcPr>
            <w:tcW w:w="915" w:type="dxa"/>
            <w:vMerge/>
            <w:shd w:val="clear" w:color="auto" w:fill="FFFFFF"/>
            <w:vAlign w:val="bottom"/>
          </w:tcPr>
          <w:p w14:paraId="78D7483A" w14:textId="77777777" w:rsidR="003C096C" w:rsidRPr="009B4E84" w:rsidRDefault="003C096C" w:rsidP="009E4203">
            <w:pPr>
              <w:spacing w:line="360" w:lineRule="auto"/>
              <w:jc w:val="both"/>
              <w:rPr>
                <w:rFonts w:ascii="Times New Roman" w:hAnsi="Times New Roman" w:cs="Times New Roman"/>
                <w:color w:val="264A60"/>
                <w:sz w:val="24"/>
                <w:szCs w:val="24"/>
              </w:rPr>
            </w:pPr>
          </w:p>
        </w:tc>
      </w:tr>
      <w:tr w:rsidR="003C096C" w:rsidRPr="009B4E84" w14:paraId="44DEB5D5" w14:textId="77777777" w:rsidTr="00BC1D14">
        <w:trPr>
          <w:cantSplit/>
          <w:trHeight w:val="214"/>
        </w:trPr>
        <w:tc>
          <w:tcPr>
            <w:tcW w:w="649" w:type="dxa"/>
            <w:vMerge w:val="restart"/>
            <w:shd w:val="clear" w:color="auto" w:fill="auto"/>
          </w:tcPr>
          <w:p w14:paraId="33EC9E7D" w14:textId="77777777" w:rsidR="003C096C" w:rsidRPr="004E7769" w:rsidRDefault="003C096C" w:rsidP="009E4203">
            <w:pPr>
              <w:spacing w:line="360" w:lineRule="auto"/>
              <w:ind w:left="60" w:right="60"/>
              <w:jc w:val="both"/>
              <w:rPr>
                <w:rFonts w:ascii="Times New Roman" w:hAnsi="Times New Roman" w:cs="Times New Roman"/>
                <w:color w:val="auto"/>
                <w:sz w:val="24"/>
                <w:szCs w:val="24"/>
              </w:rPr>
            </w:pPr>
            <w:r w:rsidRPr="004E7769">
              <w:rPr>
                <w:rFonts w:ascii="Times New Roman" w:hAnsi="Times New Roman" w:cs="Times New Roman"/>
                <w:color w:val="auto"/>
                <w:sz w:val="24"/>
                <w:szCs w:val="24"/>
              </w:rPr>
              <w:t>1</w:t>
            </w:r>
          </w:p>
        </w:tc>
        <w:tc>
          <w:tcPr>
            <w:tcW w:w="1794" w:type="dxa"/>
            <w:shd w:val="clear" w:color="auto" w:fill="auto"/>
          </w:tcPr>
          <w:p w14:paraId="1788E5F9" w14:textId="77777777" w:rsidR="003C096C" w:rsidRPr="004E7769" w:rsidRDefault="003C096C" w:rsidP="009E4203">
            <w:pPr>
              <w:spacing w:line="360" w:lineRule="auto"/>
              <w:ind w:left="60" w:right="60"/>
              <w:jc w:val="both"/>
              <w:rPr>
                <w:rFonts w:ascii="Times New Roman" w:hAnsi="Times New Roman" w:cs="Times New Roman"/>
                <w:color w:val="auto"/>
                <w:sz w:val="24"/>
                <w:szCs w:val="24"/>
              </w:rPr>
            </w:pPr>
            <w:r w:rsidRPr="004E7769">
              <w:rPr>
                <w:rFonts w:ascii="Times New Roman" w:hAnsi="Times New Roman" w:cs="Times New Roman"/>
                <w:color w:val="auto"/>
                <w:sz w:val="24"/>
                <w:szCs w:val="24"/>
              </w:rPr>
              <w:t>(Constante)</w:t>
            </w:r>
          </w:p>
        </w:tc>
        <w:tc>
          <w:tcPr>
            <w:tcW w:w="1303" w:type="dxa"/>
            <w:shd w:val="clear" w:color="auto" w:fill="FFFFFF"/>
          </w:tcPr>
          <w:p w14:paraId="79EB3CA6" w14:textId="77777777" w:rsidR="003C096C" w:rsidRPr="009B4E84" w:rsidRDefault="003C096C" w:rsidP="009E4203">
            <w:pPr>
              <w:spacing w:line="360" w:lineRule="auto"/>
              <w:ind w:left="60" w:right="60"/>
              <w:jc w:val="both"/>
              <w:rPr>
                <w:rFonts w:ascii="Times New Roman" w:hAnsi="Times New Roman" w:cs="Times New Roman"/>
                <w:color w:val="010205"/>
                <w:sz w:val="24"/>
                <w:szCs w:val="24"/>
              </w:rPr>
            </w:pPr>
            <w:r w:rsidRPr="009B4E84">
              <w:rPr>
                <w:rFonts w:ascii="Times New Roman" w:hAnsi="Times New Roman" w:cs="Times New Roman"/>
                <w:color w:val="010205"/>
                <w:sz w:val="24"/>
                <w:szCs w:val="24"/>
              </w:rPr>
              <w:t>6.472</w:t>
            </w:r>
          </w:p>
        </w:tc>
        <w:tc>
          <w:tcPr>
            <w:tcW w:w="1304" w:type="dxa"/>
            <w:shd w:val="clear" w:color="auto" w:fill="FFFFFF"/>
          </w:tcPr>
          <w:p w14:paraId="5082992D" w14:textId="77777777" w:rsidR="003C096C" w:rsidRPr="009B4E84" w:rsidRDefault="003C096C" w:rsidP="009E4203">
            <w:pPr>
              <w:spacing w:line="360" w:lineRule="auto"/>
              <w:ind w:left="60" w:right="60"/>
              <w:jc w:val="both"/>
              <w:rPr>
                <w:rFonts w:ascii="Times New Roman" w:hAnsi="Times New Roman" w:cs="Times New Roman"/>
                <w:color w:val="010205"/>
                <w:sz w:val="24"/>
                <w:szCs w:val="24"/>
              </w:rPr>
            </w:pPr>
            <w:r w:rsidRPr="009B4E84">
              <w:rPr>
                <w:rFonts w:ascii="Times New Roman" w:hAnsi="Times New Roman" w:cs="Times New Roman"/>
                <w:color w:val="010205"/>
                <w:sz w:val="24"/>
                <w:szCs w:val="24"/>
              </w:rPr>
              <w:t>2.614</w:t>
            </w:r>
          </w:p>
        </w:tc>
        <w:tc>
          <w:tcPr>
            <w:tcW w:w="1303" w:type="dxa"/>
            <w:shd w:val="clear" w:color="auto" w:fill="FFFFFF"/>
            <w:vAlign w:val="center"/>
          </w:tcPr>
          <w:p w14:paraId="3D3B2A57" w14:textId="77777777" w:rsidR="003C096C" w:rsidRPr="009B4E84" w:rsidRDefault="003C096C" w:rsidP="009E4203">
            <w:pPr>
              <w:spacing w:line="360" w:lineRule="auto"/>
              <w:jc w:val="both"/>
              <w:rPr>
                <w:rFonts w:ascii="Times New Roman" w:hAnsi="Times New Roman" w:cs="Times New Roman"/>
                <w:sz w:val="24"/>
                <w:szCs w:val="24"/>
              </w:rPr>
            </w:pPr>
          </w:p>
        </w:tc>
        <w:tc>
          <w:tcPr>
            <w:tcW w:w="909" w:type="dxa"/>
            <w:shd w:val="clear" w:color="auto" w:fill="FFFFFF"/>
          </w:tcPr>
          <w:p w14:paraId="21D42107" w14:textId="77777777" w:rsidR="003C096C" w:rsidRPr="009B4E84" w:rsidRDefault="003C096C" w:rsidP="009E4203">
            <w:pPr>
              <w:spacing w:line="360" w:lineRule="auto"/>
              <w:ind w:left="60" w:right="60"/>
              <w:jc w:val="both"/>
              <w:rPr>
                <w:rFonts w:ascii="Times New Roman" w:hAnsi="Times New Roman" w:cs="Times New Roman"/>
                <w:color w:val="010205"/>
                <w:sz w:val="24"/>
                <w:szCs w:val="24"/>
              </w:rPr>
            </w:pPr>
            <w:r w:rsidRPr="009B4E84">
              <w:rPr>
                <w:rFonts w:ascii="Times New Roman" w:hAnsi="Times New Roman" w:cs="Times New Roman"/>
                <w:color w:val="010205"/>
                <w:sz w:val="24"/>
                <w:szCs w:val="24"/>
              </w:rPr>
              <w:t>2.476</w:t>
            </w:r>
          </w:p>
        </w:tc>
        <w:tc>
          <w:tcPr>
            <w:tcW w:w="915" w:type="dxa"/>
            <w:shd w:val="clear" w:color="auto" w:fill="FFFFFF"/>
          </w:tcPr>
          <w:p w14:paraId="6203BFB7" w14:textId="77777777" w:rsidR="003C096C" w:rsidRPr="009B4E84" w:rsidRDefault="003C096C" w:rsidP="009E4203">
            <w:pPr>
              <w:spacing w:line="360" w:lineRule="auto"/>
              <w:ind w:left="60" w:right="60"/>
              <w:jc w:val="both"/>
              <w:rPr>
                <w:rFonts w:ascii="Times New Roman" w:hAnsi="Times New Roman" w:cs="Times New Roman"/>
                <w:color w:val="010205"/>
                <w:sz w:val="24"/>
                <w:szCs w:val="24"/>
              </w:rPr>
            </w:pPr>
            <w:r w:rsidRPr="009B4E84">
              <w:rPr>
                <w:rFonts w:ascii="Times New Roman" w:hAnsi="Times New Roman" w:cs="Times New Roman"/>
                <w:color w:val="010205"/>
                <w:sz w:val="24"/>
                <w:szCs w:val="24"/>
              </w:rPr>
              <w:t>.015</w:t>
            </w:r>
          </w:p>
        </w:tc>
      </w:tr>
      <w:tr w:rsidR="003C096C" w:rsidRPr="009B4E84" w14:paraId="4D0C593B" w14:textId="77777777" w:rsidTr="00BC1D14">
        <w:trPr>
          <w:cantSplit/>
          <w:trHeight w:val="94"/>
        </w:trPr>
        <w:tc>
          <w:tcPr>
            <w:tcW w:w="649" w:type="dxa"/>
            <w:vMerge/>
            <w:shd w:val="clear" w:color="auto" w:fill="auto"/>
          </w:tcPr>
          <w:p w14:paraId="2EF28ADD" w14:textId="77777777" w:rsidR="003C096C" w:rsidRPr="004E7769" w:rsidRDefault="003C096C" w:rsidP="009E4203">
            <w:pPr>
              <w:spacing w:line="360" w:lineRule="auto"/>
              <w:jc w:val="both"/>
              <w:rPr>
                <w:rFonts w:ascii="Times New Roman" w:hAnsi="Times New Roman" w:cs="Times New Roman"/>
                <w:color w:val="auto"/>
                <w:sz w:val="24"/>
                <w:szCs w:val="24"/>
              </w:rPr>
            </w:pPr>
          </w:p>
        </w:tc>
        <w:tc>
          <w:tcPr>
            <w:tcW w:w="1794" w:type="dxa"/>
            <w:shd w:val="clear" w:color="auto" w:fill="auto"/>
          </w:tcPr>
          <w:p w14:paraId="29C61C00" w14:textId="77777777" w:rsidR="003C096C" w:rsidRPr="004E7769" w:rsidRDefault="003C096C" w:rsidP="009E4203">
            <w:pPr>
              <w:spacing w:line="360" w:lineRule="auto"/>
              <w:ind w:left="60" w:right="60"/>
              <w:jc w:val="both"/>
              <w:rPr>
                <w:rFonts w:ascii="Times New Roman" w:hAnsi="Times New Roman" w:cs="Times New Roman"/>
                <w:color w:val="auto"/>
                <w:sz w:val="24"/>
                <w:szCs w:val="24"/>
              </w:rPr>
            </w:pPr>
            <w:r w:rsidRPr="004E7769">
              <w:rPr>
                <w:rFonts w:ascii="Times New Roman" w:hAnsi="Times New Roman" w:cs="Times New Roman"/>
                <w:color w:val="auto"/>
                <w:sz w:val="24"/>
                <w:szCs w:val="24"/>
              </w:rPr>
              <w:t>Comprensión lectora</w:t>
            </w:r>
          </w:p>
        </w:tc>
        <w:tc>
          <w:tcPr>
            <w:tcW w:w="1303" w:type="dxa"/>
            <w:shd w:val="clear" w:color="auto" w:fill="FFFFFF"/>
          </w:tcPr>
          <w:p w14:paraId="302CEC11" w14:textId="77777777" w:rsidR="003C096C" w:rsidRPr="009B4E84" w:rsidRDefault="003C096C" w:rsidP="009E4203">
            <w:pPr>
              <w:spacing w:line="360" w:lineRule="auto"/>
              <w:ind w:left="60" w:right="60"/>
              <w:jc w:val="both"/>
              <w:rPr>
                <w:rFonts w:ascii="Times New Roman" w:hAnsi="Times New Roman" w:cs="Times New Roman"/>
                <w:color w:val="010205"/>
                <w:sz w:val="24"/>
                <w:szCs w:val="24"/>
              </w:rPr>
            </w:pPr>
            <w:r w:rsidRPr="009B4E84">
              <w:rPr>
                <w:rFonts w:ascii="Times New Roman" w:hAnsi="Times New Roman" w:cs="Times New Roman"/>
                <w:color w:val="010205"/>
                <w:sz w:val="24"/>
                <w:szCs w:val="24"/>
              </w:rPr>
              <w:t>.568</w:t>
            </w:r>
          </w:p>
        </w:tc>
        <w:tc>
          <w:tcPr>
            <w:tcW w:w="1304" w:type="dxa"/>
            <w:shd w:val="clear" w:color="auto" w:fill="FFFFFF"/>
          </w:tcPr>
          <w:p w14:paraId="46690744" w14:textId="77777777" w:rsidR="003C096C" w:rsidRPr="009B4E84" w:rsidRDefault="003C096C" w:rsidP="009E4203">
            <w:pPr>
              <w:spacing w:line="360" w:lineRule="auto"/>
              <w:ind w:left="60" w:right="60"/>
              <w:jc w:val="both"/>
              <w:rPr>
                <w:rFonts w:ascii="Times New Roman" w:hAnsi="Times New Roman" w:cs="Times New Roman"/>
                <w:color w:val="010205"/>
                <w:sz w:val="24"/>
                <w:szCs w:val="24"/>
              </w:rPr>
            </w:pPr>
            <w:r w:rsidRPr="009B4E84">
              <w:rPr>
                <w:rFonts w:ascii="Times New Roman" w:hAnsi="Times New Roman" w:cs="Times New Roman"/>
                <w:color w:val="010205"/>
                <w:sz w:val="24"/>
                <w:szCs w:val="24"/>
              </w:rPr>
              <w:t>.115</w:t>
            </w:r>
          </w:p>
        </w:tc>
        <w:tc>
          <w:tcPr>
            <w:tcW w:w="1303" w:type="dxa"/>
            <w:shd w:val="clear" w:color="auto" w:fill="FFFFFF"/>
          </w:tcPr>
          <w:p w14:paraId="4648934B" w14:textId="77777777" w:rsidR="003C096C" w:rsidRPr="009B4E84" w:rsidRDefault="003C096C" w:rsidP="009E4203">
            <w:pPr>
              <w:spacing w:line="360" w:lineRule="auto"/>
              <w:ind w:left="60" w:right="60"/>
              <w:jc w:val="both"/>
              <w:rPr>
                <w:rFonts w:ascii="Times New Roman" w:hAnsi="Times New Roman" w:cs="Times New Roman"/>
                <w:color w:val="010205"/>
                <w:sz w:val="24"/>
                <w:szCs w:val="24"/>
              </w:rPr>
            </w:pPr>
            <w:r w:rsidRPr="009B4E84">
              <w:rPr>
                <w:rFonts w:ascii="Times New Roman" w:hAnsi="Times New Roman" w:cs="Times New Roman"/>
                <w:color w:val="010205"/>
                <w:sz w:val="24"/>
                <w:szCs w:val="24"/>
              </w:rPr>
              <w:t>.426</w:t>
            </w:r>
          </w:p>
        </w:tc>
        <w:tc>
          <w:tcPr>
            <w:tcW w:w="909" w:type="dxa"/>
            <w:shd w:val="clear" w:color="auto" w:fill="FFFFFF"/>
          </w:tcPr>
          <w:p w14:paraId="69478B0C" w14:textId="77777777" w:rsidR="003C096C" w:rsidRPr="009B4E84" w:rsidRDefault="003C096C" w:rsidP="009E4203">
            <w:pPr>
              <w:spacing w:line="360" w:lineRule="auto"/>
              <w:ind w:left="60" w:right="60"/>
              <w:jc w:val="both"/>
              <w:rPr>
                <w:rFonts w:ascii="Times New Roman" w:hAnsi="Times New Roman" w:cs="Times New Roman"/>
                <w:color w:val="010205"/>
                <w:sz w:val="24"/>
                <w:szCs w:val="24"/>
              </w:rPr>
            </w:pPr>
            <w:r w:rsidRPr="009B4E84">
              <w:rPr>
                <w:rFonts w:ascii="Times New Roman" w:hAnsi="Times New Roman" w:cs="Times New Roman"/>
                <w:color w:val="010205"/>
                <w:sz w:val="24"/>
                <w:szCs w:val="24"/>
              </w:rPr>
              <w:t>4.956</w:t>
            </w:r>
          </w:p>
        </w:tc>
        <w:tc>
          <w:tcPr>
            <w:tcW w:w="915" w:type="dxa"/>
            <w:shd w:val="clear" w:color="auto" w:fill="FFFFFF"/>
          </w:tcPr>
          <w:p w14:paraId="78AE2D4A" w14:textId="77777777" w:rsidR="003C096C" w:rsidRPr="009B4E84" w:rsidRDefault="003C096C" w:rsidP="009E4203">
            <w:pPr>
              <w:spacing w:line="360" w:lineRule="auto"/>
              <w:ind w:left="60" w:right="60"/>
              <w:jc w:val="both"/>
              <w:rPr>
                <w:rFonts w:ascii="Times New Roman" w:hAnsi="Times New Roman" w:cs="Times New Roman"/>
                <w:color w:val="010205"/>
                <w:sz w:val="24"/>
                <w:szCs w:val="24"/>
              </w:rPr>
            </w:pPr>
            <w:r w:rsidRPr="009B4E84">
              <w:rPr>
                <w:rFonts w:ascii="Times New Roman" w:hAnsi="Times New Roman" w:cs="Times New Roman"/>
                <w:color w:val="010205"/>
                <w:sz w:val="24"/>
                <w:szCs w:val="24"/>
              </w:rPr>
              <w:t>.000</w:t>
            </w:r>
          </w:p>
        </w:tc>
      </w:tr>
      <w:tr w:rsidR="003C096C" w:rsidRPr="009B4E84" w14:paraId="2FE4633D" w14:textId="77777777" w:rsidTr="004E7769">
        <w:trPr>
          <w:cantSplit/>
          <w:trHeight w:val="214"/>
        </w:trPr>
        <w:tc>
          <w:tcPr>
            <w:tcW w:w="8177" w:type="dxa"/>
            <w:gridSpan w:val="7"/>
            <w:shd w:val="clear" w:color="auto" w:fill="FFFFFF"/>
          </w:tcPr>
          <w:p w14:paraId="6DC81541" w14:textId="77777777" w:rsidR="003C096C" w:rsidRPr="009B4E84" w:rsidRDefault="003C096C" w:rsidP="009E4203">
            <w:pPr>
              <w:spacing w:line="360" w:lineRule="auto"/>
              <w:ind w:left="60" w:right="60"/>
              <w:jc w:val="both"/>
              <w:rPr>
                <w:rFonts w:ascii="Times New Roman" w:hAnsi="Times New Roman" w:cs="Times New Roman"/>
                <w:color w:val="010205"/>
                <w:sz w:val="24"/>
                <w:szCs w:val="24"/>
              </w:rPr>
            </w:pPr>
            <w:r w:rsidRPr="009B4E84">
              <w:rPr>
                <w:rFonts w:ascii="Times New Roman" w:hAnsi="Times New Roman" w:cs="Times New Roman"/>
                <w:color w:val="010205"/>
                <w:sz w:val="24"/>
                <w:szCs w:val="24"/>
              </w:rPr>
              <w:t>a. Variable dependiente: matemáticas</w:t>
            </w:r>
          </w:p>
        </w:tc>
      </w:tr>
    </w:tbl>
    <w:p w14:paraId="67BFE21D" w14:textId="77777777" w:rsidR="003C096C" w:rsidRPr="00465B95" w:rsidRDefault="003C096C" w:rsidP="003C096C">
      <w:pPr>
        <w:spacing w:line="360" w:lineRule="auto"/>
        <w:jc w:val="center"/>
        <w:rPr>
          <w:rFonts w:ascii="Times New Roman" w:hAnsi="Times New Roman" w:cs="Times New Roman"/>
          <w:sz w:val="24"/>
          <w:szCs w:val="24"/>
        </w:rPr>
      </w:pPr>
      <w:r w:rsidRPr="00465B95">
        <w:rPr>
          <w:rFonts w:ascii="Times New Roman" w:hAnsi="Times New Roman" w:cs="Times New Roman"/>
          <w:sz w:val="24"/>
          <w:szCs w:val="24"/>
        </w:rPr>
        <w:t>Fuente: Elaboración propia</w:t>
      </w:r>
    </w:p>
    <w:p w14:paraId="47527343" w14:textId="06EDC227" w:rsidR="003C096C" w:rsidRPr="00465B95" w:rsidRDefault="00EB2119" w:rsidP="003C096C">
      <w:pPr>
        <w:spacing w:line="360" w:lineRule="auto"/>
        <w:ind w:firstLine="708"/>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De la tabla 4, e</w:t>
      </w:r>
      <w:r w:rsidR="003C096C" w:rsidRPr="00465B95">
        <w:rPr>
          <w:rFonts w:ascii="Times New Roman" w:hAnsi="Times New Roman" w:cs="Times New Roman"/>
          <w:sz w:val="24"/>
          <w:szCs w:val="24"/>
        </w:rPr>
        <w:t xml:space="preserve">l modelo de regresión lineal obtenido es el siguiente: </w:t>
      </w:r>
      <m:oMath>
        <m:r>
          <w:rPr>
            <w:rFonts w:ascii="Cambria Math" w:hAnsi="Cambria Math" w:cs="Times New Roman"/>
            <w:sz w:val="24"/>
            <w:szCs w:val="24"/>
          </w:rPr>
          <m:t>Y=6.472+0.568 X</m:t>
        </m:r>
      </m:oMath>
      <w:r w:rsidR="003C096C">
        <w:rPr>
          <w:rFonts w:ascii="Times New Roman" w:eastAsiaTheme="minorEastAsia" w:hAnsi="Times New Roman" w:cs="Times New Roman"/>
          <w:sz w:val="24"/>
          <w:szCs w:val="24"/>
        </w:rPr>
        <w:t>, d</w:t>
      </w:r>
      <w:r w:rsidR="003C096C" w:rsidRPr="00465B95">
        <w:rPr>
          <w:rFonts w:ascii="Times New Roman" w:eastAsiaTheme="minorEastAsia" w:hAnsi="Times New Roman" w:cs="Times New Roman"/>
          <w:sz w:val="24"/>
          <w:szCs w:val="24"/>
        </w:rPr>
        <w:t>onde lo</w:t>
      </w:r>
      <w:r w:rsidR="003C096C">
        <w:rPr>
          <w:rFonts w:ascii="Times New Roman" w:eastAsiaTheme="minorEastAsia" w:hAnsi="Times New Roman" w:cs="Times New Roman"/>
          <w:sz w:val="24"/>
          <w:szCs w:val="24"/>
        </w:rPr>
        <w:t>s</w:t>
      </w:r>
      <w:r w:rsidR="003C096C" w:rsidRPr="00465B95">
        <w:rPr>
          <w:rFonts w:ascii="Times New Roman" w:eastAsiaTheme="minorEastAsia" w:hAnsi="Times New Roman" w:cs="Times New Roman"/>
          <w:sz w:val="24"/>
          <w:szCs w:val="24"/>
        </w:rPr>
        <w:t xml:space="preserve"> parámetros encontrados son iguales a </w:t>
      </w:r>
      <m:oMath>
        <m:sSub>
          <m:sSubPr>
            <m:ctrlPr>
              <w:rPr>
                <w:rFonts w:ascii="Cambria Math" w:eastAsia="Times New Roman" w:hAnsi="Cambria Math" w:cs="Times New Roman"/>
                <w:bCs/>
                <w:i/>
                <w:sz w:val="24"/>
                <w:szCs w:val="24"/>
                <w:lang w:val="es-ES" w:eastAsia="es-ES"/>
              </w:rPr>
            </m:ctrlPr>
          </m:sSubPr>
          <m:e>
            <m:r>
              <w:rPr>
                <w:rFonts w:ascii="Cambria Math" w:hAnsi="Cambria Math" w:cs="Times New Roman"/>
                <w:sz w:val="24"/>
                <w:szCs w:val="24"/>
              </w:rPr>
              <m:t>a</m:t>
            </m:r>
          </m:e>
          <m:sub>
            <m:r>
              <w:rPr>
                <w:rFonts w:ascii="Cambria Math" w:hAnsi="Cambria Math" w:cs="Times New Roman"/>
                <w:sz w:val="24"/>
                <w:szCs w:val="24"/>
              </w:rPr>
              <m:t>0</m:t>
            </m:r>
          </m:sub>
        </m:sSub>
        <m:r>
          <w:rPr>
            <w:rFonts w:ascii="Cambria Math" w:eastAsia="Times New Roman" w:hAnsi="Cambria Math" w:cs="Times New Roman"/>
            <w:sz w:val="24"/>
            <w:szCs w:val="24"/>
            <w:lang w:val="es-ES" w:eastAsia="es-ES"/>
          </w:rPr>
          <m:t xml:space="preserve">=6.472,  </m:t>
        </m:r>
        <m:sSub>
          <m:sSubPr>
            <m:ctrlPr>
              <w:rPr>
                <w:rFonts w:ascii="Cambria Math" w:eastAsia="Times New Roman" w:hAnsi="Cambria Math" w:cs="Times New Roman"/>
                <w:bCs/>
                <w:i/>
                <w:sz w:val="24"/>
                <w:szCs w:val="24"/>
                <w:lang w:val="es-ES" w:eastAsia="es-ES"/>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eastAsia="Times New Roman" w:hAnsi="Cambria Math" w:cs="Times New Roman"/>
            <w:sz w:val="24"/>
            <w:szCs w:val="24"/>
            <w:lang w:val="es-ES" w:eastAsia="es-ES"/>
          </w:rPr>
          <m:t xml:space="preserve">=0.568 </m:t>
        </m:r>
      </m:oMath>
      <w:r w:rsidR="003C096C">
        <w:rPr>
          <w:rFonts w:ascii="Times New Roman" w:eastAsiaTheme="minorEastAsia" w:hAnsi="Times New Roman" w:cs="Times New Roman"/>
          <w:sz w:val="24"/>
          <w:szCs w:val="24"/>
          <w:lang w:val="es-ES" w:eastAsia="es-ES"/>
        </w:rPr>
        <w:t>.</w:t>
      </w:r>
    </w:p>
    <w:p w14:paraId="73B2019A" w14:textId="0B536D6A" w:rsidR="00534895" w:rsidRDefault="003C096C" w:rsidP="005D02EB">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Ahora bien, l</w:t>
      </w:r>
      <w:r w:rsidRPr="00465B95">
        <w:rPr>
          <w:rFonts w:ascii="Times New Roman" w:hAnsi="Times New Roman" w:cs="Times New Roman"/>
          <w:sz w:val="24"/>
          <w:szCs w:val="24"/>
          <w:lang w:val="es-ES"/>
        </w:rPr>
        <w:t xml:space="preserve">a interpretación del modelo es la siguiente: según la ecuación proporcionada, por cada acierto adicional en comprensión lectora (X), se espera un aumento de 0.568 aciertos en </w:t>
      </w:r>
      <w:r>
        <w:rPr>
          <w:rFonts w:ascii="Times New Roman" w:hAnsi="Times New Roman" w:cs="Times New Roman"/>
          <w:sz w:val="24"/>
          <w:szCs w:val="24"/>
          <w:lang w:val="es-ES"/>
        </w:rPr>
        <w:t>m</w:t>
      </w:r>
      <w:r w:rsidRPr="00465B95">
        <w:rPr>
          <w:rFonts w:ascii="Times New Roman" w:hAnsi="Times New Roman" w:cs="Times New Roman"/>
          <w:sz w:val="24"/>
          <w:szCs w:val="24"/>
          <w:lang w:val="es-ES"/>
        </w:rPr>
        <w:t xml:space="preserve">atemáticas (Y). </w:t>
      </w:r>
      <w:r>
        <w:rPr>
          <w:rFonts w:ascii="Times New Roman" w:hAnsi="Times New Roman" w:cs="Times New Roman"/>
          <w:sz w:val="24"/>
          <w:szCs w:val="24"/>
          <w:lang w:val="es-ES"/>
        </w:rPr>
        <w:t>E</w:t>
      </w:r>
      <w:r w:rsidRPr="00465B95">
        <w:rPr>
          <w:rFonts w:ascii="Times New Roman" w:hAnsi="Times New Roman" w:cs="Times New Roman"/>
          <w:sz w:val="24"/>
          <w:szCs w:val="24"/>
          <w:lang w:val="es-ES"/>
        </w:rPr>
        <w:t xml:space="preserve">sto significa que por cada 10 aciertos en </w:t>
      </w:r>
      <w:r>
        <w:rPr>
          <w:rFonts w:ascii="Times New Roman" w:hAnsi="Times New Roman" w:cs="Times New Roman"/>
          <w:sz w:val="24"/>
          <w:szCs w:val="24"/>
          <w:lang w:val="es-ES"/>
        </w:rPr>
        <w:t>c</w:t>
      </w:r>
      <w:r w:rsidRPr="00465B95">
        <w:rPr>
          <w:rFonts w:ascii="Times New Roman" w:hAnsi="Times New Roman" w:cs="Times New Roman"/>
          <w:sz w:val="24"/>
          <w:szCs w:val="24"/>
          <w:lang w:val="es-ES"/>
        </w:rPr>
        <w:t xml:space="preserve">omprensión </w:t>
      </w:r>
      <w:r>
        <w:rPr>
          <w:rFonts w:ascii="Times New Roman" w:hAnsi="Times New Roman" w:cs="Times New Roman"/>
          <w:sz w:val="24"/>
          <w:szCs w:val="24"/>
          <w:lang w:val="es-ES"/>
        </w:rPr>
        <w:t>l</w:t>
      </w:r>
      <w:r w:rsidRPr="00465B95">
        <w:rPr>
          <w:rFonts w:ascii="Times New Roman" w:hAnsi="Times New Roman" w:cs="Times New Roman"/>
          <w:sz w:val="24"/>
          <w:szCs w:val="24"/>
          <w:lang w:val="es-ES"/>
        </w:rPr>
        <w:t xml:space="preserve">ectora se prevé aproximadamente 5.6 aciertos en </w:t>
      </w:r>
      <w:r>
        <w:rPr>
          <w:rFonts w:ascii="Times New Roman" w:hAnsi="Times New Roman" w:cs="Times New Roman"/>
          <w:sz w:val="24"/>
          <w:szCs w:val="24"/>
          <w:lang w:val="es-ES"/>
        </w:rPr>
        <w:t>m</w:t>
      </w:r>
      <w:r w:rsidRPr="00465B95">
        <w:rPr>
          <w:rFonts w:ascii="Times New Roman" w:hAnsi="Times New Roman" w:cs="Times New Roman"/>
          <w:sz w:val="24"/>
          <w:szCs w:val="24"/>
          <w:lang w:val="es-ES"/>
        </w:rPr>
        <w:t xml:space="preserve">atemáticas. Este resultado ilustra el grado de dependencia entre ambas variables, </w:t>
      </w:r>
      <w:r>
        <w:rPr>
          <w:rFonts w:ascii="Times New Roman" w:hAnsi="Times New Roman" w:cs="Times New Roman"/>
          <w:sz w:val="24"/>
          <w:szCs w:val="24"/>
          <w:lang w:val="es-ES"/>
        </w:rPr>
        <w:t>lo que demuestra</w:t>
      </w:r>
      <w:r w:rsidRPr="00465B95">
        <w:rPr>
          <w:rFonts w:ascii="Times New Roman" w:hAnsi="Times New Roman" w:cs="Times New Roman"/>
          <w:sz w:val="24"/>
          <w:szCs w:val="24"/>
          <w:lang w:val="es-ES"/>
        </w:rPr>
        <w:t xml:space="preserve"> cómo un mejor desempeño en comprensión lectora se asocia con un aumento en el desempeño en </w:t>
      </w:r>
      <w:r>
        <w:rPr>
          <w:rFonts w:ascii="Times New Roman" w:hAnsi="Times New Roman" w:cs="Times New Roman"/>
          <w:sz w:val="24"/>
          <w:szCs w:val="24"/>
          <w:lang w:val="es-ES"/>
        </w:rPr>
        <w:t>m</w:t>
      </w:r>
      <w:r w:rsidRPr="00465B95">
        <w:rPr>
          <w:rFonts w:ascii="Times New Roman" w:hAnsi="Times New Roman" w:cs="Times New Roman"/>
          <w:sz w:val="24"/>
          <w:szCs w:val="24"/>
          <w:lang w:val="es-ES"/>
        </w:rPr>
        <w:t>atemáticas</w:t>
      </w:r>
      <w:r>
        <w:rPr>
          <w:rFonts w:ascii="Times New Roman" w:hAnsi="Times New Roman" w:cs="Times New Roman"/>
          <w:sz w:val="24"/>
          <w:szCs w:val="24"/>
          <w:lang w:val="es-ES"/>
        </w:rPr>
        <w:t xml:space="preserve"> (f</w:t>
      </w:r>
      <w:r w:rsidRPr="00465B95">
        <w:rPr>
          <w:rFonts w:ascii="Times New Roman" w:hAnsi="Times New Roman" w:cs="Times New Roman"/>
          <w:sz w:val="24"/>
          <w:szCs w:val="24"/>
          <w:lang w:val="es-ES"/>
        </w:rPr>
        <w:t>igura 4</w:t>
      </w:r>
      <w:r>
        <w:rPr>
          <w:rFonts w:ascii="Times New Roman" w:hAnsi="Times New Roman" w:cs="Times New Roman"/>
          <w:sz w:val="24"/>
          <w:szCs w:val="24"/>
          <w:lang w:val="es-ES"/>
        </w:rPr>
        <w:t>)</w:t>
      </w:r>
      <w:r w:rsidRPr="00465B95">
        <w:rPr>
          <w:rFonts w:ascii="Times New Roman" w:hAnsi="Times New Roman" w:cs="Times New Roman"/>
          <w:sz w:val="24"/>
          <w:szCs w:val="24"/>
          <w:lang w:val="es-ES"/>
        </w:rPr>
        <w:t>.</w:t>
      </w:r>
    </w:p>
    <w:p w14:paraId="3EE9937B" w14:textId="77777777" w:rsidR="005D02EB" w:rsidRPr="00465B95" w:rsidRDefault="005D02EB" w:rsidP="005D02EB">
      <w:pPr>
        <w:spacing w:line="360" w:lineRule="auto"/>
        <w:ind w:firstLine="708"/>
        <w:jc w:val="both"/>
        <w:rPr>
          <w:rFonts w:ascii="Times New Roman" w:hAnsi="Times New Roman" w:cs="Times New Roman"/>
          <w:sz w:val="24"/>
          <w:szCs w:val="24"/>
          <w:lang w:val="es-ES"/>
        </w:rPr>
      </w:pPr>
    </w:p>
    <w:p w14:paraId="04361182" w14:textId="77777777" w:rsidR="003C096C" w:rsidRPr="00465B95" w:rsidRDefault="003C096C" w:rsidP="005D02EB">
      <w:pPr>
        <w:pStyle w:val="NormalWeb"/>
        <w:spacing w:before="0" w:beforeAutospacing="0" w:after="0" w:afterAutospacing="0" w:line="360" w:lineRule="auto"/>
        <w:jc w:val="center"/>
      </w:pPr>
      <w:r w:rsidRPr="00AA43B1">
        <w:rPr>
          <w:b/>
          <w:bCs/>
        </w:rPr>
        <w:t>Figura 4.</w:t>
      </w:r>
      <w:r w:rsidRPr="00465B95">
        <w:t xml:space="preserve"> </w:t>
      </w:r>
      <w:r>
        <w:t>M</w:t>
      </w:r>
      <w:r w:rsidRPr="00465B95">
        <w:t>odelo de regresión lineal Y= 6,47 + 0.57 X</w:t>
      </w:r>
    </w:p>
    <w:p w14:paraId="294A52B6" w14:textId="77777777" w:rsidR="003C096C" w:rsidRPr="00465B95" w:rsidRDefault="003C096C" w:rsidP="00534895">
      <w:pPr>
        <w:pStyle w:val="NormalWeb"/>
        <w:spacing w:before="0" w:beforeAutospacing="0" w:after="0" w:afterAutospacing="0" w:line="360" w:lineRule="auto"/>
        <w:jc w:val="center"/>
      </w:pPr>
      <w:r w:rsidRPr="00465B95">
        <w:rPr>
          <w:noProof/>
          <w:lang w:val="es-MX" w:eastAsia="es-MX"/>
        </w:rPr>
        <w:drawing>
          <wp:inline distT="0" distB="0" distL="0" distR="0" wp14:anchorId="653698E3" wp14:editId="7A942E04">
            <wp:extent cx="4876800" cy="2494280"/>
            <wp:effectExtent l="0" t="0" r="0" b="0"/>
            <wp:docPr id="16188808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80871" name=""/>
                    <pic:cNvPicPr/>
                  </pic:nvPicPr>
                  <pic:blipFill>
                    <a:blip r:embed="rId10"/>
                    <a:stretch>
                      <a:fillRect/>
                    </a:stretch>
                  </pic:blipFill>
                  <pic:spPr>
                    <a:xfrm>
                      <a:off x="0" y="0"/>
                      <a:ext cx="5036694" cy="2576059"/>
                    </a:xfrm>
                    <a:prstGeom prst="rect">
                      <a:avLst/>
                    </a:prstGeom>
                  </pic:spPr>
                </pic:pic>
              </a:graphicData>
            </a:graphic>
          </wp:inline>
        </w:drawing>
      </w:r>
    </w:p>
    <w:p w14:paraId="2353E995" w14:textId="77777777" w:rsidR="003C096C" w:rsidRPr="00465B95" w:rsidRDefault="003C096C" w:rsidP="00534895">
      <w:pPr>
        <w:pStyle w:val="NormalWeb"/>
        <w:spacing w:before="0" w:beforeAutospacing="0" w:after="0" w:afterAutospacing="0" w:line="360" w:lineRule="auto"/>
        <w:jc w:val="center"/>
      </w:pPr>
      <w:r w:rsidRPr="00465B95">
        <w:t xml:space="preserve">Fuente: Elaboración propia </w:t>
      </w:r>
    </w:p>
    <w:p w14:paraId="58E79D94" w14:textId="77777777" w:rsidR="003C096C" w:rsidRPr="00534895" w:rsidRDefault="003C096C" w:rsidP="00534895">
      <w:pPr>
        <w:pStyle w:val="NormalWeb"/>
        <w:spacing w:before="0" w:beforeAutospacing="0" w:after="0" w:afterAutospacing="0" w:line="360" w:lineRule="auto"/>
        <w:jc w:val="center"/>
        <w:rPr>
          <w:b/>
          <w:bCs/>
          <w:color w:val="000000" w:themeColor="text1"/>
        </w:rPr>
      </w:pPr>
    </w:p>
    <w:p w14:paraId="4318432F" w14:textId="56676DAE" w:rsidR="004938ED" w:rsidRPr="000E39B6" w:rsidRDefault="000E39B6" w:rsidP="004E7769">
      <w:pPr>
        <w:pStyle w:val="NormalWeb"/>
        <w:spacing w:before="0" w:beforeAutospacing="0" w:after="0" w:afterAutospacing="0" w:line="360" w:lineRule="auto"/>
        <w:jc w:val="center"/>
        <w:rPr>
          <w:b/>
          <w:bCs/>
          <w:color w:val="000000" w:themeColor="text1"/>
          <w:sz w:val="32"/>
          <w:szCs w:val="32"/>
        </w:rPr>
      </w:pPr>
      <w:r w:rsidRPr="000E39B6">
        <w:rPr>
          <w:b/>
          <w:bCs/>
          <w:color w:val="000000" w:themeColor="text1"/>
          <w:sz w:val="32"/>
          <w:szCs w:val="32"/>
        </w:rPr>
        <w:lastRenderedPageBreak/>
        <w:t>Discusión</w:t>
      </w:r>
    </w:p>
    <w:bookmarkEnd w:id="4"/>
    <w:p w14:paraId="763A6CE5" w14:textId="77777777" w:rsidR="00761066" w:rsidRDefault="00761066" w:rsidP="009B4E84">
      <w:pPr>
        <w:spacing w:line="360" w:lineRule="auto"/>
        <w:ind w:firstLine="708"/>
        <w:jc w:val="both"/>
        <w:rPr>
          <w:rFonts w:ascii="Times New Roman" w:hAnsi="Times New Roman" w:cs="Times New Roman"/>
          <w:sz w:val="24"/>
          <w:szCs w:val="24"/>
          <w:lang w:val="es-ES"/>
        </w:rPr>
      </w:pPr>
      <w:proofErr w:type="spellStart"/>
      <w:r w:rsidRPr="00465B95">
        <w:rPr>
          <w:rFonts w:ascii="Times New Roman" w:hAnsi="Times New Roman" w:cs="Times New Roman"/>
          <w:sz w:val="24"/>
          <w:szCs w:val="24"/>
          <w:lang w:val="es-ES"/>
        </w:rPr>
        <w:t>Bastiand</w:t>
      </w:r>
      <w:proofErr w:type="spellEnd"/>
      <w:r w:rsidRPr="00465B95">
        <w:rPr>
          <w:rFonts w:ascii="Times New Roman" w:hAnsi="Times New Roman" w:cs="Times New Roman"/>
          <w:sz w:val="24"/>
          <w:szCs w:val="24"/>
          <w:lang w:val="es-ES"/>
        </w:rPr>
        <w:t xml:space="preserve"> (2012) examinó la relación entre la comprensión lectora y la capacidad para resolver problemas matemáticos, </w:t>
      </w:r>
      <w:r>
        <w:rPr>
          <w:rFonts w:ascii="Times New Roman" w:hAnsi="Times New Roman" w:cs="Times New Roman"/>
          <w:sz w:val="24"/>
          <w:szCs w:val="24"/>
          <w:lang w:val="es-ES"/>
        </w:rPr>
        <w:t>y halló</w:t>
      </w:r>
      <w:r w:rsidRPr="00465B95">
        <w:rPr>
          <w:rFonts w:ascii="Times New Roman" w:hAnsi="Times New Roman" w:cs="Times New Roman"/>
          <w:sz w:val="24"/>
          <w:szCs w:val="24"/>
          <w:lang w:val="es-ES"/>
        </w:rPr>
        <w:t xml:space="preserve"> que un aprendizaje significativo en </w:t>
      </w:r>
      <w:r>
        <w:rPr>
          <w:rFonts w:ascii="Times New Roman" w:hAnsi="Times New Roman" w:cs="Times New Roman"/>
          <w:sz w:val="24"/>
          <w:szCs w:val="24"/>
          <w:lang w:val="es-ES"/>
        </w:rPr>
        <w:t xml:space="preserve">la primera variable </w:t>
      </w:r>
      <w:r w:rsidRPr="00465B95">
        <w:rPr>
          <w:rFonts w:ascii="Times New Roman" w:hAnsi="Times New Roman" w:cs="Times New Roman"/>
          <w:sz w:val="24"/>
          <w:szCs w:val="24"/>
          <w:lang w:val="es-ES"/>
        </w:rPr>
        <w:t>mejora la habilidad de los estudiantes para abordar de manera más efectiva los problemas matemáticos.</w:t>
      </w:r>
      <w:r>
        <w:rPr>
          <w:rFonts w:ascii="Times New Roman" w:hAnsi="Times New Roman" w:cs="Times New Roman"/>
          <w:sz w:val="24"/>
          <w:szCs w:val="24"/>
          <w:lang w:val="es-ES"/>
        </w:rPr>
        <w:t xml:space="preserve"> </w:t>
      </w:r>
    </w:p>
    <w:p w14:paraId="3A708C32" w14:textId="77777777" w:rsidR="00761066" w:rsidRDefault="00761066" w:rsidP="009B4E84">
      <w:pPr>
        <w:spacing w:line="360" w:lineRule="auto"/>
        <w:ind w:firstLine="708"/>
        <w:jc w:val="both"/>
        <w:rPr>
          <w:rFonts w:ascii="Times New Roman" w:hAnsi="Times New Roman" w:cs="Times New Roman"/>
          <w:sz w:val="24"/>
          <w:szCs w:val="24"/>
          <w:lang w:val="es-ES"/>
        </w:rPr>
      </w:pPr>
      <w:r w:rsidRPr="00465B95">
        <w:rPr>
          <w:rFonts w:ascii="Times New Roman" w:hAnsi="Times New Roman" w:cs="Times New Roman"/>
          <w:sz w:val="24"/>
          <w:szCs w:val="24"/>
          <w:lang w:val="es-ES"/>
        </w:rPr>
        <w:t>Por otro lado, Cubas (2007) exploró las actitudes de los estudiantes hacia la comprensión de lectura y su posible relación con el interés en resolver problemas matemáticos. Su estudio reveló un bajo nivel de interés por la lectura entre los jóvenes, lo que en ocasiones se traduce en una falta de motivación para comprender y resolver problemas matemáticos.</w:t>
      </w:r>
    </w:p>
    <w:p w14:paraId="0ABF2F83" w14:textId="77777777" w:rsidR="00761066" w:rsidRDefault="00761066" w:rsidP="009B4E84">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Asimismo, aunque a través de programa</w:t>
      </w:r>
      <w:r w:rsidRPr="00465B95">
        <w:rPr>
          <w:rFonts w:ascii="Times New Roman" w:hAnsi="Times New Roman" w:cs="Times New Roman"/>
          <w:sz w:val="24"/>
          <w:szCs w:val="24"/>
          <w:lang w:val="es-ES"/>
        </w:rPr>
        <w:t xml:space="preserve"> experimental, Canales (2005) investigó la mejora de la comprensión lectora en jóvenes y adolescentes. Los resultados indicaron que este tipo de intervenciones </w:t>
      </w:r>
      <w:r>
        <w:rPr>
          <w:rFonts w:ascii="Times New Roman" w:hAnsi="Times New Roman" w:cs="Times New Roman"/>
          <w:sz w:val="24"/>
          <w:szCs w:val="24"/>
          <w:lang w:val="es-ES"/>
        </w:rPr>
        <w:t>ofrece</w:t>
      </w:r>
      <w:r w:rsidRPr="00465B95">
        <w:rPr>
          <w:rFonts w:ascii="Times New Roman" w:hAnsi="Times New Roman" w:cs="Times New Roman"/>
          <w:sz w:val="24"/>
          <w:szCs w:val="24"/>
          <w:lang w:val="es-ES"/>
        </w:rPr>
        <w:t xml:space="preserve"> beneficios significativos, ya que varios estudiantes </w:t>
      </w:r>
      <w:r>
        <w:rPr>
          <w:rFonts w:ascii="Times New Roman" w:hAnsi="Times New Roman" w:cs="Times New Roman"/>
          <w:sz w:val="24"/>
          <w:szCs w:val="24"/>
          <w:lang w:val="es-ES"/>
        </w:rPr>
        <w:t>consiguieron</w:t>
      </w:r>
      <w:r w:rsidRPr="00465B95">
        <w:rPr>
          <w:rFonts w:ascii="Times New Roman" w:hAnsi="Times New Roman" w:cs="Times New Roman"/>
          <w:sz w:val="24"/>
          <w:szCs w:val="24"/>
          <w:lang w:val="es-ES"/>
        </w:rPr>
        <w:t xml:space="preserve"> una mejora en su capacidad de comprensión lectora.</w:t>
      </w:r>
    </w:p>
    <w:p w14:paraId="638E63CB" w14:textId="77777777" w:rsidR="00761066" w:rsidRDefault="00761066" w:rsidP="009B4E84">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De igual modo, </w:t>
      </w:r>
      <w:r w:rsidRPr="00465B95">
        <w:rPr>
          <w:rFonts w:ascii="Times New Roman" w:hAnsi="Times New Roman" w:cs="Times New Roman"/>
          <w:sz w:val="24"/>
          <w:szCs w:val="24"/>
          <w:lang w:val="es-ES"/>
        </w:rPr>
        <w:t xml:space="preserve">Romero (2012) </w:t>
      </w:r>
      <w:r>
        <w:rPr>
          <w:rFonts w:ascii="Times New Roman" w:hAnsi="Times New Roman" w:cs="Times New Roman"/>
          <w:sz w:val="24"/>
          <w:szCs w:val="24"/>
          <w:lang w:val="es-ES"/>
        </w:rPr>
        <w:t>se enfocó</w:t>
      </w:r>
      <w:r w:rsidRPr="00465B95">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en </w:t>
      </w:r>
      <w:r w:rsidRPr="00465B95">
        <w:rPr>
          <w:rFonts w:ascii="Times New Roman" w:hAnsi="Times New Roman" w:cs="Times New Roman"/>
          <w:sz w:val="24"/>
          <w:szCs w:val="24"/>
          <w:lang w:val="es-ES"/>
        </w:rPr>
        <w:t xml:space="preserve">la relación entre la comprensión lectora y la resolución de problemas matemáticos en el nivel básico. </w:t>
      </w:r>
      <w:r>
        <w:rPr>
          <w:rFonts w:ascii="Times New Roman" w:hAnsi="Times New Roman" w:cs="Times New Roman"/>
          <w:sz w:val="24"/>
          <w:szCs w:val="24"/>
          <w:lang w:val="es-ES"/>
        </w:rPr>
        <w:t>Su</w:t>
      </w:r>
      <w:r w:rsidRPr="00465B95">
        <w:rPr>
          <w:rFonts w:ascii="Times New Roman" w:hAnsi="Times New Roman" w:cs="Times New Roman"/>
          <w:sz w:val="24"/>
          <w:szCs w:val="24"/>
          <w:lang w:val="es-ES"/>
        </w:rPr>
        <w:t xml:space="preserve"> estudio evaluó la capacidad de los estudiantes para resolver problemas matemáticos y su nivel de comprensión lectora, y encontró una correlación significativa entre ambas habilidades</w:t>
      </w:r>
      <w:r>
        <w:rPr>
          <w:rFonts w:ascii="Times New Roman" w:hAnsi="Times New Roman" w:cs="Times New Roman"/>
          <w:sz w:val="24"/>
          <w:szCs w:val="24"/>
          <w:lang w:val="es-ES"/>
        </w:rPr>
        <w:t>,</w:t>
      </w:r>
      <w:r w:rsidRPr="00465B95">
        <w:rPr>
          <w:rFonts w:ascii="Times New Roman" w:hAnsi="Times New Roman" w:cs="Times New Roman"/>
          <w:sz w:val="24"/>
          <w:szCs w:val="24"/>
          <w:lang w:val="es-ES"/>
        </w:rPr>
        <w:t xml:space="preserve"> resultados </w:t>
      </w:r>
      <w:r>
        <w:rPr>
          <w:rFonts w:ascii="Times New Roman" w:hAnsi="Times New Roman" w:cs="Times New Roman"/>
          <w:sz w:val="24"/>
          <w:szCs w:val="24"/>
          <w:lang w:val="es-ES"/>
        </w:rPr>
        <w:t xml:space="preserve">que </w:t>
      </w:r>
      <w:r w:rsidRPr="00465B95">
        <w:rPr>
          <w:rFonts w:ascii="Times New Roman" w:hAnsi="Times New Roman" w:cs="Times New Roman"/>
          <w:sz w:val="24"/>
          <w:szCs w:val="24"/>
          <w:lang w:val="es-ES"/>
        </w:rPr>
        <w:t>coinciden con los de nuestra propia investigación.</w:t>
      </w:r>
    </w:p>
    <w:p w14:paraId="68974D38" w14:textId="77777777" w:rsidR="00761066" w:rsidRDefault="00761066" w:rsidP="009B4E84">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Estos</w:t>
      </w:r>
      <w:r w:rsidRPr="00465B95">
        <w:rPr>
          <w:rFonts w:ascii="Times New Roman" w:hAnsi="Times New Roman" w:cs="Times New Roman"/>
          <w:sz w:val="24"/>
          <w:szCs w:val="24"/>
          <w:lang w:val="es-ES"/>
        </w:rPr>
        <w:t xml:space="preserve"> resultados respaldan nuestros propios hallazgos sobre la correlación existente entre la comprensión lectora y la resolución de problemas matemáticos. Sin embargo, es importante destacar que nuestro estudio no solo demuestra la presencia de esta correlación positiva, sino que también cuantifica y mide esta relación, así como la dependencia entre ambas variables.</w:t>
      </w:r>
    </w:p>
    <w:p w14:paraId="16B23816" w14:textId="77777777" w:rsidR="00761066" w:rsidRPr="00750104" w:rsidRDefault="00761066" w:rsidP="009B4E84">
      <w:pPr>
        <w:spacing w:line="360" w:lineRule="auto"/>
        <w:jc w:val="both"/>
        <w:rPr>
          <w:rStyle w:val="Hipervnculo"/>
          <w:rFonts w:ascii="Times New Roman" w:hAnsi="Times New Roman" w:cs="Times New Roman"/>
          <w:color w:val="000000"/>
          <w:sz w:val="24"/>
          <w:szCs w:val="24"/>
          <w:u w:val="none"/>
        </w:rPr>
      </w:pPr>
    </w:p>
    <w:p w14:paraId="04425A34" w14:textId="36F700E4" w:rsidR="00367DB7" w:rsidRPr="00750104" w:rsidRDefault="000E39B6" w:rsidP="004E7769">
      <w:pPr>
        <w:pStyle w:val="NormalWeb"/>
        <w:spacing w:before="0" w:beforeAutospacing="0" w:after="0" w:afterAutospacing="0" w:line="360" w:lineRule="auto"/>
        <w:jc w:val="center"/>
        <w:rPr>
          <w:b/>
          <w:color w:val="000000" w:themeColor="text1"/>
          <w:sz w:val="32"/>
          <w:szCs w:val="32"/>
          <w:lang w:val="es-MX"/>
        </w:rPr>
      </w:pPr>
      <w:bookmarkStart w:id="5" w:name="_Hlk163749819"/>
      <w:r w:rsidRPr="00F156F6">
        <w:rPr>
          <w:b/>
          <w:color w:val="000000" w:themeColor="text1"/>
          <w:sz w:val="32"/>
          <w:szCs w:val="32"/>
          <w:lang w:val="es-MX"/>
        </w:rPr>
        <w:t>Conclusiones</w:t>
      </w:r>
    </w:p>
    <w:bookmarkEnd w:id="5"/>
    <w:p w14:paraId="5E355566" w14:textId="0AF57206" w:rsidR="0037064F" w:rsidRPr="009B4E84" w:rsidRDefault="00F156F6" w:rsidP="009B4E84">
      <w:pPr>
        <w:spacing w:line="360" w:lineRule="auto"/>
        <w:ind w:firstLine="708"/>
        <w:jc w:val="both"/>
        <w:rPr>
          <w:rFonts w:ascii="Times New Roman" w:hAnsi="Times New Roman" w:cs="Times New Roman"/>
          <w:b/>
          <w:sz w:val="32"/>
          <w:szCs w:val="32"/>
        </w:rPr>
      </w:pPr>
      <w:r w:rsidRPr="009B4E84">
        <w:rPr>
          <w:rFonts w:ascii="Times New Roman" w:hAnsi="Times New Roman" w:cs="Times New Roman"/>
          <w:sz w:val="24"/>
          <w:szCs w:val="24"/>
          <w:lang w:val="es-ES"/>
        </w:rPr>
        <w:t xml:space="preserve">El coeficiente de correlación Rho de Spearman </w:t>
      </w:r>
      <w:bookmarkStart w:id="6" w:name="_Hlk163888026"/>
      <w:r w:rsidRPr="009B4E84">
        <w:rPr>
          <w:rStyle w:val="Hipervnculo"/>
          <w:rFonts w:ascii="Times New Roman" w:hAnsi="Times New Roman" w:cs="Times New Roman"/>
          <w:color w:val="000000" w:themeColor="text1"/>
          <w:sz w:val="24"/>
          <w:szCs w:val="24"/>
          <w:u w:val="none"/>
          <w:shd w:val="clear" w:color="auto" w:fill="FFFFFF"/>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s</m:t>
            </m:r>
          </m:sub>
        </m:sSub>
      </m:oMath>
      <w:r w:rsidRPr="009B4E84">
        <w:rPr>
          <w:rFonts w:ascii="Times New Roman" w:hAnsi="Times New Roman" w:cs="Times New Roman"/>
          <w:sz w:val="24"/>
          <w:szCs w:val="24"/>
        </w:rPr>
        <w:t xml:space="preserve"> = 0.391</w:t>
      </w:r>
      <w:r w:rsidRPr="009B4E84">
        <w:rPr>
          <w:rStyle w:val="Hipervnculo"/>
          <w:rFonts w:ascii="Times New Roman" w:hAnsi="Times New Roman" w:cs="Times New Roman"/>
          <w:color w:val="000000" w:themeColor="text1"/>
          <w:sz w:val="24"/>
          <w:szCs w:val="24"/>
          <w:u w:val="none"/>
          <w:shd w:val="clear" w:color="auto" w:fill="FFFFFF"/>
        </w:rPr>
        <w:t xml:space="preserve"> </w:t>
      </w:r>
      <w:bookmarkEnd w:id="6"/>
      <w:r w:rsidRPr="009B4E84">
        <w:rPr>
          <w:rStyle w:val="Hipervnculo"/>
          <w:rFonts w:ascii="Times New Roman" w:hAnsi="Times New Roman" w:cs="Times New Roman"/>
          <w:color w:val="000000" w:themeColor="text1"/>
          <w:sz w:val="24"/>
          <w:szCs w:val="24"/>
          <w:u w:val="none"/>
          <w:shd w:val="clear" w:color="auto" w:fill="FFFFFF"/>
        </w:rPr>
        <w:t>indica</w:t>
      </w:r>
      <w:r w:rsidRPr="009B4E84">
        <w:rPr>
          <w:rFonts w:ascii="Times New Roman" w:hAnsi="Times New Roman" w:cs="Times New Roman"/>
          <w:sz w:val="24"/>
          <w:szCs w:val="24"/>
          <w:lang w:val="es-ES"/>
        </w:rPr>
        <w:t xml:space="preserve"> una relación positiva baja entre la comprensión lectora (Y) y las matemáticas (X), lo que sugiere que, en general, un aumento en una variable está asociado con un aumento en la otra, aunque no necesariamente en la misma proporción. Además, se ha demostrado de manera significativa que el promedio de aciertos obtenidos en comprensión lectora es mayor que el obtenido en matemáticas. Por último, se ha evaluado la proporción de cambio entre el número de aciertos en comprensión lectora y su impacto en los aciertos en matemáticas </w:t>
      </w:r>
      <w:r w:rsidRPr="009B4E84">
        <w:rPr>
          <w:rFonts w:ascii="Times New Roman" w:hAnsi="Times New Roman" w:cs="Times New Roman"/>
          <w:sz w:val="24"/>
          <w:szCs w:val="24"/>
          <w:lang w:val="es-ES"/>
        </w:rPr>
        <w:lastRenderedPageBreak/>
        <w:t>mediante un modelo de regresión lineal, donde la pendiente encontrada indica la magnitud del cambio.</w:t>
      </w:r>
    </w:p>
    <w:p w14:paraId="3F1A0F22" w14:textId="2FC895B3" w:rsidR="00924797" w:rsidRPr="009B4E84" w:rsidRDefault="00924797" w:rsidP="005D02EB">
      <w:pPr>
        <w:pStyle w:val="NormalWeb"/>
        <w:spacing w:before="0" w:beforeAutospacing="0" w:after="0" w:afterAutospacing="0" w:line="360" w:lineRule="auto"/>
        <w:jc w:val="center"/>
        <w:rPr>
          <w:b/>
          <w:sz w:val="28"/>
          <w:szCs w:val="28"/>
        </w:rPr>
      </w:pPr>
      <w:bookmarkStart w:id="7" w:name="_Hlk163749841"/>
      <w:r w:rsidRPr="009B4E84">
        <w:rPr>
          <w:b/>
          <w:sz w:val="28"/>
          <w:szCs w:val="28"/>
        </w:rPr>
        <w:t>Futuras líneas de investigación</w:t>
      </w:r>
    </w:p>
    <w:bookmarkEnd w:id="7"/>
    <w:p w14:paraId="0524041C" w14:textId="77777777" w:rsidR="00F156F6" w:rsidRDefault="00F156F6" w:rsidP="0053312A">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w:t>
      </w:r>
      <w:r w:rsidRPr="00F3028E">
        <w:rPr>
          <w:rFonts w:ascii="Times New Roman" w:hAnsi="Times New Roman" w:cs="Times New Roman"/>
          <w:sz w:val="24"/>
          <w:szCs w:val="24"/>
          <w:lang w:val="es-ES"/>
        </w:rPr>
        <w:t>s importante tener en cuenta que estos resultados se aplican específicamente a la escuela objeto de estudio y no pueden generalizarse</w:t>
      </w:r>
      <w:r>
        <w:rPr>
          <w:rFonts w:ascii="Times New Roman" w:hAnsi="Times New Roman" w:cs="Times New Roman"/>
          <w:sz w:val="24"/>
          <w:szCs w:val="24"/>
          <w:lang w:val="es-ES"/>
        </w:rPr>
        <w:t>, aunque sí</w:t>
      </w:r>
      <w:r w:rsidRPr="00F3028E">
        <w:rPr>
          <w:rFonts w:ascii="Times New Roman" w:hAnsi="Times New Roman" w:cs="Times New Roman"/>
          <w:sz w:val="24"/>
          <w:szCs w:val="24"/>
          <w:lang w:val="es-ES"/>
        </w:rPr>
        <w:t xml:space="preserve"> proporcionan una visión relevante sobre el comportamiento de estas variables. Para futuras investigaciones, </w:t>
      </w:r>
      <w:r>
        <w:rPr>
          <w:rFonts w:ascii="Times New Roman" w:hAnsi="Times New Roman" w:cs="Times New Roman"/>
          <w:sz w:val="24"/>
          <w:szCs w:val="24"/>
          <w:lang w:val="es-ES"/>
        </w:rPr>
        <w:t xml:space="preserve">por tanto, </w:t>
      </w:r>
      <w:r w:rsidRPr="00F3028E">
        <w:rPr>
          <w:rFonts w:ascii="Times New Roman" w:hAnsi="Times New Roman" w:cs="Times New Roman"/>
          <w:sz w:val="24"/>
          <w:szCs w:val="24"/>
          <w:lang w:val="es-ES"/>
        </w:rPr>
        <w:t xml:space="preserve">se recomienda considerar una muestra representativa de todas las escuelas del mismo nivel y grado en el </w:t>
      </w:r>
      <w:r>
        <w:rPr>
          <w:rFonts w:ascii="Times New Roman" w:hAnsi="Times New Roman" w:cs="Times New Roman"/>
          <w:sz w:val="24"/>
          <w:szCs w:val="24"/>
          <w:lang w:val="es-ES"/>
        </w:rPr>
        <w:t xml:space="preserve">referido </w:t>
      </w:r>
      <w:r w:rsidRPr="00F3028E">
        <w:rPr>
          <w:rFonts w:ascii="Times New Roman" w:hAnsi="Times New Roman" w:cs="Times New Roman"/>
          <w:sz w:val="24"/>
          <w:szCs w:val="24"/>
          <w:lang w:val="es-ES"/>
        </w:rPr>
        <w:t>estado o municipio.</w:t>
      </w:r>
      <w:r>
        <w:rPr>
          <w:rFonts w:ascii="Times New Roman" w:hAnsi="Times New Roman" w:cs="Times New Roman"/>
          <w:sz w:val="24"/>
          <w:szCs w:val="24"/>
          <w:lang w:val="es-ES"/>
        </w:rPr>
        <w:t xml:space="preserve"> </w:t>
      </w:r>
    </w:p>
    <w:p w14:paraId="0135EC17" w14:textId="33CFA1C0" w:rsidR="00534895" w:rsidRDefault="00F156F6" w:rsidP="005D02EB">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Además, a</w:t>
      </w:r>
      <w:r w:rsidRPr="00F3028E">
        <w:rPr>
          <w:rFonts w:ascii="Times New Roman" w:hAnsi="Times New Roman" w:cs="Times New Roman"/>
          <w:sz w:val="24"/>
          <w:szCs w:val="24"/>
          <w:lang w:val="es-ES"/>
        </w:rPr>
        <w:t xml:space="preserve">unque nuestra investigación se centra en la educación básica, específicamente en la educación secundaria, </w:t>
      </w:r>
      <w:r>
        <w:rPr>
          <w:rFonts w:ascii="Times New Roman" w:hAnsi="Times New Roman" w:cs="Times New Roman"/>
          <w:sz w:val="24"/>
          <w:szCs w:val="24"/>
          <w:lang w:val="es-ES"/>
        </w:rPr>
        <w:t>con énfasis</w:t>
      </w:r>
      <w:r w:rsidRPr="00F3028E">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en </w:t>
      </w:r>
      <w:r w:rsidRPr="00F3028E">
        <w:rPr>
          <w:rFonts w:ascii="Times New Roman" w:hAnsi="Times New Roman" w:cs="Times New Roman"/>
          <w:sz w:val="24"/>
          <w:szCs w:val="24"/>
          <w:lang w:val="es-ES"/>
        </w:rPr>
        <w:t xml:space="preserve">los campos de formación de comprensión lectora y </w:t>
      </w:r>
      <w:r>
        <w:rPr>
          <w:rFonts w:ascii="Times New Roman" w:hAnsi="Times New Roman" w:cs="Times New Roman"/>
          <w:sz w:val="24"/>
          <w:szCs w:val="24"/>
          <w:lang w:val="es-ES"/>
        </w:rPr>
        <w:t>m</w:t>
      </w:r>
      <w:r w:rsidRPr="00F3028E">
        <w:rPr>
          <w:rFonts w:ascii="Times New Roman" w:hAnsi="Times New Roman" w:cs="Times New Roman"/>
          <w:sz w:val="24"/>
          <w:szCs w:val="24"/>
          <w:lang w:val="es-ES"/>
        </w:rPr>
        <w:t>atemáticas, una posible dirección para futuras investigaciones sería explorar otros campos académicos, como física, química, biología, entre otros. Asimismo, sería relevante ampliar el espectro de la población estudiada para incluir el nivel medio superior (bachillerato) y la educación universitaria (licenciatura).</w:t>
      </w:r>
    </w:p>
    <w:p w14:paraId="3A68E4F0" w14:textId="77777777" w:rsidR="005D02EB" w:rsidRPr="005D02EB" w:rsidRDefault="005D02EB" w:rsidP="005D02EB">
      <w:pPr>
        <w:spacing w:line="360" w:lineRule="auto"/>
        <w:ind w:firstLine="708"/>
        <w:jc w:val="both"/>
        <w:rPr>
          <w:rFonts w:ascii="Times New Roman" w:hAnsi="Times New Roman" w:cs="Times New Roman"/>
          <w:sz w:val="24"/>
          <w:szCs w:val="24"/>
          <w:lang w:val="es-ES"/>
        </w:rPr>
      </w:pPr>
    </w:p>
    <w:p w14:paraId="143EB847" w14:textId="2B59AB10" w:rsidR="00367DB7" w:rsidRPr="00F96022" w:rsidRDefault="000E39B6" w:rsidP="0053312A">
      <w:pPr>
        <w:pStyle w:val="NormalWeb"/>
        <w:spacing w:before="0" w:beforeAutospacing="0" w:after="0" w:afterAutospacing="0" w:line="360" w:lineRule="auto"/>
        <w:rPr>
          <w:rFonts w:ascii="Calibri" w:hAnsi="Calibri" w:cs="Calibri"/>
          <w:b/>
          <w:color w:val="000000" w:themeColor="text1"/>
          <w:sz w:val="28"/>
          <w:szCs w:val="28"/>
          <w:lang w:val="es-MX"/>
        </w:rPr>
      </w:pPr>
      <w:r w:rsidRPr="00F96022">
        <w:rPr>
          <w:rFonts w:ascii="Calibri" w:hAnsi="Calibri" w:cs="Calibri"/>
          <w:b/>
          <w:color w:val="000000" w:themeColor="text1"/>
          <w:sz w:val="28"/>
          <w:szCs w:val="28"/>
          <w:lang w:val="es-MX"/>
        </w:rPr>
        <w:t xml:space="preserve">Referencias </w:t>
      </w:r>
    </w:p>
    <w:p w14:paraId="519A3494" w14:textId="4C9C2789" w:rsidR="00DE62DE" w:rsidRPr="00BE55F1" w:rsidRDefault="00DE62DE" w:rsidP="0053312A">
      <w:pPr>
        <w:autoSpaceDE/>
        <w:autoSpaceDN/>
        <w:adjustRightInd/>
        <w:spacing w:line="360" w:lineRule="auto"/>
        <w:ind w:left="708" w:hanging="708"/>
        <w:jc w:val="both"/>
        <w:rPr>
          <w:rFonts w:ascii="Times New Roman" w:hAnsi="Times New Roman" w:cs="Times New Roman"/>
          <w:i/>
          <w:iCs/>
          <w:sz w:val="24"/>
          <w:szCs w:val="24"/>
        </w:rPr>
      </w:pPr>
      <w:r w:rsidRPr="00317F74">
        <w:rPr>
          <w:rFonts w:ascii="Times New Roman" w:hAnsi="Times New Roman" w:cs="Times New Roman"/>
          <w:sz w:val="24"/>
          <w:szCs w:val="24"/>
        </w:rPr>
        <w:t xml:space="preserve">Bastiand, M. (2012). </w:t>
      </w:r>
      <w:r w:rsidRPr="00317F74">
        <w:rPr>
          <w:rFonts w:ascii="Times New Roman" w:hAnsi="Times New Roman" w:cs="Times New Roman"/>
          <w:i/>
          <w:iCs/>
          <w:sz w:val="24"/>
          <w:szCs w:val="24"/>
        </w:rPr>
        <w:t>Relación entre comprensión lectora y resolución de problemas matemáticos en estudiantes de sexto grado de primaria de las instituciones educativas públicas del concejo educativo municipal de La Molina-2011</w:t>
      </w:r>
      <w:r w:rsidR="00317F74">
        <w:rPr>
          <w:rFonts w:ascii="Times New Roman" w:hAnsi="Times New Roman" w:cs="Times New Roman"/>
          <w:i/>
          <w:iCs/>
          <w:sz w:val="24"/>
          <w:szCs w:val="24"/>
        </w:rPr>
        <w:t xml:space="preserve"> </w:t>
      </w:r>
      <w:r w:rsidR="00317F74" w:rsidRPr="00317F74">
        <w:rPr>
          <w:rFonts w:ascii="Times New Roman" w:hAnsi="Times New Roman" w:cs="Times New Roman"/>
          <w:sz w:val="24"/>
          <w:szCs w:val="24"/>
        </w:rPr>
        <w:t>(tesi</w:t>
      </w:r>
      <w:r w:rsidR="00317F74">
        <w:rPr>
          <w:rFonts w:ascii="Times New Roman" w:hAnsi="Times New Roman" w:cs="Times New Roman"/>
          <w:sz w:val="24"/>
          <w:szCs w:val="24"/>
        </w:rPr>
        <w:t>s</w:t>
      </w:r>
      <w:r w:rsidR="00317F74" w:rsidRPr="00317F74">
        <w:rPr>
          <w:rFonts w:ascii="Times New Roman" w:hAnsi="Times New Roman" w:cs="Times New Roman"/>
          <w:sz w:val="24"/>
          <w:szCs w:val="24"/>
        </w:rPr>
        <w:t xml:space="preserve"> de maestría)</w:t>
      </w:r>
      <w:r w:rsidRPr="00BE55F1">
        <w:rPr>
          <w:rFonts w:ascii="Times New Roman" w:hAnsi="Times New Roman" w:cs="Times New Roman"/>
          <w:i/>
          <w:iCs/>
          <w:sz w:val="24"/>
          <w:szCs w:val="24"/>
        </w:rPr>
        <w:t xml:space="preserve">. </w:t>
      </w:r>
      <w:r w:rsidRPr="00BE55F1">
        <w:rPr>
          <w:rFonts w:ascii="Times New Roman" w:hAnsi="Times New Roman" w:cs="Times New Roman"/>
          <w:sz w:val="24"/>
          <w:szCs w:val="24"/>
        </w:rPr>
        <w:t>Universidad Nacional Mayor de San Marcos. Lima, Perú.</w:t>
      </w:r>
    </w:p>
    <w:p w14:paraId="23DFFBA4" w14:textId="77777777" w:rsidR="00DE62DE" w:rsidRDefault="00DE62DE" w:rsidP="0053312A">
      <w:pPr>
        <w:autoSpaceDE/>
        <w:autoSpaceDN/>
        <w:adjustRightInd/>
        <w:spacing w:line="360" w:lineRule="auto"/>
        <w:ind w:left="708" w:hanging="708"/>
        <w:jc w:val="both"/>
        <w:rPr>
          <w:rFonts w:ascii="Times New Roman" w:hAnsi="Times New Roman" w:cs="Times New Roman"/>
          <w:sz w:val="24"/>
          <w:szCs w:val="24"/>
        </w:rPr>
      </w:pPr>
      <w:r w:rsidRPr="00BE55F1">
        <w:rPr>
          <w:rFonts w:ascii="Times New Roman" w:hAnsi="Times New Roman" w:cs="Times New Roman"/>
          <w:sz w:val="24"/>
          <w:szCs w:val="24"/>
        </w:rPr>
        <w:t xml:space="preserve">Bautista, D. (2015). </w:t>
      </w:r>
      <w:r w:rsidRPr="00BE55F1">
        <w:rPr>
          <w:rFonts w:ascii="Times New Roman" w:hAnsi="Times New Roman" w:cs="Times New Roman"/>
          <w:i/>
          <w:iCs/>
          <w:sz w:val="24"/>
          <w:szCs w:val="24"/>
        </w:rPr>
        <w:t xml:space="preserve">Uso de mediaciones tecnológicas para mejorar el nivel de comprensión lectora </w:t>
      </w:r>
      <w:r w:rsidRPr="00BE55F1">
        <w:rPr>
          <w:rFonts w:ascii="Times New Roman" w:hAnsi="Times New Roman" w:cs="Times New Roman"/>
          <w:sz w:val="24"/>
          <w:szCs w:val="24"/>
        </w:rPr>
        <w:t>(trabajo de grado).</w:t>
      </w:r>
      <w:r w:rsidRPr="00BE55F1">
        <w:rPr>
          <w:rFonts w:ascii="Times New Roman" w:hAnsi="Times New Roman" w:cs="Times New Roman"/>
          <w:i/>
          <w:iCs/>
          <w:sz w:val="24"/>
          <w:szCs w:val="24"/>
        </w:rPr>
        <w:t xml:space="preserve"> </w:t>
      </w:r>
      <w:r w:rsidRPr="00BE55F1">
        <w:rPr>
          <w:rFonts w:ascii="Times New Roman" w:hAnsi="Times New Roman" w:cs="Times New Roman"/>
          <w:sz w:val="24"/>
          <w:szCs w:val="24"/>
        </w:rPr>
        <w:t>Universidad Nacional Abierta y a Distancia (UNAD). Escuela Ciencias de la Educación ECEDU. Boyacá, Colombia.</w:t>
      </w:r>
    </w:p>
    <w:p w14:paraId="7460A27B" w14:textId="5EEB5E4B" w:rsidR="00CE23FC" w:rsidRPr="00BE55F1" w:rsidRDefault="00CE23FC" w:rsidP="0053312A">
      <w:pPr>
        <w:autoSpaceDE/>
        <w:autoSpaceDN/>
        <w:adjustRightInd/>
        <w:spacing w:line="360" w:lineRule="auto"/>
        <w:ind w:left="708" w:hanging="708"/>
        <w:jc w:val="both"/>
        <w:rPr>
          <w:rFonts w:ascii="Times New Roman" w:hAnsi="Times New Roman" w:cs="Times New Roman"/>
          <w:i/>
          <w:iCs/>
          <w:sz w:val="24"/>
          <w:szCs w:val="24"/>
        </w:rPr>
      </w:pPr>
      <w:r>
        <w:rPr>
          <w:rFonts w:ascii="Times New Roman" w:hAnsi="Times New Roman" w:cs="Times New Roman"/>
          <w:sz w:val="24"/>
          <w:szCs w:val="24"/>
        </w:rPr>
        <w:t>Bolivar Aponte, L. M.,</w:t>
      </w:r>
      <w:r w:rsidRPr="00CE23FC">
        <w:rPr>
          <w:rFonts w:ascii="Times New Roman" w:hAnsi="Times New Roman" w:cs="Times New Roman"/>
          <w:sz w:val="24"/>
          <w:szCs w:val="24"/>
          <w:shd w:val="clear" w:color="auto" w:fill="FFFFFF"/>
        </w:rPr>
        <w:t xml:space="preserve"> &amp;</w:t>
      </w:r>
      <w:r>
        <w:rPr>
          <w:rFonts w:ascii="Times New Roman" w:hAnsi="Times New Roman" w:cs="Times New Roman"/>
          <w:sz w:val="24"/>
          <w:szCs w:val="24"/>
          <w:shd w:val="clear" w:color="auto" w:fill="FFFFFF"/>
        </w:rPr>
        <w:t xml:space="preserve"> Guevara Zarta, C. (2000). </w:t>
      </w:r>
      <w:r w:rsidRPr="00CE23FC">
        <w:rPr>
          <w:rFonts w:ascii="Times New Roman" w:hAnsi="Times New Roman" w:cs="Times New Roman"/>
          <w:i/>
          <w:iCs/>
          <w:sz w:val="24"/>
          <w:szCs w:val="24"/>
          <w:shd w:val="clear" w:color="auto" w:fill="FFFFFF"/>
        </w:rPr>
        <w:t>La utilización del juego como una estrategia de aprendizaje para facilitar el desarrollo de la lectura lenguaje oral y la escritura lenguaje escrito en niños de 7 a 10 años de grado tercero</w:t>
      </w:r>
      <w:r>
        <w:rPr>
          <w:rFonts w:ascii="Times New Roman" w:hAnsi="Times New Roman" w:cs="Times New Roman"/>
          <w:sz w:val="24"/>
          <w:szCs w:val="24"/>
          <w:shd w:val="clear" w:color="auto" w:fill="FFFFFF"/>
        </w:rPr>
        <w:t>. Ciencia UniSalle.</w:t>
      </w:r>
    </w:p>
    <w:p w14:paraId="50177D2D" w14:textId="14071ED7" w:rsidR="00DE62DE" w:rsidRPr="00EE082F" w:rsidRDefault="00DE62DE" w:rsidP="0053312A">
      <w:pPr>
        <w:autoSpaceDE/>
        <w:autoSpaceDN/>
        <w:adjustRightInd/>
        <w:spacing w:line="360" w:lineRule="auto"/>
        <w:ind w:left="708" w:hanging="708"/>
        <w:jc w:val="both"/>
        <w:rPr>
          <w:rFonts w:ascii="Times New Roman" w:hAnsi="Times New Roman" w:cs="Times New Roman"/>
          <w:sz w:val="24"/>
          <w:szCs w:val="24"/>
        </w:rPr>
      </w:pPr>
      <w:r w:rsidRPr="00BE55F1">
        <w:rPr>
          <w:rFonts w:ascii="Times New Roman" w:hAnsi="Times New Roman" w:cs="Times New Roman"/>
          <w:sz w:val="24"/>
          <w:szCs w:val="24"/>
        </w:rPr>
        <w:t xml:space="preserve">Canales, R. (2005). </w:t>
      </w:r>
      <w:r w:rsidRPr="00EE082F">
        <w:rPr>
          <w:rFonts w:ascii="Times New Roman" w:hAnsi="Times New Roman" w:cs="Times New Roman"/>
          <w:i/>
          <w:iCs/>
          <w:sz w:val="24"/>
          <w:szCs w:val="24"/>
        </w:rPr>
        <w:t>Procesos cognitivos y estrategias psicolingüísticas que intervienen en la lectura comprensiva: diseño y ejecución de un programa experimental en niños con problemas de aprendizaje</w:t>
      </w:r>
      <w:r w:rsidRPr="00317F74">
        <w:rPr>
          <w:rFonts w:ascii="Times New Roman" w:hAnsi="Times New Roman" w:cs="Times New Roman"/>
          <w:sz w:val="24"/>
          <w:szCs w:val="24"/>
        </w:rPr>
        <w:t>.</w:t>
      </w:r>
      <w:r w:rsidRPr="00BE55F1">
        <w:rPr>
          <w:rFonts w:ascii="Times New Roman" w:hAnsi="Times New Roman" w:cs="Times New Roman"/>
          <w:sz w:val="24"/>
          <w:szCs w:val="24"/>
        </w:rPr>
        <w:t xml:space="preserve"> </w:t>
      </w:r>
      <w:r w:rsidR="00317F74" w:rsidRPr="00EE082F">
        <w:rPr>
          <w:rFonts w:ascii="Times New Roman" w:hAnsi="Times New Roman" w:cs="Times New Roman"/>
          <w:sz w:val="24"/>
          <w:szCs w:val="24"/>
        </w:rPr>
        <w:t>Revista de Investigación en Psicología, 11(1)</w:t>
      </w:r>
      <w:r w:rsidRPr="00EE082F">
        <w:rPr>
          <w:rFonts w:ascii="Times New Roman" w:hAnsi="Times New Roman" w:cs="Times New Roman"/>
          <w:sz w:val="24"/>
          <w:szCs w:val="24"/>
        </w:rPr>
        <w:t>.</w:t>
      </w:r>
    </w:p>
    <w:p w14:paraId="0E55883B" w14:textId="57AF6091" w:rsidR="00E440B7" w:rsidRDefault="00054744" w:rsidP="00054744">
      <w:pPr>
        <w:autoSpaceDE/>
        <w:autoSpaceDN/>
        <w:adjustRightInd/>
        <w:spacing w:line="360" w:lineRule="auto"/>
        <w:ind w:left="708" w:hanging="708"/>
        <w:jc w:val="both"/>
        <w:rPr>
          <w:rFonts w:ascii="Times New Roman" w:hAnsi="Times New Roman" w:cs="Times New Roman"/>
          <w:sz w:val="24"/>
          <w:szCs w:val="24"/>
        </w:rPr>
      </w:pPr>
      <w:r>
        <w:rPr>
          <w:rFonts w:ascii="Times New Roman" w:hAnsi="Times New Roman" w:cs="Times New Roman"/>
          <w:sz w:val="24"/>
          <w:szCs w:val="24"/>
        </w:rPr>
        <w:t xml:space="preserve">Chavez Duque, L, Díaz Bohórquez, R, Guevara Lozano, J y Sandoval Escalante, D. (2022). </w:t>
      </w:r>
      <w:r w:rsidRPr="00054744">
        <w:rPr>
          <w:rFonts w:ascii="Times New Roman" w:hAnsi="Times New Roman" w:cs="Times New Roman"/>
          <w:i/>
          <w:iCs/>
          <w:sz w:val="24"/>
          <w:szCs w:val="24"/>
        </w:rPr>
        <w:t xml:space="preserve">Fortalecimiento de la comprensión lectora en los niveles literal e </w:t>
      </w:r>
      <w:r w:rsidRPr="00054744">
        <w:rPr>
          <w:rFonts w:ascii="Times New Roman" w:hAnsi="Times New Roman" w:cs="Times New Roman"/>
          <w:i/>
          <w:iCs/>
          <w:sz w:val="24"/>
          <w:szCs w:val="24"/>
        </w:rPr>
        <w:lastRenderedPageBreak/>
        <w:t>inferencial a través de la gamificación en los estudiantes del grado tercero de la Institución Educativa San Antonio</w:t>
      </w:r>
      <w:r>
        <w:rPr>
          <w:rFonts w:ascii="Times New Roman" w:hAnsi="Times New Roman" w:cs="Times New Roman"/>
          <w:sz w:val="24"/>
          <w:szCs w:val="24"/>
        </w:rPr>
        <w:t>. Universidad de Cartagena.</w:t>
      </w:r>
    </w:p>
    <w:p w14:paraId="3029F905" w14:textId="7EC2B2E2" w:rsidR="00DE62DE" w:rsidRPr="00BE55F1" w:rsidRDefault="00DE62DE" w:rsidP="0053312A">
      <w:pPr>
        <w:autoSpaceDE/>
        <w:autoSpaceDN/>
        <w:adjustRightInd/>
        <w:spacing w:line="360" w:lineRule="auto"/>
        <w:ind w:left="708" w:hanging="708"/>
        <w:jc w:val="both"/>
        <w:rPr>
          <w:rFonts w:ascii="Times New Roman" w:hAnsi="Times New Roman" w:cs="Times New Roman"/>
          <w:sz w:val="24"/>
          <w:szCs w:val="24"/>
        </w:rPr>
      </w:pPr>
      <w:r w:rsidRPr="00BE55F1">
        <w:rPr>
          <w:rFonts w:ascii="Times New Roman" w:hAnsi="Times New Roman" w:cs="Times New Roman"/>
          <w:sz w:val="24"/>
          <w:szCs w:val="24"/>
        </w:rPr>
        <w:t xml:space="preserve">Cubas, A. (2007). </w:t>
      </w:r>
      <w:r w:rsidRPr="00BE55F1">
        <w:rPr>
          <w:rFonts w:ascii="Times New Roman" w:hAnsi="Times New Roman" w:cs="Times New Roman"/>
          <w:i/>
          <w:iCs/>
          <w:sz w:val="24"/>
          <w:szCs w:val="24"/>
        </w:rPr>
        <w:t>Actitudes hacia la lectura y niveles de comprensión lectora en estudiantes de sexo grado de primaria</w:t>
      </w:r>
      <w:r w:rsidR="00317F74">
        <w:rPr>
          <w:rFonts w:ascii="Times New Roman" w:hAnsi="Times New Roman" w:cs="Times New Roman"/>
          <w:i/>
          <w:iCs/>
          <w:sz w:val="24"/>
          <w:szCs w:val="24"/>
        </w:rPr>
        <w:t xml:space="preserve"> </w:t>
      </w:r>
      <w:r w:rsidR="00317F74" w:rsidRPr="00BE55F1">
        <w:rPr>
          <w:rFonts w:ascii="Times New Roman" w:hAnsi="Times New Roman" w:cs="Times New Roman"/>
          <w:sz w:val="24"/>
          <w:szCs w:val="24"/>
        </w:rPr>
        <w:t>(trabajo de grado)</w:t>
      </w:r>
      <w:r w:rsidRPr="00BE55F1">
        <w:rPr>
          <w:rFonts w:ascii="Times New Roman" w:hAnsi="Times New Roman" w:cs="Times New Roman"/>
          <w:sz w:val="24"/>
          <w:szCs w:val="24"/>
        </w:rPr>
        <w:t>. Pontificia Universidad Católica de Perú. Lima, Perú.</w:t>
      </w:r>
    </w:p>
    <w:p w14:paraId="0884D57C" w14:textId="77777777" w:rsidR="00DE62DE" w:rsidRPr="00BE55F1" w:rsidRDefault="00DE62DE" w:rsidP="0053312A">
      <w:pPr>
        <w:autoSpaceDE/>
        <w:autoSpaceDN/>
        <w:adjustRightInd/>
        <w:spacing w:line="360" w:lineRule="auto"/>
        <w:ind w:left="708" w:hanging="708"/>
        <w:jc w:val="both"/>
        <w:rPr>
          <w:rFonts w:ascii="Times New Roman" w:hAnsi="Times New Roman" w:cs="Times New Roman"/>
          <w:sz w:val="24"/>
          <w:szCs w:val="24"/>
        </w:rPr>
      </w:pPr>
      <w:r w:rsidRPr="00BC54F1">
        <w:rPr>
          <w:rFonts w:ascii="Times New Roman" w:hAnsi="Times New Roman" w:cs="Times New Roman"/>
          <w:sz w:val="24"/>
          <w:szCs w:val="24"/>
        </w:rPr>
        <w:t xml:space="preserve">Freire, P. (1990). </w:t>
      </w:r>
      <w:r w:rsidRPr="00BE55F1">
        <w:rPr>
          <w:rFonts w:ascii="Times New Roman" w:hAnsi="Times New Roman" w:cs="Times New Roman"/>
          <w:i/>
          <w:iCs/>
          <w:sz w:val="24"/>
          <w:szCs w:val="24"/>
        </w:rPr>
        <w:t>La naturaleza política de la educación. Cultura poder y liberación</w:t>
      </w:r>
      <w:r w:rsidRPr="00BE55F1">
        <w:rPr>
          <w:rFonts w:ascii="Times New Roman" w:hAnsi="Times New Roman" w:cs="Times New Roman"/>
          <w:sz w:val="24"/>
          <w:szCs w:val="24"/>
        </w:rPr>
        <w:t>. Paidós.</w:t>
      </w:r>
    </w:p>
    <w:p w14:paraId="6AFE9B6F" w14:textId="77777777" w:rsidR="00DE62DE" w:rsidRDefault="00DE62DE" w:rsidP="0053312A">
      <w:pPr>
        <w:autoSpaceDE/>
        <w:autoSpaceDN/>
        <w:adjustRightInd/>
        <w:spacing w:line="360" w:lineRule="auto"/>
        <w:ind w:left="708" w:hanging="708"/>
        <w:jc w:val="both"/>
        <w:rPr>
          <w:rFonts w:ascii="Times New Roman" w:hAnsi="Times New Roman" w:cs="Times New Roman"/>
          <w:sz w:val="24"/>
          <w:szCs w:val="24"/>
        </w:rPr>
      </w:pPr>
      <w:r w:rsidRPr="00BE55F1">
        <w:rPr>
          <w:rFonts w:ascii="Times New Roman" w:hAnsi="Times New Roman" w:cs="Times New Roman"/>
          <w:sz w:val="24"/>
          <w:szCs w:val="24"/>
        </w:rPr>
        <w:t xml:space="preserve">Garavito, (2008). </w:t>
      </w:r>
      <w:r w:rsidRPr="00BE55F1">
        <w:rPr>
          <w:rFonts w:ascii="Times New Roman" w:hAnsi="Times New Roman" w:cs="Times New Roman"/>
          <w:i/>
          <w:iCs/>
          <w:sz w:val="24"/>
          <w:szCs w:val="24"/>
        </w:rPr>
        <w:t xml:space="preserve">Estrategias metodológicas para mejorar la comprensión lectora de los alumnos del quinto y sexto grado de primaria </w:t>
      </w:r>
      <w:r w:rsidRPr="00BE55F1">
        <w:rPr>
          <w:rFonts w:ascii="Times New Roman" w:hAnsi="Times New Roman" w:cs="Times New Roman"/>
          <w:sz w:val="24"/>
          <w:szCs w:val="24"/>
        </w:rPr>
        <w:t>(trabajo de grado).</w:t>
      </w:r>
      <w:r w:rsidRPr="00BE55F1">
        <w:rPr>
          <w:rFonts w:ascii="Times New Roman" w:hAnsi="Times New Roman" w:cs="Times New Roman"/>
          <w:i/>
          <w:iCs/>
          <w:sz w:val="24"/>
          <w:szCs w:val="24"/>
        </w:rPr>
        <w:t xml:space="preserve"> </w:t>
      </w:r>
      <w:r w:rsidRPr="00BE55F1">
        <w:rPr>
          <w:rFonts w:ascii="Times New Roman" w:hAnsi="Times New Roman" w:cs="Times New Roman"/>
          <w:sz w:val="24"/>
          <w:szCs w:val="24"/>
        </w:rPr>
        <w:t>Universidad César Vallejo, Piura, Perú.</w:t>
      </w:r>
    </w:p>
    <w:p w14:paraId="1ACDBB5B" w14:textId="2D1BBEFD" w:rsidR="00BE65CB" w:rsidRPr="00BE55F1" w:rsidRDefault="00BE65CB" w:rsidP="0053312A">
      <w:pPr>
        <w:autoSpaceDE/>
        <w:autoSpaceDN/>
        <w:adjustRightInd/>
        <w:spacing w:line="360" w:lineRule="auto"/>
        <w:ind w:left="708" w:hanging="708"/>
        <w:jc w:val="both"/>
        <w:rPr>
          <w:rFonts w:ascii="Times New Roman" w:hAnsi="Times New Roman" w:cs="Times New Roman"/>
          <w:i/>
          <w:iCs/>
          <w:sz w:val="24"/>
          <w:szCs w:val="24"/>
        </w:rPr>
      </w:pPr>
      <w:r>
        <w:rPr>
          <w:rFonts w:ascii="Times New Roman" w:hAnsi="Times New Roman" w:cs="Times New Roman"/>
          <w:sz w:val="24"/>
          <w:szCs w:val="24"/>
        </w:rPr>
        <w:t xml:space="preserve">Goodman, K (1982). </w:t>
      </w:r>
      <w:r w:rsidRPr="00412BB0">
        <w:rPr>
          <w:rFonts w:ascii="Times New Roman" w:hAnsi="Times New Roman" w:cs="Times New Roman"/>
          <w:i/>
          <w:iCs/>
          <w:sz w:val="24"/>
          <w:szCs w:val="24"/>
        </w:rPr>
        <w:t>El proceso de la lectura: consideraciones a través de las lenguas y del desarrollo</w:t>
      </w:r>
      <w:r>
        <w:rPr>
          <w:rFonts w:ascii="Times New Roman" w:hAnsi="Times New Roman" w:cs="Times New Roman"/>
          <w:sz w:val="24"/>
          <w:szCs w:val="24"/>
        </w:rPr>
        <w:t>. En Ferreiro y Gómez Palacio. Nuevas perspectivas sobre los procesos de lectura y escritura. México: Siglo XXI.</w:t>
      </w:r>
    </w:p>
    <w:p w14:paraId="7833D1C9" w14:textId="77777777" w:rsidR="00DE62DE" w:rsidRPr="00BE55F1" w:rsidRDefault="00DE62DE" w:rsidP="0053312A">
      <w:pPr>
        <w:pStyle w:val="Bibliografa"/>
        <w:spacing w:line="360" w:lineRule="auto"/>
        <w:ind w:left="720" w:hanging="720"/>
        <w:jc w:val="both"/>
        <w:rPr>
          <w:rFonts w:ascii="Times New Roman" w:hAnsi="Times New Roman"/>
          <w:noProof/>
          <w:sz w:val="24"/>
          <w:szCs w:val="24"/>
          <w:lang w:val="es-ES"/>
        </w:rPr>
      </w:pPr>
      <w:r w:rsidRPr="00BE55F1">
        <w:rPr>
          <w:rFonts w:ascii="Times New Roman" w:hAnsi="Times New Roman"/>
          <w:noProof/>
          <w:sz w:val="24"/>
          <w:szCs w:val="24"/>
          <w:lang w:val="es-ES"/>
        </w:rPr>
        <w:t xml:space="preserve">López, J. (2021). </w:t>
      </w:r>
      <w:r w:rsidRPr="00BE55F1">
        <w:rPr>
          <w:rFonts w:ascii="Times New Roman" w:hAnsi="Times New Roman"/>
          <w:i/>
          <w:iCs/>
          <w:noProof/>
          <w:sz w:val="24"/>
          <w:szCs w:val="24"/>
          <w:lang w:val="es-ES"/>
        </w:rPr>
        <w:t xml:space="preserve">Comprensión de lectura y matemáticas. La prueba de Pearson </w:t>
      </w:r>
      <w:r w:rsidRPr="00BE55F1">
        <w:rPr>
          <w:rFonts w:ascii="Times New Roman" w:hAnsi="Times New Roman"/>
          <w:noProof/>
          <w:sz w:val="24"/>
          <w:szCs w:val="24"/>
          <w:lang w:val="es-ES"/>
        </w:rPr>
        <w:t>(trabajo de grado). Centro de Estudios para el Desarrollo Municipal y Políticas Públicas, Tuxtla Gutíerrez, Chiapas.</w:t>
      </w:r>
    </w:p>
    <w:p w14:paraId="770414D6" w14:textId="77777777" w:rsidR="00DE62DE" w:rsidRPr="00BE55F1" w:rsidRDefault="00DE62DE" w:rsidP="0053312A">
      <w:pPr>
        <w:autoSpaceDE/>
        <w:autoSpaceDN/>
        <w:adjustRightInd/>
        <w:spacing w:line="360" w:lineRule="auto"/>
        <w:ind w:left="708" w:hanging="708"/>
        <w:jc w:val="both"/>
        <w:rPr>
          <w:rFonts w:ascii="Times New Roman" w:hAnsi="Times New Roman" w:cs="Times New Roman"/>
          <w:sz w:val="24"/>
          <w:szCs w:val="24"/>
        </w:rPr>
      </w:pPr>
      <w:r w:rsidRPr="00BE55F1">
        <w:rPr>
          <w:rFonts w:ascii="Times New Roman" w:hAnsi="Times New Roman" w:cs="Times New Roman"/>
          <w:sz w:val="24"/>
          <w:szCs w:val="24"/>
        </w:rPr>
        <w:t xml:space="preserve">Marchena, F. </w:t>
      </w:r>
      <w:bookmarkStart w:id="8" w:name="_Hlk163888998"/>
      <w:r w:rsidRPr="00BE55F1">
        <w:rPr>
          <w:rFonts w:ascii="Times New Roman" w:hAnsi="Times New Roman" w:cs="Times New Roman"/>
          <w:sz w:val="24"/>
          <w:szCs w:val="24"/>
        </w:rPr>
        <w:t>y Quiroga</w:t>
      </w:r>
      <w:bookmarkEnd w:id="8"/>
      <w:r w:rsidRPr="00BE55F1">
        <w:rPr>
          <w:rFonts w:ascii="Times New Roman" w:hAnsi="Times New Roman" w:cs="Times New Roman"/>
          <w:sz w:val="24"/>
          <w:szCs w:val="24"/>
        </w:rPr>
        <w:t xml:space="preserve">, P. (2005). </w:t>
      </w:r>
      <w:r w:rsidRPr="00BE55F1">
        <w:rPr>
          <w:rFonts w:ascii="Times New Roman" w:hAnsi="Times New Roman" w:cs="Times New Roman"/>
          <w:i/>
          <w:iCs/>
          <w:sz w:val="24"/>
          <w:szCs w:val="24"/>
        </w:rPr>
        <w:t xml:space="preserve">Relación entre la comprensión lectora y la resolución de matemáticos </w:t>
      </w:r>
      <w:r w:rsidRPr="00BE55F1">
        <w:rPr>
          <w:rFonts w:ascii="Times New Roman" w:hAnsi="Times New Roman" w:cs="Times New Roman"/>
          <w:sz w:val="24"/>
          <w:szCs w:val="24"/>
        </w:rPr>
        <w:t>(trabajo de grado).</w:t>
      </w:r>
      <w:r w:rsidRPr="00BE55F1">
        <w:rPr>
          <w:rFonts w:ascii="Times New Roman" w:hAnsi="Times New Roman" w:cs="Times New Roman"/>
          <w:i/>
          <w:iCs/>
          <w:sz w:val="24"/>
          <w:szCs w:val="24"/>
        </w:rPr>
        <w:t xml:space="preserve"> </w:t>
      </w:r>
      <w:r w:rsidRPr="00BE55F1">
        <w:rPr>
          <w:rFonts w:ascii="Times New Roman" w:hAnsi="Times New Roman" w:cs="Times New Roman"/>
          <w:sz w:val="24"/>
          <w:szCs w:val="24"/>
        </w:rPr>
        <w:t>Universidad César Vallejo. Lima, Perú.</w:t>
      </w:r>
    </w:p>
    <w:p w14:paraId="72A049A7" w14:textId="77777777" w:rsidR="00DE62DE" w:rsidRPr="00BE55F1" w:rsidRDefault="00DE62DE" w:rsidP="0053312A">
      <w:pPr>
        <w:autoSpaceDE/>
        <w:autoSpaceDN/>
        <w:adjustRightInd/>
        <w:spacing w:line="360" w:lineRule="auto"/>
        <w:ind w:left="708" w:hanging="708"/>
        <w:jc w:val="both"/>
        <w:rPr>
          <w:rFonts w:ascii="Times New Roman" w:hAnsi="Times New Roman" w:cs="Times New Roman"/>
          <w:i/>
          <w:iCs/>
          <w:sz w:val="24"/>
          <w:szCs w:val="24"/>
        </w:rPr>
      </w:pPr>
      <w:r w:rsidRPr="00BE55F1">
        <w:rPr>
          <w:rFonts w:ascii="Times New Roman" w:hAnsi="Times New Roman" w:cs="Times New Roman"/>
          <w:sz w:val="24"/>
          <w:szCs w:val="24"/>
        </w:rPr>
        <w:t xml:space="preserve">Mayorga, L. A. (2022). </w:t>
      </w:r>
      <w:r w:rsidRPr="00BE55F1">
        <w:rPr>
          <w:rFonts w:ascii="Times New Roman" w:hAnsi="Times New Roman" w:cs="Times New Roman"/>
          <w:i/>
          <w:iCs/>
          <w:sz w:val="24"/>
          <w:szCs w:val="24"/>
        </w:rPr>
        <w:t>Manual de metodología de la investigación</w:t>
      </w:r>
      <w:r w:rsidRPr="00BE55F1">
        <w:rPr>
          <w:rFonts w:ascii="Times New Roman" w:hAnsi="Times New Roman" w:cs="Times New Roman"/>
          <w:sz w:val="24"/>
          <w:szCs w:val="24"/>
        </w:rPr>
        <w:t xml:space="preserve">. Yachay. </w:t>
      </w:r>
    </w:p>
    <w:p w14:paraId="0A368BE0" w14:textId="77777777" w:rsidR="00DE62DE" w:rsidRPr="00BE55F1" w:rsidRDefault="00DE62DE" w:rsidP="0053312A">
      <w:pPr>
        <w:autoSpaceDE/>
        <w:autoSpaceDN/>
        <w:adjustRightInd/>
        <w:spacing w:line="360" w:lineRule="auto"/>
        <w:ind w:left="708" w:hanging="708"/>
        <w:jc w:val="both"/>
        <w:rPr>
          <w:rFonts w:ascii="Times New Roman" w:hAnsi="Times New Roman" w:cs="Times New Roman"/>
          <w:sz w:val="24"/>
          <w:szCs w:val="24"/>
        </w:rPr>
      </w:pPr>
      <w:r w:rsidRPr="00BE55F1">
        <w:rPr>
          <w:rFonts w:ascii="Times New Roman" w:hAnsi="Times New Roman" w:cs="Times New Roman"/>
          <w:sz w:val="24"/>
          <w:szCs w:val="24"/>
        </w:rPr>
        <w:t xml:space="preserve">Plan Nacional para la Evaluación de los Aprendizajes [Planea]. (2017). </w:t>
      </w:r>
      <w:r w:rsidRPr="00BE55F1">
        <w:rPr>
          <w:rFonts w:ascii="Times New Roman" w:hAnsi="Times New Roman" w:cs="Times New Roman"/>
          <w:i/>
          <w:iCs/>
          <w:sz w:val="24"/>
          <w:szCs w:val="24"/>
        </w:rPr>
        <w:t>Resultados nacionales 2017, 3.º de secundaria.</w:t>
      </w:r>
      <w:r w:rsidRPr="00BE55F1">
        <w:rPr>
          <w:rFonts w:ascii="Times New Roman" w:hAnsi="Times New Roman" w:cs="Times New Roman"/>
          <w:sz w:val="24"/>
          <w:szCs w:val="24"/>
        </w:rPr>
        <w:t xml:space="preserve"> Secretaría de Educación Pública, México.</w:t>
      </w:r>
    </w:p>
    <w:p w14:paraId="69A0BBC2" w14:textId="31F0C9F5" w:rsidR="00DE62DE" w:rsidRPr="00BE55F1" w:rsidRDefault="00DE62DE" w:rsidP="0053312A">
      <w:pPr>
        <w:autoSpaceDE/>
        <w:autoSpaceDN/>
        <w:adjustRightInd/>
        <w:spacing w:line="360" w:lineRule="auto"/>
        <w:ind w:left="708" w:hanging="708"/>
        <w:jc w:val="both"/>
        <w:rPr>
          <w:rFonts w:ascii="Times New Roman" w:hAnsi="Times New Roman" w:cs="Times New Roman"/>
          <w:sz w:val="24"/>
          <w:szCs w:val="24"/>
        </w:rPr>
      </w:pPr>
      <w:r w:rsidRPr="00BE55F1">
        <w:rPr>
          <w:rFonts w:ascii="Times New Roman" w:hAnsi="Times New Roman" w:cs="Times New Roman"/>
          <w:sz w:val="24"/>
          <w:szCs w:val="24"/>
        </w:rPr>
        <w:t>Ramírez, L. (</w:t>
      </w:r>
      <w:r w:rsidR="00317F74">
        <w:rPr>
          <w:rFonts w:ascii="Times New Roman" w:hAnsi="Times New Roman" w:cs="Times New Roman"/>
          <w:sz w:val="24"/>
          <w:szCs w:val="24"/>
        </w:rPr>
        <w:t xml:space="preserve">21 de agosto de </w:t>
      </w:r>
      <w:r w:rsidRPr="00BE55F1">
        <w:rPr>
          <w:rFonts w:ascii="Times New Roman" w:hAnsi="Times New Roman" w:cs="Times New Roman"/>
          <w:sz w:val="24"/>
          <w:szCs w:val="24"/>
        </w:rPr>
        <w:t xml:space="preserve">2017). </w:t>
      </w:r>
      <w:r w:rsidRPr="00BE55F1">
        <w:rPr>
          <w:rFonts w:ascii="Times New Roman" w:hAnsi="Times New Roman" w:cs="Times New Roman"/>
          <w:i/>
          <w:iCs/>
          <w:sz w:val="24"/>
          <w:szCs w:val="24"/>
        </w:rPr>
        <w:t xml:space="preserve">La comprensión lectora: un reto para alumnas y maestros. </w:t>
      </w:r>
      <w:r w:rsidRPr="00BE55F1">
        <w:rPr>
          <w:rFonts w:ascii="Times New Roman" w:hAnsi="Times New Roman" w:cs="Times New Roman"/>
          <w:sz w:val="24"/>
          <w:szCs w:val="24"/>
        </w:rPr>
        <w:t>h</w:t>
      </w:r>
      <w:r w:rsidRPr="00F124D4">
        <w:rPr>
          <w:rFonts w:ascii="Times New Roman" w:hAnsi="Times New Roman" w:cs="Times New Roman"/>
          <w:sz w:val="24"/>
          <w:szCs w:val="24"/>
        </w:rPr>
        <w:t>ttps://observatorio.tec.mx/edu-bits-b</w:t>
      </w:r>
      <w:r w:rsidRPr="00BE55F1">
        <w:rPr>
          <w:rFonts w:ascii="Times New Roman" w:hAnsi="Times New Roman" w:cs="Times New Roman"/>
          <w:sz w:val="24"/>
          <w:szCs w:val="24"/>
        </w:rPr>
        <w:t>log/2017/8/21/la-comprensin-lectora-un-reto-para-alumnos-y-maestros</w:t>
      </w:r>
    </w:p>
    <w:p w14:paraId="5FE43761" w14:textId="4B534417" w:rsidR="005B18B6" w:rsidRPr="005B18B6" w:rsidRDefault="005B18B6" w:rsidP="0053312A">
      <w:pPr>
        <w:autoSpaceDE/>
        <w:autoSpaceDN/>
        <w:adjustRightInd/>
        <w:spacing w:line="360" w:lineRule="auto"/>
        <w:ind w:left="708" w:hanging="708"/>
        <w:jc w:val="both"/>
        <w:rPr>
          <w:rFonts w:ascii="Times New Roman" w:hAnsi="Times New Roman" w:cs="Times New Roman"/>
          <w:sz w:val="24"/>
          <w:szCs w:val="24"/>
        </w:rPr>
      </w:pPr>
      <w:r w:rsidRPr="005B18B6">
        <w:rPr>
          <w:rFonts w:ascii="Times New Roman" w:eastAsia="Arial Unicode MS" w:hAnsi="Times New Roman" w:cs="Times New Roman"/>
          <w:spacing w:val="4"/>
          <w:sz w:val="24"/>
          <w:szCs w:val="24"/>
          <w:shd w:val="clear" w:color="auto" w:fill="FFFFFF"/>
        </w:rPr>
        <w:t>Real Academia Española: </w:t>
      </w:r>
      <w:r w:rsidRPr="005B18B6">
        <w:rPr>
          <w:rStyle w:val="nfasis"/>
          <w:rFonts w:ascii="Times New Roman" w:eastAsia="Arial Unicode MS" w:hAnsi="Times New Roman" w:cs="Times New Roman"/>
          <w:spacing w:val="4"/>
          <w:sz w:val="24"/>
          <w:szCs w:val="24"/>
          <w:shd w:val="clear" w:color="auto" w:fill="FFFFFF"/>
        </w:rPr>
        <w:t>Diccionario de la lengua española</w:t>
      </w:r>
      <w:r w:rsidRPr="005B18B6">
        <w:rPr>
          <w:rFonts w:ascii="Times New Roman" w:eastAsia="Arial Unicode MS" w:hAnsi="Times New Roman" w:cs="Times New Roman"/>
          <w:spacing w:val="4"/>
          <w:sz w:val="24"/>
          <w:szCs w:val="24"/>
          <w:shd w:val="clear" w:color="auto" w:fill="FFFFFF"/>
        </w:rPr>
        <w:t>, 23.ª ed., [versión 23.7 en línea]</w:t>
      </w:r>
    </w:p>
    <w:p w14:paraId="564FE1D5" w14:textId="3D0ABC3D" w:rsidR="00DE62DE" w:rsidRPr="00BE55F1" w:rsidRDefault="00DE62DE" w:rsidP="0053312A">
      <w:pPr>
        <w:autoSpaceDE/>
        <w:autoSpaceDN/>
        <w:adjustRightInd/>
        <w:spacing w:line="360" w:lineRule="auto"/>
        <w:ind w:left="708" w:hanging="708"/>
        <w:jc w:val="both"/>
        <w:rPr>
          <w:rFonts w:ascii="Times New Roman" w:hAnsi="Times New Roman" w:cs="Times New Roman"/>
          <w:sz w:val="24"/>
          <w:szCs w:val="24"/>
        </w:rPr>
      </w:pPr>
      <w:r w:rsidRPr="00BE55F1">
        <w:rPr>
          <w:rFonts w:ascii="Times New Roman" w:hAnsi="Times New Roman" w:cs="Times New Roman"/>
          <w:sz w:val="24"/>
          <w:szCs w:val="24"/>
        </w:rPr>
        <w:t xml:space="preserve">Romero, A. (2012). </w:t>
      </w:r>
      <w:r w:rsidRPr="00BE55F1">
        <w:rPr>
          <w:rFonts w:ascii="Times New Roman" w:hAnsi="Times New Roman" w:cs="Times New Roman"/>
          <w:i/>
          <w:iCs/>
          <w:sz w:val="24"/>
          <w:szCs w:val="24"/>
        </w:rPr>
        <w:t>Comprensión lectora y resolución de problemas matemáticos en alumnos de segundo grado de primaria</w:t>
      </w:r>
      <w:r w:rsidR="00317F74">
        <w:rPr>
          <w:rFonts w:ascii="Times New Roman" w:hAnsi="Times New Roman" w:cs="Times New Roman"/>
          <w:i/>
          <w:iCs/>
          <w:sz w:val="24"/>
          <w:szCs w:val="24"/>
        </w:rPr>
        <w:t xml:space="preserve"> </w:t>
      </w:r>
      <w:r w:rsidR="00317F74">
        <w:rPr>
          <w:rFonts w:ascii="Times New Roman" w:hAnsi="Times New Roman" w:cs="Times New Roman"/>
          <w:sz w:val="24"/>
          <w:szCs w:val="24"/>
        </w:rPr>
        <w:t>(tesis de maestría)</w:t>
      </w:r>
      <w:r w:rsidRPr="00BE55F1">
        <w:rPr>
          <w:rFonts w:ascii="Times New Roman" w:hAnsi="Times New Roman" w:cs="Times New Roman"/>
          <w:sz w:val="24"/>
          <w:szCs w:val="24"/>
        </w:rPr>
        <w:t>. Universidad de San Ignacio de Loyola. Lima, Perú.</w:t>
      </w:r>
    </w:p>
    <w:p w14:paraId="519798D8" w14:textId="77777777" w:rsidR="00DE62DE" w:rsidRDefault="00DE62DE" w:rsidP="0053312A">
      <w:pPr>
        <w:autoSpaceDE/>
        <w:autoSpaceDN/>
        <w:adjustRightInd/>
        <w:spacing w:line="360" w:lineRule="auto"/>
        <w:ind w:left="708" w:hanging="708"/>
        <w:jc w:val="both"/>
        <w:rPr>
          <w:rFonts w:ascii="Times New Roman" w:hAnsi="Times New Roman" w:cs="Times New Roman"/>
          <w:noProof/>
          <w:sz w:val="24"/>
          <w:szCs w:val="24"/>
          <w:lang w:val="es-ES"/>
        </w:rPr>
      </w:pPr>
      <w:r w:rsidRPr="00BE55F1">
        <w:rPr>
          <w:rFonts w:ascii="Times New Roman" w:hAnsi="Times New Roman" w:cs="Times New Roman"/>
          <w:noProof/>
          <w:sz w:val="24"/>
          <w:szCs w:val="24"/>
          <w:lang w:val="es-ES"/>
        </w:rPr>
        <w:t xml:space="preserve">Weimer, R. C. (2009). </w:t>
      </w:r>
      <w:r w:rsidRPr="00BE55F1">
        <w:rPr>
          <w:rFonts w:ascii="Times New Roman" w:hAnsi="Times New Roman" w:cs="Times New Roman"/>
          <w:i/>
          <w:iCs/>
          <w:noProof/>
          <w:sz w:val="24"/>
          <w:szCs w:val="24"/>
          <w:lang w:val="es-ES"/>
        </w:rPr>
        <w:t>Estadística.</w:t>
      </w:r>
      <w:r w:rsidRPr="00BE55F1">
        <w:rPr>
          <w:rFonts w:ascii="Times New Roman" w:hAnsi="Times New Roman" w:cs="Times New Roman"/>
          <w:noProof/>
          <w:sz w:val="24"/>
          <w:szCs w:val="24"/>
          <w:lang w:val="es-ES"/>
        </w:rPr>
        <w:t xml:space="preserve"> Grupo Editorial Patria.</w:t>
      </w:r>
    </w:p>
    <w:p w14:paraId="3FCF88F6" w14:textId="77777777" w:rsidR="00DE62DE" w:rsidRDefault="00DE62DE" w:rsidP="00DE62DE">
      <w:pPr>
        <w:autoSpaceDE/>
        <w:autoSpaceDN/>
        <w:adjustRightInd/>
        <w:spacing w:line="360" w:lineRule="auto"/>
        <w:ind w:left="708" w:hanging="708"/>
        <w:jc w:val="both"/>
        <w:rPr>
          <w:rFonts w:ascii="Times New Roman" w:hAnsi="Times New Roman" w:cs="Times New Roman"/>
          <w:noProof/>
          <w:sz w:val="24"/>
          <w:szCs w:val="24"/>
          <w:lang w:val="es-ES"/>
        </w:rPr>
      </w:pPr>
    </w:p>
    <w:p w14:paraId="17C60DD3" w14:textId="77777777" w:rsidR="00DE62DE" w:rsidRDefault="00DE62DE" w:rsidP="00DE62DE">
      <w:pPr>
        <w:autoSpaceDE/>
        <w:autoSpaceDN/>
        <w:adjustRightInd/>
        <w:spacing w:line="360" w:lineRule="auto"/>
        <w:ind w:left="708" w:hanging="708"/>
        <w:jc w:val="both"/>
        <w:rPr>
          <w:rFonts w:ascii="Times New Roman" w:hAnsi="Times New Roman" w:cs="Times New Roman"/>
          <w:noProof/>
          <w:sz w:val="24"/>
          <w:szCs w:val="24"/>
          <w:lang w:val="es-ES"/>
        </w:rPr>
      </w:pPr>
    </w:p>
    <w:p w14:paraId="47C12A9A" w14:textId="77777777" w:rsidR="00F156F6" w:rsidRPr="000E39B6" w:rsidRDefault="00F156F6" w:rsidP="000E39B6">
      <w:pPr>
        <w:pStyle w:val="NormalWeb"/>
        <w:spacing w:before="0" w:beforeAutospacing="0" w:after="120" w:afterAutospacing="0" w:line="360" w:lineRule="auto"/>
        <w:jc w:val="center"/>
        <w:rPr>
          <w:b/>
          <w:color w:val="000000" w:themeColor="text1"/>
          <w:sz w:val="32"/>
          <w:szCs w:val="32"/>
          <w:lang w:val="es-MX"/>
        </w:rPr>
      </w:pPr>
    </w:p>
    <w:sectPr w:rsidR="00F156F6" w:rsidRPr="000E39B6" w:rsidSect="00BC76D1">
      <w:headerReference w:type="default" r:id="rId11"/>
      <w:footerReference w:type="default" r:id="rId12"/>
      <w:pgSz w:w="11906" w:h="16838" w:code="9"/>
      <w:pgMar w:top="173" w:right="1701" w:bottom="851" w:left="1701" w:header="139" w:footer="1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F87A02" w14:textId="77777777" w:rsidR="00CF5022" w:rsidRDefault="00CF5022" w:rsidP="00E24886">
      <w:r>
        <w:separator/>
      </w:r>
    </w:p>
  </w:endnote>
  <w:endnote w:type="continuationSeparator" w:id="0">
    <w:p w14:paraId="383D0DC6" w14:textId="77777777" w:rsidR="00CF5022" w:rsidRDefault="00CF5022" w:rsidP="00E24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73514" w14:textId="3828A986" w:rsidR="0053312A" w:rsidRDefault="0012527A">
    <w:pPr>
      <w:pStyle w:val="Piedepgina"/>
    </w:pPr>
    <w:r>
      <w:t xml:space="preserve">                        </w:t>
    </w:r>
  </w:p>
  <w:p w14:paraId="149B15A5" w14:textId="0F768F7F" w:rsidR="0053312A" w:rsidRDefault="0012527A" w:rsidP="00FB1650">
    <w:pPr>
      <w:pStyle w:val="Piedepgina"/>
      <w:jc w:val="center"/>
    </w:pPr>
    <w:r w:rsidRPr="002A3D98">
      <w:rPr>
        <w:noProof/>
        <w:lang w:eastAsia="es-MX"/>
      </w:rPr>
      <w:drawing>
        <wp:inline distT="0" distB="0" distL="0" distR="0" wp14:anchorId="59FFEC98" wp14:editId="4A2461EE">
          <wp:extent cx="1600200" cy="419100"/>
          <wp:effectExtent l="0" t="0" r="0" b="0"/>
          <wp:docPr id="1643229936" name="Imagen 1643229936"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sidR="00FB1650">
      <w:rPr>
        <w:rFonts w:asciiTheme="minorHAnsi" w:hAnsiTheme="minorHAnsi" w:cstheme="minorHAnsi"/>
        <w:b/>
        <w:sz w:val="22"/>
        <w:szCs w:val="22"/>
      </w:rPr>
      <w:t xml:space="preserve">          </w:t>
    </w:r>
    <w:r w:rsidR="00FB1650" w:rsidRPr="00FB1650">
      <w:rPr>
        <w:rFonts w:asciiTheme="minorHAnsi" w:hAnsiTheme="minorHAnsi" w:cstheme="minorHAnsi"/>
        <w:b/>
        <w:sz w:val="22"/>
        <w:szCs w:val="22"/>
      </w:rPr>
      <w:t xml:space="preserve">Vol. 14, Núm. 28 </w:t>
    </w:r>
    <w:proofErr w:type="gramStart"/>
    <w:r w:rsidR="00FB1650" w:rsidRPr="00FB1650">
      <w:rPr>
        <w:rFonts w:asciiTheme="minorHAnsi" w:hAnsiTheme="minorHAnsi" w:cstheme="minorHAnsi"/>
        <w:b/>
        <w:sz w:val="22"/>
        <w:szCs w:val="22"/>
      </w:rPr>
      <w:t>Enero</w:t>
    </w:r>
    <w:proofErr w:type="gramEnd"/>
    <w:r w:rsidR="00FB1650" w:rsidRPr="00FB1650">
      <w:rPr>
        <w:rFonts w:asciiTheme="minorHAnsi" w:hAnsiTheme="minorHAnsi" w:cstheme="minorHAnsi"/>
        <w:b/>
        <w:sz w:val="22"/>
        <w:szCs w:val="22"/>
      </w:rPr>
      <w:t xml:space="preserve"> – Junio 2024, e</w:t>
    </w:r>
    <w:r w:rsidR="000D210E">
      <w:rPr>
        <w:rFonts w:asciiTheme="minorHAnsi" w:hAnsiTheme="minorHAnsi" w:cstheme="minorHAnsi"/>
        <w:b/>
        <w:sz w:val="22"/>
        <w:szCs w:val="22"/>
      </w:rPr>
      <w:t>6</w:t>
    </w:r>
    <w:r w:rsidR="001E6F39">
      <w:rPr>
        <w:rFonts w:asciiTheme="minorHAnsi" w:hAnsiTheme="minorHAnsi" w:cstheme="minorHAnsi"/>
        <w:b/>
        <w:sz w:val="22"/>
        <w:szCs w:val="22"/>
      </w:rPr>
      <w:t>56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F8E516" w14:textId="77777777" w:rsidR="00CF5022" w:rsidRDefault="00CF5022" w:rsidP="00E24886">
      <w:bookmarkStart w:id="0" w:name="_Hlk164958928"/>
      <w:bookmarkEnd w:id="0"/>
      <w:r>
        <w:separator/>
      </w:r>
    </w:p>
  </w:footnote>
  <w:footnote w:type="continuationSeparator" w:id="0">
    <w:p w14:paraId="027AAA51" w14:textId="77777777" w:rsidR="00CF5022" w:rsidRDefault="00CF5022" w:rsidP="00E24886">
      <w:r>
        <w:continuationSeparator/>
      </w:r>
    </w:p>
  </w:footnote>
  <w:footnote w:id="1">
    <w:p w14:paraId="3B98D143" w14:textId="77777777" w:rsidR="002C0EF5" w:rsidRPr="002C0EF5" w:rsidRDefault="002C0EF5" w:rsidP="002C0EF5">
      <w:pPr>
        <w:pStyle w:val="Textonotapie"/>
        <w:rPr>
          <w:rFonts w:ascii="Times New Roman" w:hAnsi="Times New Roman"/>
          <w:lang w:val="es-ES"/>
        </w:rPr>
      </w:pPr>
      <w:r w:rsidRPr="002C0EF5">
        <w:rPr>
          <w:rStyle w:val="Refdenotaalpie"/>
          <w:rFonts w:ascii="Times New Roman" w:hAnsi="Times New Roman"/>
        </w:rPr>
        <w:footnoteRef/>
      </w:r>
      <w:r w:rsidRPr="002C0EF5">
        <w:rPr>
          <w:rFonts w:ascii="Times New Roman" w:hAnsi="Times New Roman"/>
        </w:rPr>
        <w:t xml:space="preserve"> </w:t>
      </w:r>
      <w:r w:rsidRPr="002C0EF5">
        <w:rPr>
          <w:rFonts w:ascii="Times New Roman" w:hAnsi="Times New Roman"/>
          <w:lang w:val="es-ES"/>
        </w:rPr>
        <w:t>PLANEA (Plan Nacional Para La Evaluación De Los Aprendizajes), el cual se puede consultar en el link:</w:t>
      </w:r>
      <w:r w:rsidRPr="002C0EF5">
        <w:rPr>
          <w:rFonts w:ascii="Times New Roman" w:hAnsi="Times New Roman"/>
        </w:rPr>
        <w:t xml:space="preserve"> </w:t>
      </w:r>
      <w:hyperlink r:id="rId1" w:history="1">
        <w:r w:rsidRPr="002C0EF5">
          <w:rPr>
            <w:rStyle w:val="Hipervnculo"/>
            <w:rFonts w:ascii="Times New Roman" w:hAnsi="Times New Roman"/>
          </w:rPr>
          <w:t>https://planea.sep.gob.mx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F1ED12" w14:textId="215EE4FB" w:rsidR="007336D8" w:rsidRDefault="007336D8" w:rsidP="007336D8">
    <w:pPr>
      <w:pStyle w:val="Encabezado"/>
    </w:pPr>
    <w:r w:rsidRPr="002A3D98">
      <w:rPr>
        <w:noProof/>
      </w:rPr>
      <w:drawing>
        <wp:inline distT="0" distB="0" distL="0" distR="0" wp14:anchorId="0CF9DFAE" wp14:editId="6906D081">
          <wp:extent cx="5397500" cy="635000"/>
          <wp:effectExtent l="0" t="0" r="0" b="0"/>
          <wp:docPr id="907204411" name="Imagen 90720441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p w14:paraId="69CBB7C8" w14:textId="77777777" w:rsidR="007336D8" w:rsidRDefault="007336D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3FB7040"/>
    <w:multiLevelType w:val="hybridMultilevel"/>
    <w:tmpl w:val="76FC452E"/>
    <w:lvl w:ilvl="0" w:tplc="200A0001">
      <w:start w:val="1"/>
      <w:numFmt w:val="bullet"/>
      <w:lvlText w:val=""/>
      <w:lvlJc w:val="left"/>
      <w:pPr>
        <w:ind w:left="720" w:hanging="360"/>
      </w:pPr>
      <w:rPr>
        <w:rFonts w:ascii="Symbol" w:hAnsi="Symbol" w:hint="default"/>
      </w:rPr>
    </w:lvl>
    <w:lvl w:ilvl="1" w:tplc="64D23C02">
      <w:numFmt w:val="bullet"/>
      <w:lvlText w:val="-"/>
      <w:lvlJc w:val="left"/>
      <w:pPr>
        <w:ind w:left="1440" w:hanging="360"/>
      </w:pPr>
      <w:rPr>
        <w:rFonts w:ascii="Times New Roman" w:eastAsiaTheme="minorHAnsi" w:hAnsi="Times New Roman" w:cs="Times New Roman"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15:restartNumberingAfterBreak="0">
    <w:nsid w:val="7C760A62"/>
    <w:multiLevelType w:val="hybridMultilevel"/>
    <w:tmpl w:val="09E28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01087580">
    <w:abstractNumId w:val="1"/>
  </w:num>
  <w:num w:numId="2" w16cid:durableId="18256587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171"/>
    <w:rsid w:val="0000467F"/>
    <w:rsid w:val="00006585"/>
    <w:rsid w:val="00012567"/>
    <w:rsid w:val="0001342E"/>
    <w:rsid w:val="00015A63"/>
    <w:rsid w:val="00017576"/>
    <w:rsid w:val="000246E3"/>
    <w:rsid w:val="00024AA3"/>
    <w:rsid w:val="000273AE"/>
    <w:rsid w:val="00027AB1"/>
    <w:rsid w:val="00027CDB"/>
    <w:rsid w:val="00030694"/>
    <w:rsid w:val="00031F09"/>
    <w:rsid w:val="00032743"/>
    <w:rsid w:val="00034E2B"/>
    <w:rsid w:val="00036C2E"/>
    <w:rsid w:val="000405BA"/>
    <w:rsid w:val="00040892"/>
    <w:rsid w:val="000416BF"/>
    <w:rsid w:val="000419D2"/>
    <w:rsid w:val="0004373F"/>
    <w:rsid w:val="00044603"/>
    <w:rsid w:val="000468B9"/>
    <w:rsid w:val="00047FCE"/>
    <w:rsid w:val="00050E44"/>
    <w:rsid w:val="00051422"/>
    <w:rsid w:val="0005151E"/>
    <w:rsid w:val="00051CEC"/>
    <w:rsid w:val="00052EE8"/>
    <w:rsid w:val="00054744"/>
    <w:rsid w:val="00055050"/>
    <w:rsid w:val="00055458"/>
    <w:rsid w:val="00056E12"/>
    <w:rsid w:val="00061E09"/>
    <w:rsid w:val="00063ED8"/>
    <w:rsid w:val="00066B1E"/>
    <w:rsid w:val="000730B8"/>
    <w:rsid w:val="00076B30"/>
    <w:rsid w:val="000771C3"/>
    <w:rsid w:val="0007774D"/>
    <w:rsid w:val="00082EA4"/>
    <w:rsid w:val="00085853"/>
    <w:rsid w:val="00085A4B"/>
    <w:rsid w:val="0009347A"/>
    <w:rsid w:val="00093658"/>
    <w:rsid w:val="00093F76"/>
    <w:rsid w:val="000A5AF0"/>
    <w:rsid w:val="000B2529"/>
    <w:rsid w:val="000B32D3"/>
    <w:rsid w:val="000B57CE"/>
    <w:rsid w:val="000B5C00"/>
    <w:rsid w:val="000C15AF"/>
    <w:rsid w:val="000C35A0"/>
    <w:rsid w:val="000C5665"/>
    <w:rsid w:val="000C6489"/>
    <w:rsid w:val="000C6559"/>
    <w:rsid w:val="000C6AF4"/>
    <w:rsid w:val="000C6C87"/>
    <w:rsid w:val="000C7A1D"/>
    <w:rsid w:val="000D210E"/>
    <w:rsid w:val="000E39B6"/>
    <w:rsid w:val="000E52C3"/>
    <w:rsid w:val="000E5B99"/>
    <w:rsid w:val="000E63FD"/>
    <w:rsid w:val="000F7A47"/>
    <w:rsid w:val="00104241"/>
    <w:rsid w:val="001053BD"/>
    <w:rsid w:val="00106219"/>
    <w:rsid w:val="00117DCA"/>
    <w:rsid w:val="00122B90"/>
    <w:rsid w:val="0012527A"/>
    <w:rsid w:val="001254A5"/>
    <w:rsid w:val="00131EB1"/>
    <w:rsid w:val="00141297"/>
    <w:rsid w:val="0014146D"/>
    <w:rsid w:val="00145E11"/>
    <w:rsid w:val="00146243"/>
    <w:rsid w:val="00154B7D"/>
    <w:rsid w:val="00157526"/>
    <w:rsid w:val="00164F60"/>
    <w:rsid w:val="0016529E"/>
    <w:rsid w:val="0016612D"/>
    <w:rsid w:val="001668DE"/>
    <w:rsid w:val="00170542"/>
    <w:rsid w:val="00170D46"/>
    <w:rsid w:val="001736C2"/>
    <w:rsid w:val="0018557B"/>
    <w:rsid w:val="001916AA"/>
    <w:rsid w:val="001959FF"/>
    <w:rsid w:val="001A0204"/>
    <w:rsid w:val="001A44E7"/>
    <w:rsid w:val="001B6E8A"/>
    <w:rsid w:val="001B7741"/>
    <w:rsid w:val="001B7A61"/>
    <w:rsid w:val="001C0237"/>
    <w:rsid w:val="001C06A3"/>
    <w:rsid w:val="001C2B96"/>
    <w:rsid w:val="001C41E6"/>
    <w:rsid w:val="001C4D2C"/>
    <w:rsid w:val="001D2C65"/>
    <w:rsid w:val="001D3B77"/>
    <w:rsid w:val="001D413E"/>
    <w:rsid w:val="001E33F4"/>
    <w:rsid w:val="001E6F39"/>
    <w:rsid w:val="001F0BE6"/>
    <w:rsid w:val="001F182C"/>
    <w:rsid w:val="001F3187"/>
    <w:rsid w:val="0020485E"/>
    <w:rsid w:val="00206555"/>
    <w:rsid w:val="0021402E"/>
    <w:rsid w:val="0021499E"/>
    <w:rsid w:val="002177A6"/>
    <w:rsid w:val="00220783"/>
    <w:rsid w:val="00221FAE"/>
    <w:rsid w:val="002247BC"/>
    <w:rsid w:val="002255E5"/>
    <w:rsid w:val="0022798D"/>
    <w:rsid w:val="00234559"/>
    <w:rsid w:val="00247C81"/>
    <w:rsid w:val="00251B11"/>
    <w:rsid w:val="00257260"/>
    <w:rsid w:val="00261E98"/>
    <w:rsid w:val="00271A32"/>
    <w:rsid w:val="00274996"/>
    <w:rsid w:val="002751BB"/>
    <w:rsid w:val="00280944"/>
    <w:rsid w:val="00282CCA"/>
    <w:rsid w:val="00283958"/>
    <w:rsid w:val="00294828"/>
    <w:rsid w:val="002A240C"/>
    <w:rsid w:val="002A663E"/>
    <w:rsid w:val="002A77EB"/>
    <w:rsid w:val="002B45FE"/>
    <w:rsid w:val="002B526B"/>
    <w:rsid w:val="002C009E"/>
    <w:rsid w:val="002C0EF5"/>
    <w:rsid w:val="002C2316"/>
    <w:rsid w:val="002C31B4"/>
    <w:rsid w:val="002C31D1"/>
    <w:rsid w:val="002C4A9E"/>
    <w:rsid w:val="002C6DB1"/>
    <w:rsid w:val="002D3E26"/>
    <w:rsid w:val="002D571E"/>
    <w:rsid w:val="002E0CC0"/>
    <w:rsid w:val="002E202E"/>
    <w:rsid w:val="002E2989"/>
    <w:rsid w:val="002E56E0"/>
    <w:rsid w:val="002E5D6A"/>
    <w:rsid w:val="002F123D"/>
    <w:rsid w:val="002F28A8"/>
    <w:rsid w:val="002F4CF0"/>
    <w:rsid w:val="00300D23"/>
    <w:rsid w:val="00303C52"/>
    <w:rsid w:val="00317F74"/>
    <w:rsid w:val="00322490"/>
    <w:rsid w:val="00322F88"/>
    <w:rsid w:val="00327BD5"/>
    <w:rsid w:val="0033002A"/>
    <w:rsid w:val="00331F83"/>
    <w:rsid w:val="00332323"/>
    <w:rsid w:val="00337D9B"/>
    <w:rsid w:val="003411B1"/>
    <w:rsid w:val="00346EC3"/>
    <w:rsid w:val="00347DD9"/>
    <w:rsid w:val="00351190"/>
    <w:rsid w:val="00353343"/>
    <w:rsid w:val="00357D5A"/>
    <w:rsid w:val="00360F42"/>
    <w:rsid w:val="00363184"/>
    <w:rsid w:val="00367DB7"/>
    <w:rsid w:val="0037064F"/>
    <w:rsid w:val="003746BB"/>
    <w:rsid w:val="00374B21"/>
    <w:rsid w:val="00383EAE"/>
    <w:rsid w:val="00386894"/>
    <w:rsid w:val="0039530F"/>
    <w:rsid w:val="003A7CD2"/>
    <w:rsid w:val="003B3CD8"/>
    <w:rsid w:val="003C096C"/>
    <w:rsid w:val="003C1023"/>
    <w:rsid w:val="003C1153"/>
    <w:rsid w:val="003C2461"/>
    <w:rsid w:val="003C49F6"/>
    <w:rsid w:val="003D012A"/>
    <w:rsid w:val="003D2049"/>
    <w:rsid w:val="003D2252"/>
    <w:rsid w:val="003D2567"/>
    <w:rsid w:val="003D4A34"/>
    <w:rsid w:val="003E0091"/>
    <w:rsid w:val="003E2AC4"/>
    <w:rsid w:val="003E5C21"/>
    <w:rsid w:val="003F33F1"/>
    <w:rsid w:val="003F48ED"/>
    <w:rsid w:val="0040452E"/>
    <w:rsid w:val="0040480D"/>
    <w:rsid w:val="00412BB0"/>
    <w:rsid w:val="00412F0D"/>
    <w:rsid w:val="004154E6"/>
    <w:rsid w:val="0041621D"/>
    <w:rsid w:val="00424AD4"/>
    <w:rsid w:val="00425801"/>
    <w:rsid w:val="0042620E"/>
    <w:rsid w:val="00431472"/>
    <w:rsid w:val="00435B5E"/>
    <w:rsid w:val="0044035E"/>
    <w:rsid w:val="004429E5"/>
    <w:rsid w:val="004534B5"/>
    <w:rsid w:val="00465C74"/>
    <w:rsid w:val="00465F4C"/>
    <w:rsid w:val="00471253"/>
    <w:rsid w:val="00471A95"/>
    <w:rsid w:val="00473572"/>
    <w:rsid w:val="00473B0E"/>
    <w:rsid w:val="004754C3"/>
    <w:rsid w:val="00480533"/>
    <w:rsid w:val="00487348"/>
    <w:rsid w:val="0049197B"/>
    <w:rsid w:val="004938ED"/>
    <w:rsid w:val="0049393B"/>
    <w:rsid w:val="004A1EB4"/>
    <w:rsid w:val="004A59E6"/>
    <w:rsid w:val="004A7506"/>
    <w:rsid w:val="004B3587"/>
    <w:rsid w:val="004B61C7"/>
    <w:rsid w:val="004C5F1D"/>
    <w:rsid w:val="004C626E"/>
    <w:rsid w:val="004C7A49"/>
    <w:rsid w:val="004D261F"/>
    <w:rsid w:val="004D2B95"/>
    <w:rsid w:val="004D7031"/>
    <w:rsid w:val="004E4F27"/>
    <w:rsid w:val="004E6D7E"/>
    <w:rsid w:val="004E7769"/>
    <w:rsid w:val="005044AF"/>
    <w:rsid w:val="00510C77"/>
    <w:rsid w:val="005148A0"/>
    <w:rsid w:val="0051722E"/>
    <w:rsid w:val="00520887"/>
    <w:rsid w:val="005232A0"/>
    <w:rsid w:val="00524F70"/>
    <w:rsid w:val="005255F6"/>
    <w:rsid w:val="00526095"/>
    <w:rsid w:val="00526DA7"/>
    <w:rsid w:val="00530FAE"/>
    <w:rsid w:val="0053312A"/>
    <w:rsid w:val="00533171"/>
    <w:rsid w:val="00534895"/>
    <w:rsid w:val="00544340"/>
    <w:rsid w:val="00546DFA"/>
    <w:rsid w:val="005502E3"/>
    <w:rsid w:val="005573C6"/>
    <w:rsid w:val="00561B6E"/>
    <w:rsid w:val="0056276D"/>
    <w:rsid w:val="00562871"/>
    <w:rsid w:val="00564E05"/>
    <w:rsid w:val="00567621"/>
    <w:rsid w:val="00571E25"/>
    <w:rsid w:val="00572C78"/>
    <w:rsid w:val="00573C1E"/>
    <w:rsid w:val="00574D0B"/>
    <w:rsid w:val="005826DC"/>
    <w:rsid w:val="00584856"/>
    <w:rsid w:val="005909BC"/>
    <w:rsid w:val="005940B4"/>
    <w:rsid w:val="00595726"/>
    <w:rsid w:val="00597877"/>
    <w:rsid w:val="00597C77"/>
    <w:rsid w:val="005A22BA"/>
    <w:rsid w:val="005A3010"/>
    <w:rsid w:val="005A52AA"/>
    <w:rsid w:val="005B18B6"/>
    <w:rsid w:val="005B4AC1"/>
    <w:rsid w:val="005B6B96"/>
    <w:rsid w:val="005C0F7A"/>
    <w:rsid w:val="005C1DF9"/>
    <w:rsid w:val="005C307F"/>
    <w:rsid w:val="005C54F9"/>
    <w:rsid w:val="005D02EB"/>
    <w:rsid w:val="005D0484"/>
    <w:rsid w:val="005D215C"/>
    <w:rsid w:val="005D2B89"/>
    <w:rsid w:val="005D3248"/>
    <w:rsid w:val="005D4A66"/>
    <w:rsid w:val="005D7D76"/>
    <w:rsid w:val="005E0625"/>
    <w:rsid w:val="005E7D4E"/>
    <w:rsid w:val="005F2BBA"/>
    <w:rsid w:val="005F6FFA"/>
    <w:rsid w:val="00601D60"/>
    <w:rsid w:val="006058A4"/>
    <w:rsid w:val="00606A0E"/>
    <w:rsid w:val="00610FE9"/>
    <w:rsid w:val="00611829"/>
    <w:rsid w:val="00612925"/>
    <w:rsid w:val="00613E08"/>
    <w:rsid w:val="0061502A"/>
    <w:rsid w:val="0061544E"/>
    <w:rsid w:val="006270FA"/>
    <w:rsid w:val="00645DCD"/>
    <w:rsid w:val="00646118"/>
    <w:rsid w:val="00651464"/>
    <w:rsid w:val="00655192"/>
    <w:rsid w:val="006605FD"/>
    <w:rsid w:val="006678EC"/>
    <w:rsid w:val="00673F50"/>
    <w:rsid w:val="00683303"/>
    <w:rsid w:val="00683714"/>
    <w:rsid w:val="0068790E"/>
    <w:rsid w:val="006A2513"/>
    <w:rsid w:val="006A5F17"/>
    <w:rsid w:val="006B0897"/>
    <w:rsid w:val="006B1970"/>
    <w:rsid w:val="006B2D57"/>
    <w:rsid w:val="006B31D5"/>
    <w:rsid w:val="006C0F97"/>
    <w:rsid w:val="006C1055"/>
    <w:rsid w:val="006D4F1E"/>
    <w:rsid w:val="006E574D"/>
    <w:rsid w:val="006E706D"/>
    <w:rsid w:val="006E76E3"/>
    <w:rsid w:val="006F198B"/>
    <w:rsid w:val="006F4A48"/>
    <w:rsid w:val="006F57DD"/>
    <w:rsid w:val="006F61B5"/>
    <w:rsid w:val="006F6CBE"/>
    <w:rsid w:val="00703EC6"/>
    <w:rsid w:val="00707ACA"/>
    <w:rsid w:val="00711D3D"/>
    <w:rsid w:val="00714054"/>
    <w:rsid w:val="0071448B"/>
    <w:rsid w:val="00722F6B"/>
    <w:rsid w:val="0072567B"/>
    <w:rsid w:val="007275C5"/>
    <w:rsid w:val="00727D78"/>
    <w:rsid w:val="0073265B"/>
    <w:rsid w:val="007336D8"/>
    <w:rsid w:val="007347E9"/>
    <w:rsid w:val="0074113A"/>
    <w:rsid w:val="00750104"/>
    <w:rsid w:val="0075039A"/>
    <w:rsid w:val="007536CB"/>
    <w:rsid w:val="00757BF4"/>
    <w:rsid w:val="00761066"/>
    <w:rsid w:val="00761863"/>
    <w:rsid w:val="007636F0"/>
    <w:rsid w:val="00771A70"/>
    <w:rsid w:val="0078041B"/>
    <w:rsid w:val="007918BF"/>
    <w:rsid w:val="007A1589"/>
    <w:rsid w:val="007B0700"/>
    <w:rsid w:val="007B192F"/>
    <w:rsid w:val="007B7515"/>
    <w:rsid w:val="007B7CC6"/>
    <w:rsid w:val="007C02E9"/>
    <w:rsid w:val="007C0CB8"/>
    <w:rsid w:val="007C2EBD"/>
    <w:rsid w:val="007D2DEF"/>
    <w:rsid w:val="007D48E6"/>
    <w:rsid w:val="007D69DB"/>
    <w:rsid w:val="007D78E2"/>
    <w:rsid w:val="007E3310"/>
    <w:rsid w:val="007E36FC"/>
    <w:rsid w:val="007E41D2"/>
    <w:rsid w:val="007F0316"/>
    <w:rsid w:val="007F3E95"/>
    <w:rsid w:val="007F3EA3"/>
    <w:rsid w:val="007F53F5"/>
    <w:rsid w:val="008037BD"/>
    <w:rsid w:val="00807F50"/>
    <w:rsid w:val="00810C07"/>
    <w:rsid w:val="0082041C"/>
    <w:rsid w:val="00827370"/>
    <w:rsid w:val="00831D72"/>
    <w:rsid w:val="008329ED"/>
    <w:rsid w:val="00833CDB"/>
    <w:rsid w:val="00836AAF"/>
    <w:rsid w:val="008516B8"/>
    <w:rsid w:val="008564BA"/>
    <w:rsid w:val="00871FD5"/>
    <w:rsid w:val="008720CC"/>
    <w:rsid w:val="008721AB"/>
    <w:rsid w:val="008747E1"/>
    <w:rsid w:val="00874B78"/>
    <w:rsid w:val="00880612"/>
    <w:rsid w:val="00880FF4"/>
    <w:rsid w:val="00881BA5"/>
    <w:rsid w:val="00883464"/>
    <w:rsid w:val="00884F2B"/>
    <w:rsid w:val="00886162"/>
    <w:rsid w:val="008A22C7"/>
    <w:rsid w:val="008A3D97"/>
    <w:rsid w:val="008A4EC9"/>
    <w:rsid w:val="008A606F"/>
    <w:rsid w:val="008A77FA"/>
    <w:rsid w:val="008A7C42"/>
    <w:rsid w:val="008B0BDF"/>
    <w:rsid w:val="008B2F3E"/>
    <w:rsid w:val="008B4967"/>
    <w:rsid w:val="008C12EE"/>
    <w:rsid w:val="008C20A1"/>
    <w:rsid w:val="008C401F"/>
    <w:rsid w:val="008C6234"/>
    <w:rsid w:val="008C7D7C"/>
    <w:rsid w:val="008D1986"/>
    <w:rsid w:val="008D5429"/>
    <w:rsid w:val="008E6105"/>
    <w:rsid w:val="008F11C2"/>
    <w:rsid w:val="008F4A30"/>
    <w:rsid w:val="008F7051"/>
    <w:rsid w:val="00902F15"/>
    <w:rsid w:val="009036CF"/>
    <w:rsid w:val="00906787"/>
    <w:rsid w:val="00911674"/>
    <w:rsid w:val="009116EE"/>
    <w:rsid w:val="00912C0C"/>
    <w:rsid w:val="00915267"/>
    <w:rsid w:val="00920513"/>
    <w:rsid w:val="00924797"/>
    <w:rsid w:val="00931F53"/>
    <w:rsid w:val="009338F0"/>
    <w:rsid w:val="00934BD7"/>
    <w:rsid w:val="00935C8E"/>
    <w:rsid w:val="0094650A"/>
    <w:rsid w:val="009553E7"/>
    <w:rsid w:val="009570B4"/>
    <w:rsid w:val="00960D54"/>
    <w:rsid w:val="00961D16"/>
    <w:rsid w:val="00967C47"/>
    <w:rsid w:val="009723EA"/>
    <w:rsid w:val="009726EC"/>
    <w:rsid w:val="00976138"/>
    <w:rsid w:val="009765E3"/>
    <w:rsid w:val="0098495B"/>
    <w:rsid w:val="009A12FE"/>
    <w:rsid w:val="009A2839"/>
    <w:rsid w:val="009A2BE8"/>
    <w:rsid w:val="009A3A2B"/>
    <w:rsid w:val="009A4232"/>
    <w:rsid w:val="009A4EDC"/>
    <w:rsid w:val="009A6E60"/>
    <w:rsid w:val="009B0A39"/>
    <w:rsid w:val="009B214D"/>
    <w:rsid w:val="009B3F73"/>
    <w:rsid w:val="009B4808"/>
    <w:rsid w:val="009B4E84"/>
    <w:rsid w:val="009C2B23"/>
    <w:rsid w:val="009D1EC1"/>
    <w:rsid w:val="009D47B9"/>
    <w:rsid w:val="009D5CEF"/>
    <w:rsid w:val="009D6035"/>
    <w:rsid w:val="009D7947"/>
    <w:rsid w:val="009E35B8"/>
    <w:rsid w:val="009E6215"/>
    <w:rsid w:val="009F0E81"/>
    <w:rsid w:val="009F4CCB"/>
    <w:rsid w:val="009F5B90"/>
    <w:rsid w:val="00A01850"/>
    <w:rsid w:val="00A026A2"/>
    <w:rsid w:val="00A06717"/>
    <w:rsid w:val="00A079B3"/>
    <w:rsid w:val="00A13F31"/>
    <w:rsid w:val="00A1604E"/>
    <w:rsid w:val="00A17156"/>
    <w:rsid w:val="00A23705"/>
    <w:rsid w:val="00A244DE"/>
    <w:rsid w:val="00A24997"/>
    <w:rsid w:val="00A26175"/>
    <w:rsid w:val="00A318EE"/>
    <w:rsid w:val="00A31B6A"/>
    <w:rsid w:val="00A3366F"/>
    <w:rsid w:val="00A351D0"/>
    <w:rsid w:val="00A42623"/>
    <w:rsid w:val="00A44427"/>
    <w:rsid w:val="00A47A24"/>
    <w:rsid w:val="00A47CCE"/>
    <w:rsid w:val="00A611B4"/>
    <w:rsid w:val="00A67CD0"/>
    <w:rsid w:val="00A87C72"/>
    <w:rsid w:val="00A90D5B"/>
    <w:rsid w:val="00A90F46"/>
    <w:rsid w:val="00A941CB"/>
    <w:rsid w:val="00A97F8B"/>
    <w:rsid w:val="00AA6143"/>
    <w:rsid w:val="00AA71C7"/>
    <w:rsid w:val="00AA7C86"/>
    <w:rsid w:val="00AB064E"/>
    <w:rsid w:val="00AB2054"/>
    <w:rsid w:val="00AB2AEA"/>
    <w:rsid w:val="00AB4B42"/>
    <w:rsid w:val="00AC5897"/>
    <w:rsid w:val="00AC70B7"/>
    <w:rsid w:val="00AD268A"/>
    <w:rsid w:val="00AD2B21"/>
    <w:rsid w:val="00AE05F9"/>
    <w:rsid w:val="00AE4B51"/>
    <w:rsid w:val="00AF1796"/>
    <w:rsid w:val="00AF3768"/>
    <w:rsid w:val="00AF71B0"/>
    <w:rsid w:val="00AF762E"/>
    <w:rsid w:val="00B02C31"/>
    <w:rsid w:val="00B030CD"/>
    <w:rsid w:val="00B04320"/>
    <w:rsid w:val="00B0530E"/>
    <w:rsid w:val="00B05FF9"/>
    <w:rsid w:val="00B06230"/>
    <w:rsid w:val="00B11316"/>
    <w:rsid w:val="00B11772"/>
    <w:rsid w:val="00B137BB"/>
    <w:rsid w:val="00B15A33"/>
    <w:rsid w:val="00B164FA"/>
    <w:rsid w:val="00B17871"/>
    <w:rsid w:val="00B21356"/>
    <w:rsid w:val="00B21384"/>
    <w:rsid w:val="00B214B5"/>
    <w:rsid w:val="00B22039"/>
    <w:rsid w:val="00B27CB9"/>
    <w:rsid w:val="00B348CA"/>
    <w:rsid w:val="00B34F3B"/>
    <w:rsid w:val="00B35FE4"/>
    <w:rsid w:val="00B4570A"/>
    <w:rsid w:val="00B45D67"/>
    <w:rsid w:val="00B51114"/>
    <w:rsid w:val="00B514C7"/>
    <w:rsid w:val="00B534AC"/>
    <w:rsid w:val="00B615FD"/>
    <w:rsid w:val="00B6516E"/>
    <w:rsid w:val="00B651BC"/>
    <w:rsid w:val="00B71D5A"/>
    <w:rsid w:val="00B74174"/>
    <w:rsid w:val="00B75E7E"/>
    <w:rsid w:val="00B76E0B"/>
    <w:rsid w:val="00B87E7B"/>
    <w:rsid w:val="00B93CDF"/>
    <w:rsid w:val="00BA3C6E"/>
    <w:rsid w:val="00BA7A36"/>
    <w:rsid w:val="00BB0615"/>
    <w:rsid w:val="00BB26C0"/>
    <w:rsid w:val="00BB4E57"/>
    <w:rsid w:val="00BB6926"/>
    <w:rsid w:val="00BB72E6"/>
    <w:rsid w:val="00BB7FC0"/>
    <w:rsid w:val="00BC09E3"/>
    <w:rsid w:val="00BC1D14"/>
    <w:rsid w:val="00BC2A45"/>
    <w:rsid w:val="00BC3C1D"/>
    <w:rsid w:val="00BC54F1"/>
    <w:rsid w:val="00BC75D3"/>
    <w:rsid w:val="00BC76D1"/>
    <w:rsid w:val="00BD091D"/>
    <w:rsid w:val="00BD6147"/>
    <w:rsid w:val="00BE46E2"/>
    <w:rsid w:val="00BE65CB"/>
    <w:rsid w:val="00BF082F"/>
    <w:rsid w:val="00BF1466"/>
    <w:rsid w:val="00C12D7E"/>
    <w:rsid w:val="00C20E48"/>
    <w:rsid w:val="00C20F1C"/>
    <w:rsid w:val="00C25EE2"/>
    <w:rsid w:val="00C26CFA"/>
    <w:rsid w:val="00C3265F"/>
    <w:rsid w:val="00C3531E"/>
    <w:rsid w:val="00C4011A"/>
    <w:rsid w:val="00C42AA8"/>
    <w:rsid w:val="00C63262"/>
    <w:rsid w:val="00C67C4B"/>
    <w:rsid w:val="00C70C0D"/>
    <w:rsid w:val="00C725AB"/>
    <w:rsid w:val="00C75954"/>
    <w:rsid w:val="00C81CE3"/>
    <w:rsid w:val="00C8428C"/>
    <w:rsid w:val="00C975C6"/>
    <w:rsid w:val="00C97F96"/>
    <w:rsid w:val="00CA4E95"/>
    <w:rsid w:val="00CC04B0"/>
    <w:rsid w:val="00CC6F16"/>
    <w:rsid w:val="00CD0347"/>
    <w:rsid w:val="00CD34C6"/>
    <w:rsid w:val="00CD45CA"/>
    <w:rsid w:val="00CD744F"/>
    <w:rsid w:val="00CE0629"/>
    <w:rsid w:val="00CE23FC"/>
    <w:rsid w:val="00CE2907"/>
    <w:rsid w:val="00CE2BA4"/>
    <w:rsid w:val="00CE5A24"/>
    <w:rsid w:val="00CE6374"/>
    <w:rsid w:val="00CE73DF"/>
    <w:rsid w:val="00CF5022"/>
    <w:rsid w:val="00CF74B0"/>
    <w:rsid w:val="00D0597A"/>
    <w:rsid w:val="00D16188"/>
    <w:rsid w:val="00D2230D"/>
    <w:rsid w:val="00D23EC6"/>
    <w:rsid w:val="00D25914"/>
    <w:rsid w:val="00D30A2F"/>
    <w:rsid w:val="00D31CFF"/>
    <w:rsid w:val="00D361D7"/>
    <w:rsid w:val="00D407EA"/>
    <w:rsid w:val="00D42A1C"/>
    <w:rsid w:val="00D431B2"/>
    <w:rsid w:val="00D44D11"/>
    <w:rsid w:val="00D458D0"/>
    <w:rsid w:val="00D469A0"/>
    <w:rsid w:val="00D50D1C"/>
    <w:rsid w:val="00D54CF1"/>
    <w:rsid w:val="00D555EC"/>
    <w:rsid w:val="00D568C1"/>
    <w:rsid w:val="00D709D1"/>
    <w:rsid w:val="00D71645"/>
    <w:rsid w:val="00D71BBC"/>
    <w:rsid w:val="00D74E15"/>
    <w:rsid w:val="00D7504F"/>
    <w:rsid w:val="00D76EDC"/>
    <w:rsid w:val="00D869FD"/>
    <w:rsid w:val="00D962A4"/>
    <w:rsid w:val="00D97A08"/>
    <w:rsid w:val="00DA27DD"/>
    <w:rsid w:val="00DA43FC"/>
    <w:rsid w:val="00DA491A"/>
    <w:rsid w:val="00DB35E0"/>
    <w:rsid w:val="00DB7725"/>
    <w:rsid w:val="00DB7D21"/>
    <w:rsid w:val="00DC17A0"/>
    <w:rsid w:val="00DC682D"/>
    <w:rsid w:val="00DD05AA"/>
    <w:rsid w:val="00DD0FB6"/>
    <w:rsid w:val="00DD275A"/>
    <w:rsid w:val="00DD2FD1"/>
    <w:rsid w:val="00DD3071"/>
    <w:rsid w:val="00DD345D"/>
    <w:rsid w:val="00DE0677"/>
    <w:rsid w:val="00DE1878"/>
    <w:rsid w:val="00DE4B76"/>
    <w:rsid w:val="00DE4E5D"/>
    <w:rsid w:val="00DE62DE"/>
    <w:rsid w:val="00DF56EC"/>
    <w:rsid w:val="00E012FD"/>
    <w:rsid w:val="00E112C5"/>
    <w:rsid w:val="00E157D9"/>
    <w:rsid w:val="00E16279"/>
    <w:rsid w:val="00E24886"/>
    <w:rsid w:val="00E25625"/>
    <w:rsid w:val="00E2580E"/>
    <w:rsid w:val="00E258F2"/>
    <w:rsid w:val="00E262B2"/>
    <w:rsid w:val="00E3079C"/>
    <w:rsid w:val="00E31B00"/>
    <w:rsid w:val="00E32A6C"/>
    <w:rsid w:val="00E33171"/>
    <w:rsid w:val="00E36FFB"/>
    <w:rsid w:val="00E402C2"/>
    <w:rsid w:val="00E440B7"/>
    <w:rsid w:val="00E5076F"/>
    <w:rsid w:val="00E51082"/>
    <w:rsid w:val="00E5178D"/>
    <w:rsid w:val="00E55395"/>
    <w:rsid w:val="00E55D38"/>
    <w:rsid w:val="00E5700C"/>
    <w:rsid w:val="00E61E61"/>
    <w:rsid w:val="00E63390"/>
    <w:rsid w:val="00E64D9C"/>
    <w:rsid w:val="00E75727"/>
    <w:rsid w:val="00E83C44"/>
    <w:rsid w:val="00E849CD"/>
    <w:rsid w:val="00E87056"/>
    <w:rsid w:val="00E90AE5"/>
    <w:rsid w:val="00E9477E"/>
    <w:rsid w:val="00E95728"/>
    <w:rsid w:val="00E964B8"/>
    <w:rsid w:val="00EA0E31"/>
    <w:rsid w:val="00EA21A9"/>
    <w:rsid w:val="00EA2E0D"/>
    <w:rsid w:val="00EA4127"/>
    <w:rsid w:val="00EA43D0"/>
    <w:rsid w:val="00EA7F49"/>
    <w:rsid w:val="00EB0393"/>
    <w:rsid w:val="00EB2119"/>
    <w:rsid w:val="00EB2A75"/>
    <w:rsid w:val="00EB6D2C"/>
    <w:rsid w:val="00EB7442"/>
    <w:rsid w:val="00EB75ED"/>
    <w:rsid w:val="00EB77AE"/>
    <w:rsid w:val="00EC4939"/>
    <w:rsid w:val="00ED1D6D"/>
    <w:rsid w:val="00EE082F"/>
    <w:rsid w:val="00EE21DE"/>
    <w:rsid w:val="00EE25A0"/>
    <w:rsid w:val="00EE5FEC"/>
    <w:rsid w:val="00EE7BDA"/>
    <w:rsid w:val="00EF01D5"/>
    <w:rsid w:val="00EF1257"/>
    <w:rsid w:val="00EF2FB0"/>
    <w:rsid w:val="00EF3608"/>
    <w:rsid w:val="00EF7CF2"/>
    <w:rsid w:val="00F00945"/>
    <w:rsid w:val="00F0493E"/>
    <w:rsid w:val="00F04F49"/>
    <w:rsid w:val="00F11634"/>
    <w:rsid w:val="00F124D4"/>
    <w:rsid w:val="00F139F0"/>
    <w:rsid w:val="00F156F6"/>
    <w:rsid w:val="00F16E68"/>
    <w:rsid w:val="00F21480"/>
    <w:rsid w:val="00F21F34"/>
    <w:rsid w:val="00F22313"/>
    <w:rsid w:val="00F22E3E"/>
    <w:rsid w:val="00F343CC"/>
    <w:rsid w:val="00F3504B"/>
    <w:rsid w:val="00F378E7"/>
    <w:rsid w:val="00F435D2"/>
    <w:rsid w:val="00F50052"/>
    <w:rsid w:val="00F53A36"/>
    <w:rsid w:val="00F579E5"/>
    <w:rsid w:val="00F61A51"/>
    <w:rsid w:val="00F623CC"/>
    <w:rsid w:val="00F62A2C"/>
    <w:rsid w:val="00F67D03"/>
    <w:rsid w:val="00F74060"/>
    <w:rsid w:val="00F76105"/>
    <w:rsid w:val="00F8312F"/>
    <w:rsid w:val="00F8355E"/>
    <w:rsid w:val="00F8562A"/>
    <w:rsid w:val="00F85F7A"/>
    <w:rsid w:val="00F87081"/>
    <w:rsid w:val="00F95C90"/>
    <w:rsid w:val="00F96022"/>
    <w:rsid w:val="00F962BC"/>
    <w:rsid w:val="00F96927"/>
    <w:rsid w:val="00FA0D70"/>
    <w:rsid w:val="00FA7278"/>
    <w:rsid w:val="00FB1650"/>
    <w:rsid w:val="00FB2AD5"/>
    <w:rsid w:val="00FB3B14"/>
    <w:rsid w:val="00FB45FB"/>
    <w:rsid w:val="00FB5E65"/>
    <w:rsid w:val="00FC08DC"/>
    <w:rsid w:val="00FC3136"/>
    <w:rsid w:val="00FC5B21"/>
    <w:rsid w:val="00FC5B89"/>
    <w:rsid w:val="00FC70A0"/>
    <w:rsid w:val="00FC7F92"/>
    <w:rsid w:val="00FD38D5"/>
    <w:rsid w:val="00FD45F0"/>
    <w:rsid w:val="00FE2FE2"/>
    <w:rsid w:val="00FE4403"/>
    <w:rsid w:val="00FE64CF"/>
    <w:rsid w:val="00FF39FA"/>
    <w:rsid w:val="00FF43D7"/>
    <w:rsid w:val="00FF6188"/>
    <w:rsid w:val="00FF619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AA93B"/>
  <w15:docId w15:val="{88700033-8B04-DF48-BD03-165EA8485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886162"/>
    <w:pPr>
      <w:autoSpaceDE w:val="0"/>
      <w:autoSpaceDN w:val="0"/>
      <w:adjustRightInd w:val="0"/>
      <w:spacing w:after="0" w:line="240" w:lineRule="auto"/>
    </w:pPr>
    <w:rPr>
      <w:rFonts w:ascii="Courier New" w:hAnsi="Courier New" w:cs="Courier New"/>
      <w:color w:val="000000"/>
      <w:sz w:val="28"/>
      <w:szCs w:val="28"/>
    </w:rPr>
  </w:style>
  <w:style w:type="paragraph" w:styleId="Ttulo1">
    <w:name w:val="heading 1"/>
    <w:basedOn w:val="Normal"/>
    <w:next w:val="Normal"/>
    <w:link w:val="Ttulo1Car"/>
    <w:uiPriority w:val="9"/>
    <w:qFormat/>
    <w:rsid w:val="000273A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533171"/>
    <w:pPr>
      <w:autoSpaceDE/>
      <w:autoSpaceDN/>
      <w:adjustRightInd/>
      <w:spacing w:before="100" w:beforeAutospacing="1" w:after="100" w:afterAutospacing="1"/>
    </w:pPr>
    <w:rPr>
      <w:rFonts w:ascii="Times New Roman" w:eastAsia="Times New Roman" w:hAnsi="Times New Roman" w:cs="Times New Roman"/>
      <w:color w:val="auto"/>
      <w:sz w:val="24"/>
      <w:szCs w:val="24"/>
      <w:lang w:val="es-ES" w:eastAsia="es-ES"/>
    </w:rPr>
  </w:style>
  <w:style w:type="paragraph" w:styleId="HTMLconformatoprevio">
    <w:name w:val="HTML Preformatted"/>
    <w:basedOn w:val="Normal"/>
    <w:link w:val="HTMLconformatoprevioCar"/>
    <w:uiPriority w:val="99"/>
    <w:unhideWhenUsed/>
    <w:rsid w:val="00533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eastAsia="Times New Roman"/>
      <w:color w:val="auto"/>
      <w:sz w:val="20"/>
      <w:szCs w:val="20"/>
      <w:lang w:eastAsia="es-MX"/>
    </w:rPr>
  </w:style>
  <w:style w:type="character" w:customStyle="1" w:styleId="HTMLconformatoprevioCar">
    <w:name w:val="HTML con formato previo Car"/>
    <w:basedOn w:val="Fuentedeprrafopredeter"/>
    <w:link w:val="HTMLconformatoprevio"/>
    <w:uiPriority w:val="99"/>
    <w:rsid w:val="00533171"/>
    <w:rPr>
      <w:rFonts w:ascii="Courier New" w:eastAsia="Times New Roman" w:hAnsi="Courier New" w:cs="Courier New"/>
      <w:sz w:val="20"/>
      <w:szCs w:val="20"/>
      <w:lang w:eastAsia="es-MX"/>
    </w:rPr>
  </w:style>
  <w:style w:type="character" w:styleId="Hipervnculo">
    <w:name w:val="Hyperlink"/>
    <w:uiPriority w:val="99"/>
    <w:unhideWhenUsed/>
    <w:rsid w:val="00367DB7"/>
    <w:rPr>
      <w:color w:val="0000FF"/>
      <w:u w:val="single"/>
    </w:rPr>
  </w:style>
  <w:style w:type="paragraph" w:styleId="Encabezado">
    <w:name w:val="header"/>
    <w:basedOn w:val="Normal"/>
    <w:link w:val="EncabezadoCar"/>
    <w:uiPriority w:val="99"/>
    <w:unhideWhenUsed/>
    <w:rsid w:val="00367DB7"/>
    <w:pPr>
      <w:tabs>
        <w:tab w:val="center" w:pos="4252"/>
        <w:tab w:val="right" w:pos="8504"/>
      </w:tabs>
      <w:autoSpaceDE/>
      <w:autoSpaceDN/>
      <w:adjustRightInd/>
    </w:pPr>
    <w:rPr>
      <w:rFonts w:ascii="Calibri" w:eastAsia="Times New Roman" w:hAnsi="Calibri" w:cs="Times New Roman"/>
      <w:color w:val="auto"/>
      <w:sz w:val="22"/>
      <w:szCs w:val="22"/>
      <w:lang w:eastAsia="es-MX"/>
    </w:rPr>
  </w:style>
  <w:style w:type="character" w:customStyle="1" w:styleId="EncabezadoCar">
    <w:name w:val="Encabezado Car"/>
    <w:basedOn w:val="Fuentedeprrafopredeter"/>
    <w:link w:val="Encabezado"/>
    <w:uiPriority w:val="99"/>
    <w:rsid w:val="00367DB7"/>
    <w:rPr>
      <w:rFonts w:ascii="Calibri" w:eastAsia="Times New Roman" w:hAnsi="Calibri" w:cs="Times New Roman"/>
      <w:lang w:eastAsia="es-MX"/>
    </w:rPr>
  </w:style>
  <w:style w:type="paragraph" w:styleId="Textonotapie">
    <w:name w:val="footnote text"/>
    <w:basedOn w:val="Normal"/>
    <w:link w:val="TextonotapieCar"/>
    <w:uiPriority w:val="99"/>
    <w:semiHidden/>
    <w:unhideWhenUsed/>
    <w:rsid w:val="00E24886"/>
    <w:pPr>
      <w:autoSpaceDE/>
      <w:autoSpaceDN/>
      <w:adjustRightInd/>
    </w:pPr>
    <w:rPr>
      <w:rFonts w:ascii="Calibri" w:eastAsia="Times New Roman" w:hAnsi="Calibri" w:cs="Times New Roman"/>
      <w:color w:val="auto"/>
      <w:sz w:val="20"/>
      <w:szCs w:val="20"/>
      <w:lang w:eastAsia="es-MX"/>
    </w:rPr>
  </w:style>
  <w:style w:type="character" w:customStyle="1" w:styleId="TextonotapieCar">
    <w:name w:val="Texto nota pie Car"/>
    <w:basedOn w:val="Fuentedeprrafopredeter"/>
    <w:link w:val="Textonotapie"/>
    <w:uiPriority w:val="99"/>
    <w:semiHidden/>
    <w:rsid w:val="00E24886"/>
    <w:rPr>
      <w:rFonts w:ascii="Calibri" w:eastAsia="Times New Roman" w:hAnsi="Calibri" w:cs="Times New Roman"/>
      <w:sz w:val="20"/>
      <w:szCs w:val="20"/>
      <w:lang w:eastAsia="es-MX"/>
    </w:rPr>
  </w:style>
  <w:style w:type="character" w:styleId="Refdenotaalpie">
    <w:name w:val="footnote reference"/>
    <w:basedOn w:val="Fuentedeprrafopredeter"/>
    <w:uiPriority w:val="99"/>
    <w:semiHidden/>
    <w:unhideWhenUsed/>
    <w:rsid w:val="00E24886"/>
    <w:rPr>
      <w:vertAlign w:val="superscript"/>
    </w:rPr>
  </w:style>
  <w:style w:type="character" w:customStyle="1" w:styleId="Mencinsinresolver1">
    <w:name w:val="Mención sin resolver1"/>
    <w:basedOn w:val="Fuentedeprrafopredeter"/>
    <w:uiPriority w:val="99"/>
    <w:semiHidden/>
    <w:unhideWhenUsed/>
    <w:rsid w:val="0040480D"/>
    <w:rPr>
      <w:color w:val="605E5C"/>
      <w:shd w:val="clear" w:color="auto" w:fill="E1DFDD"/>
    </w:rPr>
  </w:style>
  <w:style w:type="paragraph" w:styleId="Sinespaciado">
    <w:name w:val="No Spacing"/>
    <w:uiPriority w:val="1"/>
    <w:qFormat/>
    <w:rsid w:val="001F3187"/>
    <w:pPr>
      <w:spacing w:after="0" w:line="240" w:lineRule="auto"/>
    </w:pPr>
    <w:rPr>
      <w:rFonts w:ascii="Calibri" w:eastAsia="Times New Roman" w:hAnsi="Calibri" w:cs="Times New Roman"/>
      <w:lang w:eastAsia="es-MX"/>
    </w:rPr>
  </w:style>
  <w:style w:type="character" w:styleId="Textodelmarcadordeposicin">
    <w:name w:val="Placeholder Text"/>
    <w:basedOn w:val="Fuentedeprrafopredeter"/>
    <w:uiPriority w:val="99"/>
    <w:semiHidden/>
    <w:rsid w:val="00ED1D6D"/>
    <w:rPr>
      <w:color w:val="808080"/>
    </w:rPr>
  </w:style>
  <w:style w:type="paragraph" w:styleId="Piedepgina">
    <w:name w:val="footer"/>
    <w:basedOn w:val="Normal"/>
    <w:link w:val="PiedepginaCar"/>
    <w:uiPriority w:val="99"/>
    <w:unhideWhenUsed/>
    <w:rsid w:val="003D2049"/>
    <w:pPr>
      <w:tabs>
        <w:tab w:val="center" w:pos="4419"/>
        <w:tab w:val="right" w:pos="8838"/>
      </w:tabs>
    </w:pPr>
  </w:style>
  <w:style w:type="character" w:customStyle="1" w:styleId="PiedepginaCar">
    <w:name w:val="Pie de página Car"/>
    <w:basedOn w:val="Fuentedeprrafopredeter"/>
    <w:link w:val="Piedepgina"/>
    <w:uiPriority w:val="99"/>
    <w:rsid w:val="003D2049"/>
    <w:rPr>
      <w:rFonts w:ascii="Courier New" w:hAnsi="Courier New" w:cs="Courier New"/>
      <w:color w:val="000000"/>
      <w:sz w:val="28"/>
      <w:szCs w:val="28"/>
    </w:rPr>
  </w:style>
  <w:style w:type="character" w:styleId="Hipervnculovisitado">
    <w:name w:val="FollowedHyperlink"/>
    <w:basedOn w:val="Fuentedeprrafopredeter"/>
    <w:uiPriority w:val="99"/>
    <w:semiHidden/>
    <w:unhideWhenUsed/>
    <w:rsid w:val="004938ED"/>
    <w:rPr>
      <w:color w:val="954F72" w:themeColor="followedHyperlink"/>
      <w:u w:val="single"/>
    </w:rPr>
  </w:style>
  <w:style w:type="paragraph" w:styleId="Prrafodelista">
    <w:name w:val="List Paragraph"/>
    <w:basedOn w:val="Normal"/>
    <w:uiPriority w:val="34"/>
    <w:qFormat/>
    <w:rsid w:val="002B45FE"/>
    <w:pPr>
      <w:autoSpaceDE/>
      <w:autoSpaceDN/>
      <w:adjustRightInd/>
      <w:ind w:left="720"/>
      <w:contextualSpacing/>
    </w:pPr>
    <w:rPr>
      <w:rFonts w:ascii="Times New Roman" w:eastAsia="Times New Roman" w:hAnsi="Times New Roman" w:cs="Times New Roman"/>
      <w:color w:val="auto"/>
      <w:sz w:val="24"/>
      <w:szCs w:val="24"/>
      <w:lang w:val="es-ES" w:eastAsia="es-ES"/>
    </w:rPr>
  </w:style>
  <w:style w:type="character" w:customStyle="1" w:styleId="Ttulo1Car">
    <w:name w:val="Título 1 Car"/>
    <w:basedOn w:val="Fuentedeprrafopredeter"/>
    <w:link w:val="Ttulo1"/>
    <w:uiPriority w:val="9"/>
    <w:rsid w:val="000273AE"/>
    <w:rPr>
      <w:rFonts w:asciiTheme="majorHAnsi" w:eastAsiaTheme="majorEastAsia" w:hAnsiTheme="majorHAnsi" w:cstheme="majorBidi"/>
      <w:color w:val="2F5496" w:themeColor="accent1" w:themeShade="BF"/>
      <w:sz w:val="32"/>
      <w:szCs w:val="32"/>
    </w:rPr>
  </w:style>
  <w:style w:type="paragraph" w:styleId="Bibliografa">
    <w:name w:val="Bibliography"/>
    <w:basedOn w:val="Normal"/>
    <w:next w:val="Normal"/>
    <w:uiPriority w:val="37"/>
    <w:unhideWhenUsed/>
    <w:rsid w:val="00B71D5A"/>
    <w:pPr>
      <w:autoSpaceDE/>
      <w:autoSpaceDN/>
      <w:adjustRightInd/>
    </w:pPr>
    <w:rPr>
      <w:rFonts w:ascii="Arial" w:eastAsia="Times New Roman" w:hAnsi="Arial" w:cs="Times New Roman"/>
      <w:color w:val="auto"/>
      <w:sz w:val="20"/>
      <w:szCs w:val="20"/>
      <w:lang w:val="es-ES_tradnl" w:eastAsia="es-ES"/>
    </w:rPr>
  </w:style>
  <w:style w:type="paragraph" w:styleId="Textodeglobo">
    <w:name w:val="Balloon Text"/>
    <w:basedOn w:val="Normal"/>
    <w:link w:val="TextodegloboCar"/>
    <w:uiPriority w:val="99"/>
    <w:semiHidden/>
    <w:unhideWhenUsed/>
    <w:rsid w:val="00F04F49"/>
    <w:rPr>
      <w:rFonts w:ascii="Tahoma" w:hAnsi="Tahoma" w:cs="Tahoma"/>
      <w:sz w:val="16"/>
      <w:szCs w:val="16"/>
    </w:rPr>
  </w:style>
  <w:style w:type="character" w:customStyle="1" w:styleId="TextodegloboCar">
    <w:name w:val="Texto de globo Car"/>
    <w:basedOn w:val="Fuentedeprrafopredeter"/>
    <w:link w:val="Textodeglobo"/>
    <w:uiPriority w:val="99"/>
    <w:semiHidden/>
    <w:rsid w:val="00F04F49"/>
    <w:rPr>
      <w:rFonts w:ascii="Tahoma" w:hAnsi="Tahoma" w:cs="Tahoma"/>
      <w:color w:val="000000"/>
      <w:sz w:val="16"/>
      <w:szCs w:val="16"/>
    </w:rPr>
  </w:style>
  <w:style w:type="character" w:customStyle="1" w:styleId="y2iqfc">
    <w:name w:val="y2iqfc"/>
    <w:basedOn w:val="Fuentedeprrafopredeter"/>
    <w:rsid w:val="00B22039"/>
  </w:style>
  <w:style w:type="character" w:styleId="Mencinsinresolver">
    <w:name w:val="Unresolved Mention"/>
    <w:basedOn w:val="Fuentedeprrafopredeter"/>
    <w:uiPriority w:val="99"/>
    <w:semiHidden/>
    <w:unhideWhenUsed/>
    <w:rsid w:val="00FA7278"/>
    <w:rPr>
      <w:color w:val="605E5C"/>
      <w:shd w:val="clear" w:color="auto" w:fill="E1DFDD"/>
    </w:rPr>
  </w:style>
  <w:style w:type="character" w:styleId="Refdecomentario">
    <w:name w:val="annotation reference"/>
    <w:basedOn w:val="Fuentedeprrafopredeter"/>
    <w:uiPriority w:val="99"/>
    <w:semiHidden/>
    <w:unhideWhenUsed/>
    <w:rsid w:val="00DE62DE"/>
    <w:rPr>
      <w:sz w:val="16"/>
      <w:szCs w:val="16"/>
    </w:rPr>
  </w:style>
  <w:style w:type="paragraph" w:styleId="Textocomentario">
    <w:name w:val="annotation text"/>
    <w:basedOn w:val="Normal"/>
    <w:link w:val="TextocomentarioCar"/>
    <w:uiPriority w:val="99"/>
    <w:unhideWhenUsed/>
    <w:rsid w:val="00DE62DE"/>
    <w:rPr>
      <w:sz w:val="20"/>
      <w:szCs w:val="20"/>
    </w:rPr>
  </w:style>
  <w:style w:type="character" w:customStyle="1" w:styleId="TextocomentarioCar">
    <w:name w:val="Texto comentario Car"/>
    <w:basedOn w:val="Fuentedeprrafopredeter"/>
    <w:link w:val="Textocomentario"/>
    <w:uiPriority w:val="99"/>
    <w:rsid w:val="00DE62DE"/>
    <w:rPr>
      <w:rFonts w:ascii="Courier New" w:hAnsi="Courier New" w:cs="Courier New"/>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DE62DE"/>
    <w:rPr>
      <w:b/>
      <w:bCs/>
    </w:rPr>
  </w:style>
  <w:style w:type="character" w:customStyle="1" w:styleId="AsuntodelcomentarioCar">
    <w:name w:val="Asunto del comentario Car"/>
    <w:basedOn w:val="TextocomentarioCar"/>
    <w:link w:val="Asuntodelcomentario"/>
    <w:uiPriority w:val="99"/>
    <w:semiHidden/>
    <w:rsid w:val="00DE62DE"/>
    <w:rPr>
      <w:rFonts w:ascii="Courier New" w:hAnsi="Courier New" w:cs="Courier New"/>
      <w:b/>
      <w:bCs/>
      <w:color w:val="000000"/>
      <w:sz w:val="20"/>
      <w:szCs w:val="20"/>
    </w:rPr>
  </w:style>
  <w:style w:type="character" w:styleId="nfasis">
    <w:name w:val="Emphasis"/>
    <w:basedOn w:val="Fuentedeprrafopredeter"/>
    <w:uiPriority w:val="20"/>
    <w:qFormat/>
    <w:rsid w:val="005B18B6"/>
    <w:rPr>
      <w:i/>
      <w:iCs/>
    </w:rPr>
  </w:style>
  <w:style w:type="character" w:customStyle="1" w:styleId="label">
    <w:name w:val="label"/>
    <w:basedOn w:val="Fuentedeprrafopredeter"/>
    <w:rsid w:val="005D02EB"/>
  </w:style>
  <w:style w:type="character" w:customStyle="1" w:styleId="value">
    <w:name w:val="value"/>
    <w:basedOn w:val="Fuentedeprrafopredeter"/>
    <w:rsid w:val="005D02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001449">
      <w:bodyDiv w:val="1"/>
      <w:marLeft w:val="0"/>
      <w:marRight w:val="0"/>
      <w:marTop w:val="0"/>
      <w:marBottom w:val="0"/>
      <w:divBdr>
        <w:top w:val="none" w:sz="0" w:space="0" w:color="auto"/>
        <w:left w:val="none" w:sz="0" w:space="0" w:color="auto"/>
        <w:bottom w:val="none" w:sz="0" w:space="0" w:color="auto"/>
        <w:right w:val="none" w:sz="0" w:space="0" w:color="auto"/>
      </w:divBdr>
    </w:div>
    <w:div w:id="201939939">
      <w:bodyDiv w:val="1"/>
      <w:marLeft w:val="0"/>
      <w:marRight w:val="0"/>
      <w:marTop w:val="0"/>
      <w:marBottom w:val="0"/>
      <w:divBdr>
        <w:top w:val="none" w:sz="0" w:space="0" w:color="auto"/>
        <w:left w:val="none" w:sz="0" w:space="0" w:color="auto"/>
        <w:bottom w:val="none" w:sz="0" w:space="0" w:color="auto"/>
        <w:right w:val="none" w:sz="0" w:space="0" w:color="auto"/>
      </w:divBdr>
    </w:div>
    <w:div w:id="272638421">
      <w:bodyDiv w:val="1"/>
      <w:marLeft w:val="0"/>
      <w:marRight w:val="0"/>
      <w:marTop w:val="0"/>
      <w:marBottom w:val="0"/>
      <w:divBdr>
        <w:top w:val="none" w:sz="0" w:space="0" w:color="auto"/>
        <w:left w:val="none" w:sz="0" w:space="0" w:color="auto"/>
        <w:bottom w:val="none" w:sz="0" w:space="0" w:color="auto"/>
        <w:right w:val="none" w:sz="0" w:space="0" w:color="auto"/>
      </w:divBdr>
    </w:div>
    <w:div w:id="287781491">
      <w:bodyDiv w:val="1"/>
      <w:marLeft w:val="0"/>
      <w:marRight w:val="0"/>
      <w:marTop w:val="0"/>
      <w:marBottom w:val="0"/>
      <w:divBdr>
        <w:top w:val="none" w:sz="0" w:space="0" w:color="auto"/>
        <w:left w:val="none" w:sz="0" w:space="0" w:color="auto"/>
        <w:bottom w:val="none" w:sz="0" w:space="0" w:color="auto"/>
        <w:right w:val="none" w:sz="0" w:space="0" w:color="auto"/>
      </w:divBdr>
    </w:div>
    <w:div w:id="343214920">
      <w:bodyDiv w:val="1"/>
      <w:marLeft w:val="0"/>
      <w:marRight w:val="0"/>
      <w:marTop w:val="0"/>
      <w:marBottom w:val="0"/>
      <w:divBdr>
        <w:top w:val="none" w:sz="0" w:space="0" w:color="auto"/>
        <w:left w:val="none" w:sz="0" w:space="0" w:color="auto"/>
        <w:bottom w:val="none" w:sz="0" w:space="0" w:color="auto"/>
        <w:right w:val="none" w:sz="0" w:space="0" w:color="auto"/>
      </w:divBdr>
    </w:div>
    <w:div w:id="343290387">
      <w:bodyDiv w:val="1"/>
      <w:marLeft w:val="0"/>
      <w:marRight w:val="0"/>
      <w:marTop w:val="0"/>
      <w:marBottom w:val="0"/>
      <w:divBdr>
        <w:top w:val="none" w:sz="0" w:space="0" w:color="auto"/>
        <w:left w:val="none" w:sz="0" w:space="0" w:color="auto"/>
        <w:bottom w:val="none" w:sz="0" w:space="0" w:color="auto"/>
        <w:right w:val="none" w:sz="0" w:space="0" w:color="auto"/>
      </w:divBdr>
    </w:div>
    <w:div w:id="367996805">
      <w:bodyDiv w:val="1"/>
      <w:marLeft w:val="0"/>
      <w:marRight w:val="0"/>
      <w:marTop w:val="0"/>
      <w:marBottom w:val="0"/>
      <w:divBdr>
        <w:top w:val="none" w:sz="0" w:space="0" w:color="auto"/>
        <w:left w:val="none" w:sz="0" w:space="0" w:color="auto"/>
        <w:bottom w:val="none" w:sz="0" w:space="0" w:color="auto"/>
        <w:right w:val="none" w:sz="0" w:space="0" w:color="auto"/>
      </w:divBdr>
    </w:div>
    <w:div w:id="435053143">
      <w:bodyDiv w:val="1"/>
      <w:marLeft w:val="0"/>
      <w:marRight w:val="0"/>
      <w:marTop w:val="0"/>
      <w:marBottom w:val="0"/>
      <w:divBdr>
        <w:top w:val="none" w:sz="0" w:space="0" w:color="auto"/>
        <w:left w:val="none" w:sz="0" w:space="0" w:color="auto"/>
        <w:bottom w:val="none" w:sz="0" w:space="0" w:color="auto"/>
        <w:right w:val="none" w:sz="0" w:space="0" w:color="auto"/>
      </w:divBdr>
    </w:div>
    <w:div w:id="456066617">
      <w:bodyDiv w:val="1"/>
      <w:marLeft w:val="0"/>
      <w:marRight w:val="0"/>
      <w:marTop w:val="0"/>
      <w:marBottom w:val="0"/>
      <w:divBdr>
        <w:top w:val="none" w:sz="0" w:space="0" w:color="auto"/>
        <w:left w:val="none" w:sz="0" w:space="0" w:color="auto"/>
        <w:bottom w:val="none" w:sz="0" w:space="0" w:color="auto"/>
        <w:right w:val="none" w:sz="0" w:space="0" w:color="auto"/>
      </w:divBdr>
    </w:div>
    <w:div w:id="479201106">
      <w:bodyDiv w:val="1"/>
      <w:marLeft w:val="0"/>
      <w:marRight w:val="0"/>
      <w:marTop w:val="0"/>
      <w:marBottom w:val="0"/>
      <w:divBdr>
        <w:top w:val="none" w:sz="0" w:space="0" w:color="auto"/>
        <w:left w:val="none" w:sz="0" w:space="0" w:color="auto"/>
        <w:bottom w:val="none" w:sz="0" w:space="0" w:color="auto"/>
        <w:right w:val="none" w:sz="0" w:space="0" w:color="auto"/>
      </w:divBdr>
    </w:div>
    <w:div w:id="740785807">
      <w:bodyDiv w:val="1"/>
      <w:marLeft w:val="0"/>
      <w:marRight w:val="0"/>
      <w:marTop w:val="0"/>
      <w:marBottom w:val="0"/>
      <w:divBdr>
        <w:top w:val="none" w:sz="0" w:space="0" w:color="auto"/>
        <w:left w:val="none" w:sz="0" w:space="0" w:color="auto"/>
        <w:bottom w:val="none" w:sz="0" w:space="0" w:color="auto"/>
        <w:right w:val="none" w:sz="0" w:space="0" w:color="auto"/>
      </w:divBdr>
    </w:div>
    <w:div w:id="827985753">
      <w:bodyDiv w:val="1"/>
      <w:marLeft w:val="0"/>
      <w:marRight w:val="0"/>
      <w:marTop w:val="0"/>
      <w:marBottom w:val="0"/>
      <w:divBdr>
        <w:top w:val="none" w:sz="0" w:space="0" w:color="auto"/>
        <w:left w:val="none" w:sz="0" w:space="0" w:color="auto"/>
        <w:bottom w:val="none" w:sz="0" w:space="0" w:color="auto"/>
        <w:right w:val="none" w:sz="0" w:space="0" w:color="auto"/>
      </w:divBdr>
    </w:div>
    <w:div w:id="968826928">
      <w:bodyDiv w:val="1"/>
      <w:marLeft w:val="0"/>
      <w:marRight w:val="0"/>
      <w:marTop w:val="0"/>
      <w:marBottom w:val="0"/>
      <w:divBdr>
        <w:top w:val="none" w:sz="0" w:space="0" w:color="auto"/>
        <w:left w:val="none" w:sz="0" w:space="0" w:color="auto"/>
        <w:bottom w:val="none" w:sz="0" w:space="0" w:color="auto"/>
        <w:right w:val="none" w:sz="0" w:space="0" w:color="auto"/>
      </w:divBdr>
    </w:div>
    <w:div w:id="1035081903">
      <w:bodyDiv w:val="1"/>
      <w:marLeft w:val="0"/>
      <w:marRight w:val="0"/>
      <w:marTop w:val="0"/>
      <w:marBottom w:val="0"/>
      <w:divBdr>
        <w:top w:val="none" w:sz="0" w:space="0" w:color="auto"/>
        <w:left w:val="none" w:sz="0" w:space="0" w:color="auto"/>
        <w:bottom w:val="none" w:sz="0" w:space="0" w:color="auto"/>
        <w:right w:val="none" w:sz="0" w:space="0" w:color="auto"/>
      </w:divBdr>
    </w:div>
    <w:div w:id="1040478994">
      <w:bodyDiv w:val="1"/>
      <w:marLeft w:val="0"/>
      <w:marRight w:val="0"/>
      <w:marTop w:val="0"/>
      <w:marBottom w:val="0"/>
      <w:divBdr>
        <w:top w:val="none" w:sz="0" w:space="0" w:color="auto"/>
        <w:left w:val="none" w:sz="0" w:space="0" w:color="auto"/>
        <w:bottom w:val="none" w:sz="0" w:space="0" w:color="auto"/>
        <w:right w:val="none" w:sz="0" w:space="0" w:color="auto"/>
      </w:divBdr>
    </w:div>
    <w:div w:id="1040857663">
      <w:bodyDiv w:val="1"/>
      <w:marLeft w:val="0"/>
      <w:marRight w:val="0"/>
      <w:marTop w:val="0"/>
      <w:marBottom w:val="0"/>
      <w:divBdr>
        <w:top w:val="none" w:sz="0" w:space="0" w:color="auto"/>
        <w:left w:val="none" w:sz="0" w:space="0" w:color="auto"/>
        <w:bottom w:val="none" w:sz="0" w:space="0" w:color="auto"/>
        <w:right w:val="none" w:sz="0" w:space="0" w:color="auto"/>
      </w:divBdr>
    </w:div>
    <w:div w:id="1109858978">
      <w:bodyDiv w:val="1"/>
      <w:marLeft w:val="0"/>
      <w:marRight w:val="0"/>
      <w:marTop w:val="0"/>
      <w:marBottom w:val="0"/>
      <w:divBdr>
        <w:top w:val="none" w:sz="0" w:space="0" w:color="auto"/>
        <w:left w:val="none" w:sz="0" w:space="0" w:color="auto"/>
        <w:bottom w:val="none" w:sz="0" w:space="0" w:color="auto"/>
        <w:right w:val="none" w:sz="0" w:space="0" w:color="auto"/>
      </w:divBdr>
    </w:div>
    <w:div w:id="1200507113">
      <w:bodyDiv w:val="1"/>
      <w:marLeft w:val="0"/>
      <w:marRight w:val="0"/>
      <w:marTop w:val="0"/>
      <w:marBottom w:val="0"/>
      <w:divBdr>
        <w:top w:val="none" w:sz="0" w:space="0" w:color="auto"/>
        <w:left w:val="none" w:sz="0" w:space="0" w:color="auto"/>
        <w:bottom w:val="none" w:sz="0" w:space="0" w:color="auto"/>
        <w:right w:val="none" w:sz="0" w:space="0" w:color="auto"/>
      </w:divBdr>
    </w:div>
    <w:div w:id="1219633589">
      <w:bodyDiv w:val="1"/>
      <w:marLeft w:val="0"/>
      <w:marRight w:val="0"/>
      <w:marTop w:val="0"/>
      <w:marBottom w:val="0"/>
      <w:divBdr>
        <w:top w:val="none" w:sz="0" w:space="0" w:color="auto"/>
        <w:left w:val="none" w:sz="0" w:space="0" w:color="auto"/>
        <w:bottom w:val="none" w:sz="0" w:space="0" w:color="auto"/>
        <w:right w:val="none" w:sz="0" w:space="0" w:color="auto"/>
      </w:divBdr>
    </w:div>
    <w:div w:id="1249267198">
      <w:bodyDiv w:val="1"/>
      <w:marLeft w:val="0"/>
      <w:marRight w:val="0"/>
      <w:marTop w:val="0"/>
      <w:marBottom w:val="0"/>
      <w:divBdr>
        <w:top w:val="none" w:sz="0" w:space="0" w:color="auto"/>
        <w:left w:val="none" w:sz="0" w:space="0" w:color="auto"/>
        <w:bottom w:val="none" w:sz="0" w:space="0" w:color="auto"/>
        <w:right w:val="none" w:sz="0" w:space="0" w:color="auto"/>
      </w:divBdr>
    </w:div>
    <w:div w:id="1303929137">
      <w:bodyDiv w:val="1"/>
      <w:marLeft w:val="0"/>
      <w:marRight w:val="0"/>
      <w:marTop w:val="0"/>
      <w:marBottom w:val="0"/>
      <w:divBdr>
        <w:top w:val="none" w:sz="0" w:space="0" w:color="auto"/>
        <w:left w:val="none" w:sz="0" w:space="0" w:color="auto"/>
        <w:bottom w:val="none" w:sz="0" w:space="0" w:color="auto"/>
        <w:right w:val="none" w:sz="0" w:space="0" w:color="auto"/>
      </w:divBdr>
    </w:div>
    <w:div w:id="1348170146">
      <w:bodyDiv w:val="1"/>
      <w:marLeft w:val="0"/>
      <w:marRight w:val="0"/>
      <w:marTop w:val="0"/>
      <w:marBottom w:val="0"/>
      <w:divBdr>
        <w:top w:val="none" w:sz="0" w:space="0" w:color="auto"/>
        <w:left w:val="none" w:sz="0" w:space="0" w:color="auto"/>
        <w:bottom w:val="none" w:sz="0" w:space="0" w:color="auto"/>
        <w:right w:val="none" w:sz="0" w:space="0" w:color="auto"/>
      </w:divBdr>
    </w:div>
    <w:div w:id="1364669234">
      <w:bodyDiv w:val="1"/>
      <w:marLeft w:val="0"/>
      <w:marRight w:val="0"/>
      <w:marTop w:val="0"/>
      <w:marBottom w:val="0"/>
      <w:divBdr>
        <w:top w:val="none" w:sz="0" w:space="0" w:color="auto"/>
        <w:left w:val="none" w:sz="0" w:space="0" w:color="auto"/>
        <w:bottom w:val="none" w:sz="0" w:space="0" w:color="auto"/>
        <w:right w:val="none" w:sz="0" w:space="0" w:color="auto"/>
      </w:divBdr>
    </w:div>
    <w:div w:id="1536238359">
      <w:bodyDiv w:val="1"/>
      <w:marLeft w:val="0"/>
      <w:marRight w:val="0"/>
      <w:marTop w:val="0"/>
      <w:marBottom w:val="0"/>
      <w:divBdr>
        <w:top w:val="none" w:sz="0" w:space="0" w:color="auto"/>
        <w:left w:val="none" w:sz="0" w:space="0" w:color="auto"/>
        <w:bottom w:val="none" w:sz="0" w:space="0" w:color="auto"/>
        <w:right w:val="none" w:sz="0" w:space="0" w:color="auto"/>
      </w:divBdr>
    </w:div>
    <w:div w:id="1586765728">
      <w:bodyDiv w:val="1"/>
      <w:marLeft w:val="0"/>
      <w:marRight w:val="0"/>
      <w:marTop w:val="0"/>
      <w:marBottom w:val="0"/>
      <w:divBdr>
        <w:top w:val="none" w:sz="0" w:space="0" w:color="auto"/>
        <w:left w:val="none" w:sz="0" w:space="0" w:color="auto"/>
        <w:bottom w:val="none" w:sz="0" w:space="0" w:color="auto"/>
        <w:right w:val="none" w:sz="0" w:space="0" w:color="auto"/>
      </w:divBdr>
      <w:divsChild>
        <w:div w:id="1711222753">
          <w:marLeft w:val="0"/>
          <w:marRight w:val="0"/>
          <w:marTop w:val="0"/>
          <w:marBottom w:val="0"/>
          <w:divBdr>
            <w:top w:val="none" w:sz="0" w:space="0" w:color="auto"/>
            <w:left w:val="none" w:sz="0" w:space="0" w:color="auto"/>
            <w:bottom w:val="none" w:sz="0" w:space="0" w:color="auto"/>
            <w:right w:val="none" w:sz="0" w:space="0" w:color="auto"/>
          </w:divBdr>
          <w:divsChild>
            <w:div w:id="1751541189">
              <w:marLeft w:val="0"/>
              <w:marRight w:val="0"/>
              <w:marTop w:val="0"/>
              <w:marBottom w:val="0"/>
              <w:divBdr>
                <w:top w:val="none" w:sz="0" w:space="0" w:color="auto"/>
                <w:left w:val="none" w:sz="0" w:space="0" w:color="auto"/>
                <w:bottom w:val="none" w:sz="0" w:space="0" w:color="auto"/>
                <w:right w:val="none" w:sz="0" w:space="0" w:color="auto"/>
              </w:divBdr>
              <w:divsChild>
                <w:div w:id="815336792">
                  <w:marLeft w:val="0"/>
                  <w:marRight w:val="0"/>
                  <w:marTop w:val="0"/>
                  <w:marBottom w:val="0"/>
                  <w:divBdr>
                    <w:top w:val="none" w:sz="0" w:space="0" w:color="auto"/>
                    <w:left w:val="none" w:sz="0" w:space="0" w:color="auto"/>
                    <w:bottom w:val="none" w:sz="0" w:space="0" w:color="auto"/>
                    <w:right w:val="none" w:sz="0" w:space="0" w:color="auto"/>
                  </w:divBdr>
                  <w:divsChild>
                    <w:div w:id="134724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329285">
      <w:bodyDiv w:val="1"/>
      <w:marLeft w:val="0"/>
      <w:marRight w:val="0"/>
      <w:marTop w:val="0"/>
      <w:marBottom w:val="0"/>
      <w:divBdr>
        <w:top w:val="none" w:sz="0" w:space="0" w:color="auto"/>
        <w:left w:val="none" w:sz="0" w:space="0" w:color="auto"/>
        <w:bottom w:val="none" w:sz="0" w:space="0" w:color="auto"/>
        <w:right w:val="none" w:sz="0" w:space="0" w:color="auto"/>
      </w:divBdr>
    </w:div>
    <w:div w:id="1876112602">
      <w:bodyDiv w:val="1"/>
      <w:marLeft w:val="0"/>
      <w:marRight w:val="0"/>
      <w:marTop w:val="0"/>
      <w:marBottom w:val="0"/>
      <w:divBdr>
        <w:top w:val="none" w:sz="0" w:space="0" w:color="auto"/>
        <w:left w:val="none" w:sz="0" w:space="0" w:color="auto"/>
        <w:bottom w:val="none" w:sz="0" w:space="0" w:color="auto"/>
        <w:right w:val="none" w:sz="0" w:space="0" w:color="auto"/>
      </w:divBdr>
    </w:div>
    <w:div w:id="1895384912">
      <w:bodyDiv w:val="1"/>
      <w:marLeft w:val="0"/>
      <w:marRight w:val="0"/>
      <w:marTop w:val="0"/>
      <w:marBottom w:val="0"/>
      <w:divBdr>
        <w:top w:val="none" w:sz="0" w:space="0" w:color="auto"/>
        <w:left w:val="none" w:sz="0" w:space="0" w:color="auto"/>
        <w:bottom w:val="none" w:sz="0" w:space="0" w:color="auto"/>
        <w:right w:val="none" w:sz="0" w:space="0" w:color="auto"/>
      </w:divBdr>
    </w:div>
    <w:div w:id="1896503617">
      <w:bodyDiv w:val="1"/>
      <w:marLeft w:val="0"/>
      <w:marRight w:val="0"/>
      <w:marTop w:val="0"/>
      <w:marBottom w:val="0"/>
      <w:divBdr>
        <w:top w:val="none" w:sz="0" w:space="0" w:color="auto"/>
        <w:left w:val="none" w:sz="0" w:space="0" w:color="auto"/>
        <w:bottom w:val="none" w:sz="0" w:space="0" w:color="auto"/>
        <w:right w:val="none" w:sz="0" w:space="0" w:color="auto"/>
      </w:divBdr>
    </w:div>
    <w:div w:id="1949697849">
      <w:bodyDiv w:val="1"/>
      <w:marLeft w:val="0"/>
      <w:marRight w:val="0"/>
      <w:marTop w:val="0"/>
      <w:marBottom w:val="0"/>
      <w:divBdr>
        <w:top w:val="none" w:sz="0" w:space="0" w:color="auto"/>
        <w:left w:val="none" w:sz="0" w:space="0" w:color="auto"/>
        <w:bottom w:val="none" w:sz="0" w:space="0" w:color="auto"/>
        <w:right w:val="none" w:sz="0" w:space="0" w:color="auto"/>
      </w:divBdr>
    </w:div>
    <w:div w:id="1953392089">
      <w:bodyDiv w:val="1"/>
      <w:marLeft w:val="0"/>
      <w:marRight w:val="0"/>
      <w:marTop w:val="0"/>
      <w:marBottom w:val="0"/>
      <w:divBdr>
        <w:top w:val="none" w:sz="0" w:space="0" w:color="auto"/>
        <w:left w:val="none" w:sz="0" w:space="0" w:color="auto"/>
        <w:bottom w:val="none" w:sz="0" w:space="0" w:color="auto"/>
        <w:right w:val="none" w:sz="0" w:space="0" w:color="auto"/>
      </w:divBdr>
    </w:div>
    <w:div w:id="1972320361">
      <w:bodyDiv w:val="1"/>
      <w:marLeft w:val="0"/>
      <w:marRight w:val="0"/>
      <w:marTop w:val="0"/>
      <w:marBottom w:val="0"/>
      <w:divBdr>
        <w:top w:val="none" w:sz="0" w:space="0" w:color="auto"/>
        <w:left w:val="none" w:sz="0" w:space="0" w:color="auto"/>
        <w:bottom w:val="none" w:sz="0" w:space="0" w:color="auto"/>
        <w:right w:val="none" w:sz="0" w:space="0" w:color="auto"/>
      </w:divBdr>
    </w:div>
    <w:div w:id="2090230425">
      <w:bodyDiv w:val="1"/>
      <w:marLeft w:val="0"/>
      <w:marRight w:val="0"/>
      <w:marTop w:val="0"/>
      <w:marBottom w:val="0"/>
      <w:divBdr>
        <w:top w:val="none" w:sz="0" w:space="0" w:color="auto"/>
        <w:left w:val="none" w:sz="0" w:space="0" w:color="auto"/>
        <w:bottom w:val="none" w:sz="0" w:space="0" w:color="auto"/>
        <w:right w:val="none" w:sz="0" w:space="0" w:color="auto"/>
      </w:divBdr>
    </w:div>
    <w:div w:id="2101028089">
      <w:bodyDiv w:val="1"/>
      <w:marLeft w:val="0"/>
      <w:marRight w:val="0"/>
      <w:marTop w:val="0"/>
      <w:marBottom w:val="0"/>
      <w:divBdr>
        <w:top w:val="none" w:sz="0" w:space="0" w:color="auto"/>
        <w:left w:val="none" w:sz="0" w:space="0" w:color="auto"/>
        <w:bottom w:val="none" w:sz="0" w:space="0" w:color="auto"/>
        <w:right w:val="none" w:sz="0" w:space="0" w:color="auto"/>
      </w:divBdr>
    </w:div>
    <w:div w:id="2102138811">
      <w:bodyDiv w:val="1"/>
      <w:marLeft w:val="0"/>
      <w:marRight w:val="0"/>
      <w:marTop w:val="0"/>
      <w:marBottom w:val="0"/>
      <w:divBdr>
        <w:top w:val="none" w:sz="0" w:space="0" w:color="auto"/>
        <w:left w:val="none" w:sz="0" w:space="0" w:color="auto"/>
        <w:bottom w:val="none" w:sz="0" w:space="0" w:color="auto"/>
        <w:right w:val="none" w:sz="0" w:space="0" w:color="auto"/>
      </w:divBdr>
    </w:div>
    <w:div w:id="212900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planea.sep.gob.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Users\oscarcarballoaguilar\Desktop\2024\ARTICULO%20IMPACTO%20DE%20LA%20COMPRENSION%20LECTORA\PROYECTO%20COMPRENSION%20LECTORA%20Y%20MATEMATICAS\prueba-t.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oscarcarballoaguilar\Desktop\2024\ARTICULO%20IMPACTO%20DE%20LA%20COMPRENSION%20LECTORA\PROYECTO%20COMPRENSION%20LECTORA%20Y%20MATEMATICAS\prueba-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5B9BD5"/>
            </a:solidFill>
            <a:ln w="25400">
              <a:noFill/>
            </a:ln>
          </c:spPr>
          <c:invertIfNegative val="0"/>
          <c:cat>
            <c:strRef>
              <c:f>'prueba t (2)'!$D$5:$D$12</c:f>
              <c:strCache>
                <c:ptCount val="8"/>
                <c:pt idx="0">
                  <c:v>"10-12</c:v>
                </c:pt>
                <c:pt idx="1">
                  <c:v>"13-15</c:v>
                </c:pt>
                <c:pt idx="2">
                  <c:v>"16-18</c:v>
                </c:pt>
                <c:pt idx="3">
                  <c:v>"19-21</c:v>
                </c:pt>
                <c:pt idx="4">
                  <c:v>"22-24</c:v>
                </c:pt>
                <c:pt idx="5">
                  <c:v>"25-27</c:v>
                </c:pt>
                <c:pt idx="6">
                  <c:v>"28-30</c:v>
                </c:pt>
                <c:pt idx="7">
                  <c:v>"31-34</c:v>
                </c:pt>
              </c:strCache>
            </c:strRef>
          </c:cat>
          <c:val>
            <c:numRef>
              <c:f>'prueba t (2)'!$E$5:$E$12</c:f>
              <c:numCache>
                <c:formatCode>General</c:formatCode>
                <c:ptCount val="8"/>
                <c:pt idx="0">
                  <c:v>7</c:v>
                </c:pt>
                <c:pt idx="1">
                  <c:v>5</c:v>
                </c:pt>
                <c:pt idx="2">
                  <c:v>14</c:v>
                </c:pt>
                <c:pt idx="3">
                  <c:v>24</c:v>
                </c:pt>
                <c:pt idx="4">
                  <c:v>24</c:v>
                </c:pt>
                <c:pt idx="5">
                  <c:v>18</c:v>
                </c:pt>
                <c:pt idx="6">
                  <c:v>14</c:v>
                </c:pt>
                <c:pt idx="7">
                  <c:v>7</c:v>
                </c:pt>
              </c:numCache>
            </c:numRef>
          </c:val>
          <c:extLst>
            <c:ext xmlns:c16="http://schemas.microsoft.com/office/drawing/2014/chart" uri="{C3380CC4-5D6E-409C-BE32-E72D297353CC}">
              <c16:uniqueId val="{00000000-684C-E746-980D-1B2BB24C84F9}"/>
            </c:ext>
          </c:extLst>
        </c:ser>
        <c:dLbls>
          <c:showLegendKey val="0"/>
          <c:showVal val="0"/>
          <c:showCatName val="0"/>
          <c:showSerName val="0"/>
          <c:showPercent val="0"/>
          <c:showBubbleSize val="0"/>
        </c:dLbls>
        <c:gapWidth val="219"/>
        <c:overlap val="-27"/>
        <c:axId val="22056464"/>
        <c:axId val="1"/>
      </c:barChart>
      <c:catAx>
        <c:axId val="22056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sz="1000"/>
                  <a:t>No. de aciertos</a:t>
                </a:r>
              </a:p>
            </c:rich>
          </c:tx>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Frecuencia</a:t>
                </a:r>
              </a:p>
            </c:rich>
          </c:tx>
          <c:overlay val="0"/>
          <c:spPr>
            <a:noFill/>
            <a:ln w="25400">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205646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5B9BD5"/>
            </a:solidFill>
            <a:ln w="25400">
              <a:noFill/>
            </a:ln>
          </c:spPr>
          <c:invertIfNegative val="0"/>
          <c:cat>
            <c:strRef>
              <c:f>'prueba t (2)'!$D$35:$D$44</c:f>
              <c:strCache>
                <c:ptCount val="10"/>
                <c:pt idx="0">
                  <c:v>"9-11</c:v>
                </c:pt>
                <c:pt idx="1">
                  <c:v>"12-14</c:v>
                </c:pt>
                <c:pt idx="2">
                  <c:v>"15-17</c:v>
                </c:pt>
                <c:pt idx="3">
                  <c:v>"19-21</c:v>
                </c:pt>
                <c:pt idx="4">
                  <c:v>"22-24</c:v>
                </c:pt>
                <c:pt idx="5">
                  <c:v>"25-27</c:v>
                </c:pt>
                <c:pt idx="6">
                  <c:v>"28-30</c:v>
                </c:pt>
                <c:pt idx="7">
                  <c:v>"31-34</c:v>
                </c:pt>
                <c:pt idx="8">
                  <c:v>"35-37</c:v>
                </c:pt>
                <c:pt idx="9">
                  <c:v>"38-40</c:v>
                </c:pt>
              </c:strCache>
            </c:strRef>
          </c:cat>
          <c:val>
            <c:numRef>
              <c:f>'prueba t (2)'!$E$35:$E$44</c:f>
              <c:numCache>
                <c:formatCode>General</c:formatCode>
                <c:ptCount val="10"/>
                <c:pt idx="0">
                  <c:v>10</c:v>
                </c:pt>
                <c:pt idx="1">
                  <c:v>21</c:v>
                </c:pt>
                <c:pt idx="2">
                  <c:v>31</c:v>
                </c:pt>
                <c:pt idx="3">
                  <c:v>13</c:v>
                </c:pt>
                <c:pt idx="4">
                  <c:v>7</c:v>
                </c:pt>
                <c:pt idx="5">
                  <c:v>2</c:v>
                </c:pt>
                <c:pt idx="6">
                  <c:v>8</c:v>
                </c:pt>
                <c:pt idx="7">
                  <c:v>6</c:v>
                </c:pt>
                <c:pt idx="8">
                  <c:v>4</c:v>
                </c:pt>
                <c:pt idx="9">
                  <c:v>2</c:v>
                </c:pt>
              </c:numCache>
            </c:numRef>
          </c:val>
          <c:extLst>
            <c:ext xmlns:c16="http://schemas.microsoft.com/office/drawing/2014/chart" uri="{C3380CC4-5D6E-409C-BE32-E72D297353CC}">
              <c16:uniqueId val="{00000000-8990-9347-B9AC-1A0804661F80}"/>
            </c:ext>
          </c:extLst>
        </c:ser>
        <c:dLbls>
          <c:showLegendKey val="0"/>
          <c:showVal val="0"/>
          <c:showCatName val="0"/>
          <c:showSerName val="0"/>
          <c:showPercent val="0"/>
          <c:showBubbleSize val="0"/>
        </c:dLbls>
        <c:gapWidth val="219"/>
        <c:overlap val="-27"/>
        <c:axId val="22096928"/>
        <c:axId val="1"/>
      </c:barChart>
      <c:catAx>
        <c:axId val="220969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No. de aciertos</a:t>
                </a:r>
                <a:r>
                  <a:rPr lang="es-MX" baseline="0"/>
                  <a:t> en matemáticas</a:t>
                </a:r>
                <a:endParaRPr lang="es-MX"/>
              </a:p>
            </c:rich>
          </c:tx>
          <c:overlay val="0"/>
          <c:spPr>
            <a:noFill/>
            <a:ln w="25400">
              <a:noFill/>
            </a:ln>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
        <c:crosses val="autoZero"/>
        <c:auto val="1"/>
        <c:lblAlgn val="ctr"/>
        <c:lblOffset val="100"/>
        <c:noMultiLvlLbl val="0"/>
      </c:catAx>
      <c:valAx>
        <c:axId val="1"/>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Frecuencias</a:t>
                </a:r>
              </a:p>
            </c:rich>
          </c:tx>
          <c:overlay val="0"/>
          <c:spPr>
            <a:noFill/>
            <a:ln w="25400">
              <a:noFill/>
            </a:ln>
          </c:spPr>
        </c:title>
        <c:numFmt formatCode="General" sourceLinked="1"/>
        <c:majorTickMark val="out"/>
        <c:minorTickMark val="none"/>
        <c:tickLblPos val="nextTo"/>
        <c:crossAx val="2209692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Dou12</b:Tag>
    <b:SourceType>Book</b:SourceType>
    <b:Guid>{D4D29F15-06F6-4B18-9566-D06E61ED3CEA}</b:Guid>
    <b:LCID>es-MX</b:LCID>
    <b:Author>
      <b:Author>
        <b:Corporate>Douglas, A. Lind</b:Corporate>
      </b:Author>
    </b:Author>
    <b:Title>Estadistica Aplicada alos negocios y la economia</b:Title>
    <b:Year>2012</b:Year>
    <b:City>Mexico</b:City>
    <b:Publisher>McGrawHill</b:Publisher>
    <b:RefOrder>3</b:RefOrder>
  </b:Source>
  <b:Source>
    <b:Tag>Ric091</b:Tag>
    <b:SourceType>Book</b:SourceType>
    <b:Guid>{00DBEFA9-C85D-7444-A6FC-EB2FC73F23DA}</b:Guid>
    <b:Author>
      <b:Author>
        <b:NameList>
          <b:Person>
            <b:Last>Weimer</b:Last>
            <b:First>Richard</b:First>
            <b:Middle>C.</b:Middle>
          </b:Person>
        </b:NameList>
      </b:Author>
    </b:Author>
    <b:Title>Estadística</b:Title>
    <b:City>México</b:City>
    <b:Publisher>Grupo Editorial Patria</b:Publisher>
    <b:Year>2009</b:Year>
    <b:RefOrder>4</b:RefOrder>
  </b:Source>
  <b:Source>
    <b:Tag>And99</b:Tag>
    <b:SourceType>Book</b:SourceType>
    <b:Guid>{5A7215F1-A977-5846-9773-202CE3CB28C0}</b:Guid>
    <b:Title>Estadística para administración y economía</b:Title>
    <b:City>México</b:City>
    <b:Publisher>International Thomson</b:Publisher>
    <b:Year>1999</b:Year>
    <b:Author>
      <b:Author>
        <b:NameList>
          <b:Person>
            <b:Last>Anderson</b:Last>
            <b:First>D</b:First>
          </b:Person>
        </b:NameList>
      </b:Author>
    </b:Author>
    <b:RefOrder>5</b:RefOrder>
  </b:Source>
  <b:Source>
    <b:Tag>Bar15</b:Tag>
    <b:SourceType>JournalArticle</b:SourceType>
    <b:Guid>{7251F52C-1540-E148-A1A8-6F686C47DCF5}</b:Guid>
    <b:Title>Comprensión Lectora y Resolución de Problemas Matemáticos en Alumnos de Tercer Grado de Primaria en una Institución Educativa Estatal de Barranco.</b:Title>
    <b:Year>2015</b:Year>
    <b:Author>
      <b:Author>
        <b:NameList>
          <b:Person>
            <b:Last>Barrientos</b:Last>
            <b:First>I</b:First>
          </b:Person>
        </b:NameList>
      </b:Author>
    </b:Author>
    <b:JournalName>Universidad Ricardo Palma. Lima, Perú</b:JournalName>
    <b:RefOrder>6</b:RefOrder>
  </b:Source>
  <b:Source>
    <b:Tag>Bas12</b:Tag>
    <b:SourceType>JournalArticle</b:SourceType>
    <b:Guid>{0BD22B57-61CA-5A48-8E3A-08F77DADA90B}</b:Guid>
    <b:Title>Relación entre Compresnión Lectora y resolución de problemas matemáticos en estudiantes de sexto grado de primaria de las instituciones educativas públicas del Consejo Educativo Municipal de La Molina 2011</b:Title>
    <b:JournalName>Universidad Nacional Mayor de San Marcos. Lima, Perú</b:JournalName>
    <b:Year>2012</b:Year>
    <b:Author>
      <b:Author>
        <b:NameList>
          <b:Person>
            <b:Last>Bastiand</b:Last>
            <b:First>M</b:First>
          </b:Person>
        </b:NameList>
      </b:Author>
    </b:Author>
    <b:RefOrder>7</b:RefOrder>
  </b:Source>
  <b:Source>
    <b:Tag>Bau15</b:Tag>
    <b:SourceType>JournalArticle</b:SourceType>
    <b:Guid>{499F61E4-C9E7-3545-9CA9-E4F6E5721E21}</b:Guid>
    <b:Title>Uso de mediaciones tecnólogicas para mejorar el nivel de Comprensión Lectora</b:Title>
    <b:JournalName>Tesis de Grado. Universidad Nacional Abierta y a Distancia, UNAD. ESpecialización en Educación Superior a Distancia. Escuela Ciencias de la Educación ECEDU. Boyacá, Colombia</b:JournalName>
    <b:Year>2015</b:Year>
    <b:Author>
      <b:Author>
        <b:NameList>
          <b:Person>
            <b:Last>Bautista Ramos</b:Last>
            <b:First>D</b:First>
          </b:Person>
        </b:NameList>
      </b:Author>
    </b:Author>
    <b:RefOrder>8</b:RefOrder>
  </b:Source>
  <b:Source>
    <b:Tag>Can05</b:Tag>
    <b:SourceType>JournalArticle</b:SourceType>
    <b:Guid>{D84FB4F4-7201-D544-8EAC-404FFC6D9C02}</b:Guid>
    <b:Title>Procesos cognitivos y estrategias psicolinguísticas que intervienen en la lectura comprensiva: diseño y ejecución de un programa experimental en niños con problemas de aprednizaje. </b:Title>
    <b:JournalName>Universidad Nacional Mayor de San Marcos</b:JournalName>
    <b:Year>2005</b:Year>
    <b:Author>
      <b:Author>
        <b:NameList>
          <b:Person>
            <b:Last>Canales</b:Last>
            <b:First>R</b:First>
          </b:Person>
        </b:NameList>
      </b:Author>
    </b:Author>
    <b:RefOrder>9</b:RefOrder>
  </b:Source>
  <b:Source>
    <b:Tag>Cal04</b:Tag>
    <b:SourceType>JournalArticle</b:SourceType>
    <b:Guid>{88959440-8FF6-6049-8DE3-8CBD7C5A2F6C}</b:Guid>
    <b:Title>Efectos del programa recuperativo: "Podemos reoslverlo" para el mejoramiento de la resolucion de problemas matematicos en alumnos que presentan niveles medios y bajos en comprension lectora.</b:Title>
    <b:JournalName>Tesis para obtener el grado academico de maestro en educacion con mencion ern problemas de aprendizaje. Universidad Femenina del sagrado corazon. Lima, Peru</b:JournalName>
    <b:Year>2004</b:Year>
    <b:Author>
      <b:Author>
        <b:NameList>
          <b:Person>
            <b:Last>Calderon</b:Last>
            <b:First>R</b:First>
          </b:Person>
          <b:Person>
            <b:Last>Lamonja</b:Last>
            <b:First>F</b:First>
          </b:Person>
          <b:Person>
            <b:Last>Paucar</b:Last>
            <b:First>H</b:First>
          </b:Person>
        </b:NameList>
      </b:Author>
    </b:Author>
    <b:RefOrder>10</b:RefOrder>
  </b:Source>
  <b:Source>
    <b:Tag>Goo</b:Tag>
    <b:SourceType>Book</b:SourceType>
    <b:Guid>{B7EFCB29-B34F-964B-8C27-58DC1468FD9F}</b:Guid>
    <b:Title>El proceso de la lectura: consideraciones a traves </b:Title>
    <b:Author>
      <b:Author>
        <b:NameList>
          <b:Person>
            <b:Last>Goodman</b:Last>
            <b:First>K</b:First>
          </b:Person>
        </b:NameList>
      </b:Author>
    </b:Author>
    <b:RefOrder>2</b:RefOrder>
  </b:Source>
  <b:Source>
    <b:Tag>Goo82</b:Tag>
    <b:SourceType>Book</b:SourceType>
    <b:Guid>{89E76CF6-9C55-9A43-A602-2944F55986D9}</b:Guid>
    <b:Title>El proceso de la lectura: Consideraciones a través de las lenguas y el desarrollo. En ferreiro y Gómez Palacio. Nuevas perspectivas sobre los procesos de lectura y escritura</b:Title>
    <b:City>México</b:City>
    <b:Publisher>Siglo XXI</b:Publisher>
    <b:Year>1982</b:Year>
    <b:Author>
      <b:Author>
        <b:NameList>
          <b:Person>
            <b:Last>Goodman</b:Last>
            <b:First>K</b:First>
          </b:Person>
        </b:NameList>
      </b:Author>
    </b:Author>
    <b:RefOrder>1</b:RefOrder>
  </b:Source>
</b:Sources>
</file>

<file path=customXml/itemProps1.xml><?xml version="1.0" encoding="utf-8"?>
<ds:datastoreItem xmlns:ds="http://schemas.openxmlformats.org/officeDocument/2006/customXml" ds:itemID="{D995A6D8-63CC-0248-814D-B8AE8FC65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14</Pages>
  <Words>4174</Words>
  <Characters>22957</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 González Niño</dc:creator>
  <cp:lastModifiedBy>Gustavo Toledo</cp:lastModifiedBy>
  <cp:revision>7</cp:revision>
  <cp:lastPrinted>2024-06-27T17:14:00Z</cp:lastPrinted>
  <dcterms:created xsi:type="dcterms:W3CDTF">2024-05-06T16:18:00Z</dcterms:created>
  <dcterms:modified xsi:type="dcterms:W3CDTF">2024-06-27T17:14:00Z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690d1b48-0d41-3ed1-96ca-a0bec5aac546</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