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E330" w14:textId="604E78B7" w:rsidR="00622600" w:rsidRPr="00720A10" w:rsidRDefault="00720A10" w:rsidP="00622600">
      <w:pPr>
        <w:pStyle w:val="Textoindependiente"/>
        <w:spacing w:before="240" w:after="240" w:line="360" w:lineRule="auto"/>
        <w:jc w:val="right"/>
        <w:rPr>
          <w:b/>
          <w:bCs/>
          <w:i/>
          <w:iCs/>
          <w:color w:val="000000" w:themeColor="text1"/>
        </w:rPr>
      </w:pPr>
      <w:r w:rsidRPr="00720A10">
        <w:rPr>
          <w:b/>
          <w:bCs/>
          <w:i/>
          <w:iCs/>
          <w:color w:val="000000" w:themeColor="text1"/>
        </w:rPr>
        <w:t>https://doi.org/10.23913/ride.v14i28.1761</w:t>
      </w:r>
    </w:p>
    <w:p w14:paraId="5576D5CD" w14:textId="264DE140" w:rsidR="00622600" w:rsidRDefault="00622600" w:rsidP="00622600">
      <w:pPr>
        <w:pStyle w:val="Textoindependiente"/>
        <w:spacing w:before="240" w:after="240" w:line="360" w:lineRule="auto"/>
        <w:jc w:val="right"/>
        <w:rPr>
          <w:rFonts w:eastAsia="Calibri"/>
          <w:b/>
          <w:bCs/>
          <w:sz w:val="32"/>
        </w:rPr>
      </w:pPr>
      <w:r w:rsidRPr="0004454B">
        <w:rPr>
          <w:b/>
          <w:bCs/>
          <w:i/>
          <w:iCs/>
          <w:color w:val="000000" w:themeColor="text1"/>
        </w:rPr>
        <w:t>Artículos científicos</w:t>
      </w:r>
    </w:p>
    <w:p w14:paraId="4692794D" w14:textId="4C257E9B" w:rsidR="000747B3" w:rsidRPr="00622600" w:rsidRDefault="008052F3" w:rsidP="00622600">
      <w:pPr>
        <w:pStyle w:val="Textoindependiente"/>
        <w:spacing w:line="276" w:lineRule="auto"/>
        <w:jc w:val="right"/>
        <w:rPr>
          <w:rFonts w:ascii="Calibri" w:hAnsi="Calibri" w:cs="Calibri"/>
          <w:b/>
          <w:color w:val="000000"/>
          <w:sz w:val="32"/>
          <w:szCs w:val="32"/>
          <w:lang w:val="es-MX" w:eastAsia="es-MX"/>
        </w:rPr>
      </w:pPr>
      <w:r w:rsidRPr="00622600">
        <w:rPr>
          <w:rFonts w:ascii="Calibri" w:hAnsi="Calibri" w:cs="Calibri"/>
          <w:b/>
          <w:color w:val="000000"/>
          <w:sz w:val="32"/>
          <w:szCs w:val="32"/>
          <w:lang w:val="es-MX" w:eastAsia="es-MX"/>
        </w:rPr>
        <w:t xml:space="preserve">Adopción de las TIC como herramientas de enseñanza en una </w:t>
      </w:r>
      <w:r w:rsidR="00D36A0D" w:rsidRPr="00622600">
        <w:rPr>
          <w:rFonts w:ascii="Calibri" w:hAnsi="Calibri" w:cs="Calibri"/>
          <w:b/>
          <w:color w:val="000000"/>
          <w:sz w:val="32"/>
          <w:szCs w:val="32"/>
          <w:lang w:val="es-MX" w:eastAsia="es-MX"/>
        </w:rPr>
        <w:t>u</w:t>
      </w:r>
      <w:r w:rsidRPr="00622600">
        <w:rPr>
          <w:rFonts w:ascii="Calibri" w:hAnsi="Calibri" w:cs="Calibri"/>
          <w:b/>
          <w:color w:val="000000"/>
          <w:sz w:val="32"/>
          <w:szCs w:val="32"/>
          <w:lang w:val="es-MX" w:eastAsia="es-MX"/>
        </w:rPr>
        <w:t xml:space="preserve">niversidad pública derivado de la contingencia sanitaria </w:t>
      </w:r>
      <w:r w:rsidR="00D36A0D" w:rsidRPr="00622600">
        <w:rPr>
          <w:rFonts w:ascii="Calibri" w:hAnsi="Calibri" w:cs="Calibri"/>
          <w:b/>
          <w:color w:val="000000"/>
          <w:sz w:val="32"/>
          <w:szCs w:val="32"/>
          <w:lang w:val="es-MX" w:eastAsia="es-MX"/>
        </w:rPr>
        <w:t>covid</w:t>
      </w:r>
      <w:r w:rsidRPr="00622600">
        <w:rPr>
          <w:rFonts w:ascii="Calibri" w:hAnsi="Calibri" w:cs="Calibri"/>
          <w:b/>
          <w:color w:val="000000"/>
          <w:sz w:val="32"/>
          <w:szCs w:val="32"/>
          <w:lang w:val="es-MX" w:eastAsia="es-MX"/>
        </w:rPr>
        <w:t>-19</w:t>
      </w:r>
    </w:p>
    <w:p w14:paraId="344C8E4F" w14:textId="77777777" w:rsidR="003D1174" w:rsidRPr="00622600" w:rsidRDefault="003D1174" w:rsidP="00622600">
      <w:pPr>
        <w:pStyle w:val="Textoindependiente"/>
        <w:spacing w:line="276" w:lineRule="auto"/>
        <w:jc w:val="right"/>
        <w:rPr>
          <w:rFonts w:ascii="Calibri" w:hAnsi="Calibri" w:cs="Calibri"/>
          <w:b/>
          <w:color w:val="000000"/>
          <w:sz w:val="32"/>
          <w:szCs w:val="32"/>
          <w:lang w:val="es-MX" w:eastAsia="es-MX"/>
        </w:rPr>
      </w:pPr>
    </w:p>
    <w:p w14:paraId="7396A2B5" w14:textId="4A86E6AE" w:rsidR="00DC35D9" w:rsidRPr="00622600" w:rsidRDefault="003D1174" w:rsidP="00622600">
      <w:pPr>
        <w:pStyle w:val="Textoindependiente"/>
        <w:spacing w:line="276" w:lineRule="auto"/>
        <w:jc w:val="right"/>
        <w:rPr>
          <w:rFonts w:ascii="Calibri" w:hAnsi="Calibri" w:cs="Calibri"/>
          <w:b/>
          <w:i/>
          <w:iCs/>
          <w:color w:val="000000"/>
          <w:sz w:val="28"/>
          <w:szCs w:val="28"/>
          <w:lang w:val="es-MX" w:eastAsia="es-MX"/>
        </w:rPr>
      </w:pPr>
      <w:r w:rsidRPr="00622600">
        <w:rPr>
          <w:rFonts w:ascii="Calibri" w:hAnsi="Calibri" w:cs="Calibri"/>
          <w:b/>
          <w:i/>
          <w:iCs/>
          <w:color w:val="000000"/>
          <w:sz w:val="28"/>
          <w:szCs w:val="28"/>
          <w:lang w:val="es-MX" w:eastAsia="es-MX"/>
        </w:rPr>
        <w:t>Adoption of ICT as teaching tools in a public university derived from the COVID-19 health contingency</w:t>
      </w:r>
    </w:p>
    <w:p w14:paraId="3559E94A" w14:textId="77777777" w:rsidR="003D1174" w:rsidRPr="00622600" w:rsidRDefault="003D1174" w:rsidP="00622600">
      <w:pPr>
        <w:pStyle w:val="Textoindependiente"/>
        <w:spacing w:line="276" w:lineRule="auto"/>
        <w:jc w:val="right"/>
        <w:rPr>
          <w:rFonts w:ascii="Calibri" w:hAnsi="Calibri" w:cs="Calibri"/>
          <w:b/>
          <w:i/>
          <w:iCs/>
          <w:color w:val="000000"/>
          <w:sz w:val="28"/>
          <w:szCs w:val="28"/>
          <w:lang w:val="es-MX" w:eastAsia="es-MX"/>
        </w:rPr>
      </w:pPr>
    </w:p>
    <w:p w14:paraId="04F6D6A9" w14:textId="4168EB1A" w:rsidR="00DC35D9" w:rsidRPr="00622600" w:rsidRDefault="003D1174" w:rsidP="00622600">
      <w:pPr>
        <w:pStyle w:val="Textoindependiente"/>
        <w:spacing w:line="276" w:lineRule="auto"/>
        <w:jc w:val="right"/>
        <w:rPr>
          <w:rFonts w:ascii="Calibri" w:hAnsi="Calibri" w:cs="Calibri"/>
          <w:b/>
          <w:i/>
          <w:iCs/>
          <w:color w:val="000000"/>
          <w:sz w:val="28"/>
          <w:szCs w:val="28"/>
          <w:lang w:val="es-MX" w:eastAsia="es-MX"/>
        </w:rPr>
      </w:pPr>
      <w:proofErr w:type="spellStart"/>
      <w:r w:rsidRPr="00622600">
        <w:rPr>
          <w:rFonts w:ascii="Calibri" w:hAnsi="Calibri" w:cs="Calibri"/>
          <w:b/>
          <w:i/>
          <w:iCs/>
          <w:color w:val="000000"/>
          <w:sz w:val="28"/>
          <w:szCs w:val="28"/>
          <w:lang w:val="es-MX" w:eastAsia="es-MX"/>
        </w:rPr>
        <w:t>Adoção</w:t>
      </w:r>
      <w:proofErr w:type="spellEnd"/>
      <w:r w:rsidRPr="00622600">
        <w:rPr>
          <w:rFonts w:ascii="Calibri" w:hAnsi="Calibri" w:cs="Calibri"/>
          <w:b/>
          <w:i/>
          <w:iCs/>
          <w:color w:val="000000"/>
          <w:sz w:val="28"/>
          <w:szCs w:val="28"/>
          <w:lang w:val="es-MX" w:eastAsia="es-MX"/>
        </w:rPr>
        <w:t xml:space="preserve"> de TIC como </w:t>
      </w:r>
      <w:proofErr w:type="spellStart"/>
      <w:r w:rsidRPr="00622600">
        <w:rPr>
          <w:rFonts w:ascii="Calibri" w:hAnsi="Calibri" w:cs="Calibri"/>
          <w:b/>
          <w:i/>
          <w:iCs/>
          <w:color w:val="000000"/>
          <w:sz w:val="28"/>
          <w:szCs w:val="28"/>
          <w:lang w:val="es-MX" w:eastAsia="es-MX"/>
        </w:rPr>
        <w:t>ferramentas</w:t>
      </w:r>
      <w:proofErr w:type="spellEnd"/>
      <w:r w:rsidRPr="00622600">
        <w:rPr>
          <w:rFonts w:ascii="Calibri" w:hAnsi="Calibri" w:cs="Calibri"/>
          <w:b/>
          <w:i/>
          <w:iCs/>
          <w:color w:val="000000"/>
          <w:sz w:val="28"/>
          <w:szCs w:val="28"/>
          <w:lang w:val="es-MX" w:eastAsia="es-MX"/>
        </w:rPr>
        <w:t xml:space="preserve"> de </w:t>
      </w:r>
      <w:proofErr w:type="spellStart"/>
      <w:r w:rsidRPr="00622600">
        <w:rPr>
          <w:rFonts w:ascii="Calibri" w:hAnsi="Calibri" w:cs="Calibri"/>
          <w:b/>
          <w:i/>
          <w:iCs/>
          <w:color w:val="000000"/>
          <w:sz w:val="28"/>
          <w:szCs w:val="28"/>
          <w:lang w:val="es-MX" w:eastAsia="es-MX"/>
        </w:rPr>
        <w:t>ensino</w:t>
      </w:r>
      <w:proofErr w:type="spellEnd"/>
      <w:r w:rsidRPr="00622600">
        <w:rPr>
          <w:rFonts w:ascii="Calibri" w:hAnsi="Calibri" w:cs="Calibri"/>
          <w:b/>
          <w:i/>
          <w:iCs/>
          <w:color w:val="000000"/>
          <w:sz w:val="28"/>
          <w:szCs w:val="28"/>
          <w:lang w:val="es-MX" w:eastAsia="es-MX"/>
        </w:rPr>
        <w:t xml:space="preserve"> em </w:t>
      </w:r>
      <w:proofErr w:type="spellStart"/>
      <w:r w:rsidRPr="00622600">
        <w:rPr>
          <w:rFonts w:ascii="Calibri" w:hAnsi="Calibri" w:cs="Calibri"/>
          <w:b/>
          <w:i/>
          <w:iCs/>
          <w:color w:val="000000"/>
          <w:sz w:val="28"/>
          <w:szCs w:val="28"/>
          <w:lang w:val="es-MX" w:eastAsia="es-MX"/>
        </w:rPr>
        <w:t>uma</w:t>
      </w:r>
      <w:proofErr w:type="spellEnd"/>
      <w:r w:rsidRPr="00622600">
        <w:rPr>
          <w:rFonts w:ascii="Calibri" w:hAnsi="Calibri" w:cs="Calibri"/>
          <w:b/>
          <w:i/>
          <w:iCs/>
          <w:color w:val="000000"/>
          <w:sz w:val="28"/>
          <w:szCs w:val="28"/>
          <w:lang w:val="es-MX" w:eastAsia="es-MX"/>
        </w:rPr>
        <w:t xml:space="preserve"> </w:t>
      </w:r>
      <w:proofErr w:type="spellStart"/>
      <w:r w:rsidRPr="00622600">
        <w:rPr>
          <w:rFonts w:ascii="Calibri" w:hAnsi="Calibri" w:cs="Calibri"/>
          <w:b/>
          <w:i/>
          <w:iCs/>
          <w:color w:val="000000"/>
          <w:sz w:val="28"/>
          <w:szCs w:val="28"/>
          <w:lang w:val="es-MX" w:eastAsia="es-MX"/>
        </w:rPr>
        <w:t>universidade</w:t>
      </w:r>
      <w:proofErr w:type="spellEnd"/>
      <w:r w:rsidRPr="00622600">
        <w:rPr>
          <w:rFonts w:ascii="Calibri" w:hAnsi="Calibri" w:cs="Calibri"/>
          <w:b/>
          <w:i/>
          <w:iCs/>
          <w:color w:val="000000"/>
          <w:sz w:val="28"/>
          <w:szCs w:val="28"/>
          <w:lang w:val="es-MX" w:eastAsia="es-MX"/>
        </w:rPr>
        <w:t xml:space="preserve"> pública derivada da </w:t>
      </w:r>
      <w:proofErr w:type="spellStart"/>
      <w:r w:rsidRPr="00622600">
        <w:rPr>
          <w:rFonts w:ascii="Calibri" w:hAnsi="Calibri" w:cs="Calibri"/>
          <w:b/>
          <w:i/>
          <w:iCs/>
          <w:color w:val="000000"/>
          <w:sz w:val="28"/>
          <w:szCs w:val="28"/>
          <w:lang w:val="es-MX" w:eastAsia="es-MX"/>
        </w:rPr>
        <w:t>contingência</w:t>
      </w:r>
      <w:proofErr w:type="spellEnd"/>
      <w:r w:rsidRPr="00622600">
        <w:rPr>
          <w:rFonts w:ascii="Calibri" w:hAnsi="Calibri" w:cs="Calibri"/>
          <w:b/>
          <w:i/>
          <w:iCs/>
          <w:color w:val="000000"/>
          <w:sz w:val="28"/>
          <w:szCs w:val="28"/>
          <w:lang w:val="es-MX" w:eastAsia="es-MX"/>
        </w:rPr>
        <w:t xml:space="preserve"> de </w:t>
      </w:r>
      <w:proofErr w:type="spellStart"/>
      <w:r w:rsidRPr="00622600">
        <w:rPr>
          <w:rFonts w:ascii="Calibri" w:hAnsi="Calibri" w:cs="Calibri"/>
          <w:b/>
          <w:i/>
          <w:iCs/>
          <w:color w:val="000000"/>
          <w:sz w:val="28"/>
          <w:szCs w:val="28"/>
          <w:lang w:val="es-MX" w:eastAsia="es-MX"/>
        </w:rPr>
        <w:t>saúde</w:t>
      </w:r>
      <w:proofErr w:type="spellEnd"/>
      <w:r w:rsidRPr="00622600">
        <w:rPr>
          <w:rFonts w:ascii="Calibri" w:hAnsi="Calibri" w:cs="Calibri"/>
          <w:b/>
          <w:i/>
          <w:iCs/>
          <w:color w:val="000000"/>
          <w:sz w:val="28"/>
          <w:szCs w:val="28"/>
          <w:lang w:val="es-MX" w:eastAsia="es-MX"/>
        </w:rPr>
        <w:t xml:space="preserve"> COVID-19</w:t>
      </w:r>
    </w:p>
    <w:p w14:paraId="70740982" w14:textId="44F22242" w:rsidR="00E76FBF" w:rsidRPr="00622600" w:rsidRDefault="00622600" w:rsidP="00622600">
      <w:pPr>
        <w:pStyle w:val="NormalWeb"/>
        <w:spacing w:before="0" w:beforeAutospacing="0" w:after="0" w:afterAutospacing="0" w:line="276" w:lineRule="auto"/>
        <w:jc w:val="right"/>
        <w:rPr>
          <w:rFonts w:asciiTheme="minorHAnsi" w:hAnsiTheme="minorHAnsi" w:cstheme="minorHAnsi"/>
          <w:b/>
          <w:bCs/>
          <w:lang w:val="es-ES" w:eastAsia="en-US"/>
        </w:rPr>
      </w:pPr>
      <w:r>
        <w:rPr>
          <w:rFonts w:asciiTheme="minorHAnsi" w:hAnsiTheme="minorHAnsi" w:cstheme="minorHAnsi"/>
          <w:b/>
          <w:bCs/>
          <w:lang w:val="es-ES" w:eastAsia="en-US"/>
        </w:rPr>
        <w:br/>
      </w:r>
      <w:r w:rsidR="00E76FBF" w:rsidRPr="00622600">
        <w:rPr>
          <w:rFonts w:asciiTheme="minorHAnsi" w:hAnsiTheme="minorHAnsi" w:cstheme="minorHAnsi"/>
          <w:b/>
          <w:bCs/>
          <w:lang w:val="es-ES" w:eastAsia="en-US"/>
        </w:rPr>
        <w:t>Julio César Macías Villarreal</w:t>
      </w:r>
    </w:p>
    <w:p w14:paraId="17715EEC" w14:textId="77777777" w:rsidR="00622600" w:rsidRDefault="00E76FBF" w:rsidP="00622600">
      <w:pPr>
        <w:pStyle w:val="NormalWeb"/>
        <w:spacing w:before="0" w:beforeAutospacing="0" w:after="0" w:afterAutospacing="0" w:line="276" w:lineRule="auto"/>
        <w:jc w:val="right"/>
        <w:rPr>
          <w:lang w:val="es-ES" w:eastAsia="en-US"/>
        </w:rPr>
      </w:pPr>
      <w:r w:rsidRPr="00E76FBF">
        <w:rPr>
          <w:lang w:val="es-ES" w:eastAsia="en-US"/>
        </w:rPr>
        <w:t xml:space="preserve">Universidad Autónoma de Tamaulipas, México </w:t>
      </w:r>
    </w:p>
    <w:p w14:paraId="2E9DA0E3" w14:textId="534EF748" w:rsidR="00E76FBF" w:rsidRPr="00622600" w:rsidRDefault="00E76FBF" w:rsidP="00622600">
      <w:pPr>
        <w:pStyle w:val="NormalWeb"/>
        <w:spacing w:before="0" w:beforeAutospacing="0" w:after="0" w:afterAutospacing="0" w:line="276" w:lineRule="auto"/>
        <w:jc w:val="right"/>
        <w:rPr>
          <w:rFonts w:asciiTheme="minorHAnsi" w:hAnsiTheme="minorHAnsi" w:cstheme="minorHAnsi"/>
          <w:lang w:val="es-ES" w:eastAsia="en-US"/>
        </w:rPr>
      </w:pPr>
      <w:r w:rsidRPr="00622600">
        <w:rPr>
          <w:rFonts w:asciiTheme="minorHAnsi" w:hAnsiTheme="minorHAnsi" w:cstheme="minorHAnsi"/>
          <w:color w:val="FF0000"/>
          <w:lang w:val="es-ES" w:eastAsia="en-US"/>
        </w:rPr>
        <w:t>jcmacias@docentes.uat.edu.mx</w:t>
      </w:r>
    </w:p>
    <w:p w14:paraId="7031E43A" w14:textId="77777777" w:rsidR="00E76FBF" w:rsidRPr="00E76FBF" w:rsidRDefault="00E76FBF" w:rsidP="00622600">
      <w:pPr>
        <w:pStyle w:val="NormalWeb"/>
        <w:spacing w:before="0" w:beforeAutospacing="0" w:after="0" w:afterAutospacing="0" w:line="276" w:lineRule="auto"/>
        <w:jc w:val="right"/>
        <w:rPr>
          <w:lang w:val="es-ES" w:eastAsia="en-US"/>
        </w:rPr>
      </w:pPr>
      <w:r w:rsidRPr="00E76FBF">
        <w:rPr>
          <w:lang w:val="es-ES" w:eastAsia="en-US"/>
        </w:rPr>
        <w:t>https://orcid.org/0000-0002-8636-0570</w:t>
      </w:r>
    </w:p>
    <w:p w14:paraId="450D7503" w14:textId="1819059C" w:rsidR="00E76FBF" w:rsidRPr="00622600" w:rsidRDefault="00622600" w:rsidP="00622600">
      <w:pPr>
        <w:pStyle w:val="NormalWeb"/>
        <w:spacing w:before="0" w:beforeAutospacing="0" w:after="0" w:afterAutospacing="0" w:line="276" w:lineRule="auto"/>
        <w:jc w:val="right"/>
        <w:rPr>
          <w:rFonts w:asciiTheme="minorHAnsi" w:hAnsiTheme="minorHAnsi" w:cstheme="minorHAnsi"/>
          <w:b/>
          <w:bCs/>
          <w:lang w:val="es-ES" w:eastAsia="en-US"/>
        </w:rPr>
      </w:pPr>
      <w:r>
        <w:rPr>
          <w:rFonts w:asciiTheme="minorHAnsi" w:hAnsiTheme="minorHAnsi" w:cstheme="minorHAnsi"/>
          <w:b/>
          <w:bCs/>
          <w:lang w:val="es-ES" w:eastAsia="en-US"/>
        </w:rPr>
        <w:br/>
      </w:r>
      <w:r w:rsidR="00E76FBF" w:rsidRPr="00622600">
        <w:rPr>
          <w:rFonts w:asciiTheme="minorHAnsi" w:hAnsiTheme="minorHAnsi" w:cstheme="minorHAnsi"/>
          <w:b/>
          <w:bCs/>
          <w:lang w:val="es-ES" w:eastAsia="en-US"/>
        </w:rPr>
        <w:t>Hugo Isaías Molina-Montalvo</w:t>
      </w:r>
    </w:p>
    <w:p w14:paraId="304EDC51" w14:textId="77777777" w:rsidR="00E76FBF" w:rsidRPr="00E76FBF" w:rsidRDefault="00E76FBF" w:rsidP="00622600">
      <w:pPr>
        <w:pStyle w:val="NormalWeb"/>
        <w:spacing w:before="0" w:beforeAutospacing="0" w:after="0" w:afterAutospacing="0" w:line="276" w:lineRule="auto"/>
        <w:jc w:val="right"/>
        <w:rPr>
          <w:lang w:val="es-ES" w:eastAsia="en-US"/>
        </w:rPr>
      </w:pPr>
      <w:r w:rsidRPr="00E76FBF">
        <w:rPr>
          <w:lang w:val="es-ES" w:eastAsia="en-US"/>
        </w:rPr>
        <w:t>Universidad Autónoma de Tamaulipas, México</w:t>
      </w:r>
    </w:p>
    <w:p w14:paraId="5C66DC4D" w14:textId="77777777" w:rsidR="00E76FBF" w:rsidRPr="00622600" w:rsidRDefault="00E76FBF" w:rsidP="00622600">
      <w:pPr>
        <w:pStyle w:val="NormalWeb"/>
        <w:spacing w:before="0" w:beforeAutospacing="0" w:after="0" w:afterAutospacing="0" w:line="276" w:lineRule="auto"/>
        <w:jc w:val="right"/>
        <w:rPr>
          <w:rFonts w:asciiTheme="minorHAnsi" w:hAnsiTheme="minorHAnsi" w:cstheme="minorHAnsi"/>
          <w:color w:val="FF0000"/>
          <w:lang w:val="es-ES" w:eastAsia="en-US"/>
        </w:rPr>
      </w:pPr>
      <w:r w:rsidRPr="00622600">
        <w:rPr>
          <w:rFonts w:asciiTheme="minorHAnsi" w:hAnsiTheme="minorHAnsi" w:cstheme="minorHAnsi"/>
          <w:color w:val="FF0000"/>
          <w:lang w:val="es-ES" w:eastAsia="en-US"/>
        </w:rPr>
        <w:t>himolina@docentes.uat.edu.mx</w:t>
      </w:r>
    </w:p>
    <w:p w14:paraId="711E5DBF" w14:textId="77777777" w:rsidR="00E76FBF" w:rsidRPr="00E76FBF" w:rsidRDefault="00E76FBF" w:rsidP="00622600">
      <w:pPr>
        <w:pStyle w:val="NormalWeb"/>
        <w:spacing w:before="0" w:beforeAutospacing="0" w:after="0" w:afterAutospacing="0" w:line="276" w:lineRule="auto"/>
        <w:jc w:val="right"/>
        <w:rPr>
          <w:lang w:val="es-ES" w:eastAsia="en-US"/>
        </w:rPr>
      </w:pPr>
      <w:r w:rsidRPr="00E76FBF">
        <w:rPr>
          <w:lang w:val="es-ES" w:eastAsia="en-US"/>
        </w:rPr>
        <w:t>https://orcid.org/0000-0003-0914-7597</w:t>
      </w:r>
    </w:p>
    <w:p w14:paraId="34FF582E" w14:textId="12F8FE07" w:rsidR="00E76FBF" w:rsidRPr="00622600" w:rsidRDefault="00622600" w:rsidP="00622600">
      <w:pPr>
        <w:pStyle w:val="NormalWeb"/>
        <w:spacing w:before="0" w:beforeAutospacing="0" w:after="0" w:afterAutospacing="0" w:line="276" w:lineRule="auto"/>
        <w:jc w:val="right"/>
        <w:rPr>
          <w:rFonts w:asciiTheme="minorHAnsi" w:hAnsiTheme="minorHAnsi" w:cstheme="minorHAnsi"/>
          <w:b/>
          <w:bCs/>
          <w:lang w:val="es-ES" w:eastAsia="en-US"/>
        </w:rPr>
      </w:pPr>
      <w:r>
        <w:rPr>
          <w:rFonts w:asciiTheme="minorHAnsi" w:hAnsiTheme="minorHAnsi" w:cstheme="minorHAnsi"/>
          <w:b/>
          <w:bCs/>
          <w:lang w:val="es-ES" w:eastAsia="en-US"/>
        </w:rPr>
        <w:br/>
      </w:r>
      <w:r w:rsidR="00E76FBF" w:rsidRPr="00622600">
        <w:rPr>
          <w:rFonts w:asciiTheme="minorHAnsi" w:hAnsiTheme="minorHAnsi" w:cstheme="minorHAnsi"/>
          <w:b/>
          <w:bCs/>
          <w:lang w:val="es-ES" w:eastAsia="en-US"/>
        </w:rPr>
        <w:t>José Refugio Castro López</w:t>
      </w:r>
    </w:p>
    <w:p w14:paraId="5DF4FC32" w14:textId="77777777" w:rsidR="00622600" w:rsidRDefault="00E76FBF" w:rsidP="00622600">
      <w:pPr>
        <w:pStyle w:val="NormalWeb"/>
        <w:spacing w:before="0" w:beforeAutospacing="0" w:after="0" w:afterAutospacing="0" w:line="276" w:lineRule="auto"/>
        <w:jc w:val="right"/>
        <w:rPr>
          <w:lang w:val="es-ES" w:eastAsia="en-US"/>
        </w:rPr>
      </w:pPr>
      <w:r w:rsidRPr="00E76FBF">
        <w:rPr>
          <w:lang w:val="es-ES" w:eastAsia="en-US"/>
        </w:rPr>
        <w:t xml:space="preserve">Universidad Autónoma de Tamaulipas, México </w:t>
      </w:r>
    </w:p>
    <w:p w14:paraId="42E6B6DA" w14:textId="73534E6F" w:rsidR="00E76FBF" w:rsidRPr="00622600" w:rsidRDefault="00E76FBF" w:rsidP="00622600">
      <w:pPr>
        <w:pStyle w:val="NormalWeb"/>
        <w:spacing w:before="0" w:beforeAutospacing="0" w:after="0" w:afterAutospacing="0" w:line="276" w:lineRule="auto"/>
        <w:jc w:val="right"/>
        <w:rPr>
          <w:rFonts w:asciiTheme="minorHAnsi" w:hAnsiTheme="minorHAnsi" w:cstheme="minorHAnsi"/>
          <w:color w:val="FF0000"/>
          <w:lang w:val="es-ES" w:eastAsia="en-US"/>
        </w:rPr>
      </w:pPr>
      <w:r w:rsidRPr="00622600">
        <w:rPr>
          <w:rFonts w:asciiTheme="minorHAnsi" w:hAnsiTheme="minorHAnsi" w:cstheme="minorHAnsi"/>
          <w:color w:val="FF0000"/>
          <w:lang w:val="es-ES" w:eastAsia="en-US"/>
        </w:rPr>
        <w:t>jrcastro@docentes.uat.edu.mx</w:t>
      </w:r>
    </w:p>
    <w:p w14:paraId="28019061" w14:textId="1122246A" w:rsidR="00E76FBF" w:rsidRPr="00E76FBF" w:rsidRDefault="00E76FBF" w:rsidP="00622600">
      <w:pPr>
        <w:pStyle w:val="NormalWeb"/>
        <w:spacing w:before="0" w:beforeAutospacing="0" w:after="0" w:afterAutospacing="0" w:line="276" w:lineRule="auto"/>
        <w:jc w:val="right"/>
        <w:rPr>
          <w:lang w:val="es-ES" w:eastAsia="en-US"/>
        </w:rPr>
      </w:pPr>
      <w:r w:rsidRPr="00E76FBF">
        <w:rPr>
          <w:lang w:val="es-ES" w:eastAsia="en-US"/>
        </w:rPr>
        <w:t>https://orcid.org/0000-0001-9085-2087</w:t>
      </w:r>
    </w:p>
    <w:p w14:paraId="195367E9" w14:textId="77777777" w:rsidR="00DC35D9" w:rsidRPr="00E76FBF" w:rsidRDefault="00DC35D9" w:rsidP="00CE7182">
      <w:pPr>
        <w:pStyle w:val="Textoindependiente"/>
        <w:spacing w:line="360" w:lineRule="auto"/>
        <w:rPr>
          <w:strike/>
          <w:sz w:val="6"/>
          <w:szCs w:val="6"/>
          <w:highlight w:val="red"/>
        </w:rPr>
      </w:pPr>
    </w:p>
    <w:p w14:paraId="1F54123B" w14:textId="77777777" w:rsidR="00622600" w:rsidRDefault="00622600" w:rsidP="00622600">
      <w:pPr>
        <w:pStyle w:val="Textoindependiente"/>
        <w:spacing w:line="360" w:lineRule="auto"/>
        <w:ind w:right="114"/>
        <w:rPr>
          <w:b/>
          <w:bCs/>
          <w:sz w:val="32"/>
          <w:szCs w:val="32"/>
        </w:rPr>
      </w:pPr>
    </w:p>
    <w:p w14:paraId="5FB93A3C" w14:textId="3A4FB809" w:rsidR="003B66AA" w:rsidRPr="00622600" w:rsidRDefault="003B66AA" w:rsidP="00622600">
      <w:pPr>
        <w:pStyle w:val="Textoindependiente"/>
        <w:spacing w:line="360" w:lineRule="auto"/>
        <w:ind w:right="114"/>
        <w:rPr>
          <w:rFonts w:asciiTheme="minorHAnsi" w:hAnsiTheme="minorHAnsi" w:cstheme="minorHAnsi"/>
          <w:b/>
          <w:bCs/>
          <w:sz w:val="32"/>
          <w:szCs w:val="32"/>
        </w:rPr>
      </w:pPr>
      <w:r w:rsidRPr="00622600">
        <w:rPr>
          <w:rFonts w:asciiTheme="minorHAnsi" w:hAnsiTheme="minorHAnsi" w:cstheme="minorHAnsi"/>
          <w:b/>
          <w:bCs/>
          <w:sz w:val="28"/>
          <w:szCs w:val="28"/>
        </w:rPr>
        <w:t>Resume</w:t>
      </w:r>
      <w:r w:rsidR="006B3C2C" w:rsidRPr="00622600">
        <w:rPr>
          <w:rFonts w:asciiTheme="minorHAnsi" w:hAnsiTheme="minorHAnsi" w:cstheme="minorHAnsi"/>
          <w:b/>
          <w:bCs/>
          <w:sz w:val="28"/>
          <w:szCs w:val="28"/>
        </w:rPr>
        <w:t>n</w:t>
      </w:r>
    </w:p>
    <w:p w14:paraId="5371E35C" w14:textId="21D4F2E0" w:rsidR="00EB1420" w:rsidRPr="004F4684" w:rsidRDefault="00EB1420" w:rsidP="00E76FBF">
      <w:pPr>
        <w:pStyle w:val="Textoindependiente"/>
        <w:spacing w:line="360" w:lineRule="auto"/>
        <w:ind w:right="-12"/>
        <w:jc w:val="both"/>
      </w:pPr>
      <w:r w:rsidRPr="004F4684">
        <w:t>El objetivo de esta investigación es explorar, desde la perspectiva de los estudiantes de una universidad pública estatal</w:t>
      </w:r>
      <w:r w:rsidR="00340429" w:rsidRPr="004F4684">
        <w:t xml:space="preserve"> que utiliza el modelo por competencias</w:t>
      </w:r>
      <w:r w:rsidRPr="004F4684">
        <w:t>, los desafíos y oportunidades clave</w:t>
      </w:r>
      <w:r w:rsidR="00D36A0D">
        <w:t>s</w:t>
      </w:r>
      <w:r w:rsidRPr="004F4684">
        <w:t xml:space="preserve"> derivados de la adopción de herramientas digitales en el contexto de un modelo educativo en línea</w:t>
      </w:r>
      <w:r w:rsidR="00D36A0D">
        <w:t xml:space="preserve"> surgido</w:t>
      </w:r>
      <w:r w:rsidRPr="004F4684">
        <w:t xml:space="preserve"> como respuesta a la pandemia por </w:t>
      </w:r>
      <w:r w:rsidR="00D36A0D" w:rsidRPr="004F4684">
        <w:t>covid</w:t>
      </w:r>
      <w:r w:rsidRPr="004F4684">
        <w:t xml:space="preserve">-19. Para </w:t>
      </w:r>
      <w:r w:rsidR="00D36A0D">
        <w:t>ello</w:t>
      </w:r>
      <w:r w:rsidRPr="004F4684">
        <w:t xml:space="preserve">, se implementó una metodología de enfoque cuantitativo con el </w:t>
      </w:r>
      <w:r w:rsidR="00D36A0D">
        <w:t>fin</w:t>
      </w:r>
      <w:r w:rsidRPr="004F4684">
        <w:t xml:space="preserve"> de validar </w:t>
      </w:r>
      <w:r w:rsidR="00D36A0D">
        <w:t>la</w:t>
      </w:r>
      <w:r w:rsidRPr="004F4684">
        <w:t xml:space="preserve"> hipótesis</w:t>
      </w:r>
      <w:r w:rsidR="00D36A0D">
        <w:t xml:space="preserve"> planteada</w:t>
      </w:r>
      <w:r w:rsidRPr="004F4684">
        <w:t xml:space="preserve">. La población objeto de estudio comprendió a los estudiantes inscritos en las cuatro licenciaturas ofrecidas por la Facultad de Comercio y Administración Victoria. A partir de esta población, se </w:t>
      </w:r>
      <w:r w:rsidRPr="004F4684">
        <w:lastRenderedPageBreak/>
        <w:t xml:space="preserve">seleccionó una muestra aleatoria de 334 alumnos. La recopilación de datos se llevó a cabo mediante un cuestionario estructurados que consta de 35 ítems. El análisis de confiabilidad, evaluado a través del índice alfa de Cronbach, arrojó un valor de 0.739, </w:t>
      </w:r>
      <w:r w:rsidR="00D36A0D">
        <w:t>lo que indica</w:t>
      </w:r>
      <w:r w:rsidRPr="004F4684">
        <w:t xml:space="preserve"> una alta confiabilidad en los resultados obtenidos. Este estudio consideró la percepción de los estudiantes universitarios en seis dimensiones clave, tomando en cuenta las condiciones de infraestructura, conectividad y conocimientos en diversas plataformas, las cuales influyen en el proc</w:t>
      </w:r>
      <w:r w:rsidR="00D36A0D">
        <w:t xml:space="preserve">eso de enseñanza-aprendizaje: i) participación académica, </w:t>
      </w:r>
      <w:proofErr w:type="spellStart"/>
      <w:r w:rsidR="00D36A0D">
        <w:t>ii</w:t>
      </w:r>
      <w:proofErr w:type="spellEnd"/>
      <w:r w:rsidR="00D36A0D">
        <w:t xml:space="preserve">) calidad educativa, </w:t>
      </w:r>
      <w:proofErr w:type="spellStart"/>
      <w:r w:rsidR="00D36A0D">
        <w:t>iii</w:t>
      </w:r>
      <w:proofErr w:type="spellEnd"/>
      <w:r w:rsidR="00D36A0D">
        <w:t>)</w:t>
      </w:r>
      <w:r w:rsidRPr="004F4684">
        <w:t xml:space="preserve"> incorporación tecnoló</w:t>
      </w:r>
      <w:r w:rsidR="00D36A0D">
        <w:t xml:space="preserve">gica, </w:t>
      </w:r>
      <w:proofErr w:type="spellStart"/>
      <w:r w:rsidR="00D36A0D">
        <w:t>iv</w:t>
      </w:r>
      <w:proofErr w:type="spellEnd"/>
      <w:r w:rsidR="00D36A0D">
        <w:t>) apoyo académico, v) habilidades digitales y vi)</w:t>
      </w:r>
      <w:r w:rsidRPr="004F4684">
        <w:t xml:space="preserve"> flexibilidad académica.</w:t>
      </w:r>
    </w:p>
    <w:p w14:paraId="3A865497" w14:textId="641D4709" w:rsidR="00FA133F" w:rsidRPr="004F4684" w:rsidRDefault="004A6A64" w:rsidP="00622600">
      <w:pPr>
        <w:pStyle w:val="Textoindependiente"/>
        <w:spacing w:line="360" w:lineRule="auto"/>
        <w:ind w:right="-12"/>
        <w:jc w:val="both"/>
      </w:pPr>
      <w:r w:rsidRPr="00622600">
        <w:rPr>
          <w:rFonts w:asciiTheme="minorHAnsi" w:hAnsiTheme="minorHAnsi" w:cstheme="minorHAnsi"/>
          <w:b/>
          <w:bCs/>
          <w:sz w:val="28"/>
          <w:szCs w:val="28"/>
        </w:rPr>
        <w:t>Palabras clave:</w:t>
      </w:r>
      <w:r w:rsidR="000A10E6" w:rsidRPr="004F4684">
        <w:rPr>
          <w:b/>
        </w:rPr>
        <w:t xml:space="preserve"> </w:t>
      </w:r>
      <w:r w:rsidR="00D36A0D" w:rsidRPr="004F4684">
        <w:t xml:space="preserve">covid-19, educación superior, </w:t>
      </w:r>
      <w:r w:rsidR="00464529" w:rsidRPr="004F4684">
        <w:t>modalidad virtual</w:t>
      </w:r>
      <w:r w:rsidRPr="004F4684">
        <w:t>,</w:t>
      </w:r>
      <w:r w:rsidR="00464529" w:rsidRPr="004F4684">
        <w:t xml:space="preserve"> </w:t>
      </w:r>
      <w:r w:rsidRPr="004F4684">
        <w:t>tecnología</w:t>
      </w:r>
      <w:r w:rsidR="000A10E6" w:rsidRPr="004F4684">
        <w:rPr>
          <w:spacing w:val="-2"/>
        </w:rPr>
        <w:t>s de la información</w:t>
      </w:r>
      <w:r w:rsidR="00464529" w:rsidRPr="004F4684">
        <w:rPr>
          <w:spacing w:val="-2"/>
        </w:rPr>
        <w:t>,</w:t>
      </w:r>
      <w:r w:rsidR="00464529" w:rsidRPr="004F4684">
        <w:t xml:space="preserve"> universitarios.</w:t>
      </w:r>
    </w:p>
    <w:p w14:paraId="06CB0287" w14:textId="77777777" w:rsidR="00FA133F" w:rsidRPr="004F4684" w:rsidRDefault="00FA133F" w:rsidP="00D91EFE">
      <w:pPr>
        <w:pStyle w:val="Textoindependiente"/>
        <w:spacing w:line="360" w:lineRule="auto"/>
        <w:ind w:left="102" w:right="-12"/>
        <w:jc w:val="both"/>
      </w:pPr>
    </w:p>
    <w:p w14:paraId="2A8D94D9" w14:textId="59DF9620" w:rsidR="0026405E" w:rsidRPr="00622600" w:rsidRDefault="0026405E" w:rsidP="00622600">
      <w:pPr>
        <w:pStyle w:val="Textoindependiente"/>
        <w:spacing w:line="360" w:lineRule="auto"/>
        <w:ind w:right="-12"/>
        <w:rPr>
          <w:rFonts w:asciiTheme="minorHAnsi" w:hAnsiTheme="minorHAnsi" w:cstheme="minorHAnsi"/>
          <w:b/>
          <w:bCs/>
          <w:sz w:val="28"/>
          <w:szCs w:val="28"/>
        </w:rPr>
      </w:pPr>
      <w:r w:rsidRPr="00622600">
        <w:rPr>
          <w:rFonts w:asciiTheme="minorHAnsi" w:hAnsiTheme="minorHAnsi" w:cstheme="minorHAnsi"/>
          <w:b/>
          <w:bCs/>
          <w:sz w:val="28"/>
          <w:szCs w:val="28"/>
        </w:rPr>
        <w:t>Abstract</w:t>
      </w:r>
    </w:p>
    <w:p w14:paraId="02D6E505" w14:textId="26A00E45" w:rsidR="00D12ECD" w:rsidRPr="00D36A0D" w:rsidRDefault="00D12ECD" w:rsidP="00D91EFE">
      <w:pPr>
        <w:pStyle w:val="Textoindependiente"/>
        <w:spacing w:line="360" w:lineRule="auto"/>
        <w:ind w:right="-12"/>
        <w:jc w:val="both"/>
        <w:rPr>
          <w:lang w:val="en-US"/>
        </w:rPr>
      </w:pPr>
      <w:r w:rsidRPr="00D36A0D">
        <w:rPr>
          <w:lang w:val="en-US"/>
        </w:rPr>
        <w:t xml:space="preserve">The objective of this research is to explore, from the perspective of students at a state public university that uses the competency-based model, the key challenges and opportunities derived from the adoption of digital tools in the context of an online educational model, generated as response to the COVID-19 pandemic. The implications of this transition were also examined. To carry out this study, a quantitative approach methodology was implemented with the objective of validating our hypothesis. The population under study included students enrolled in the four bachelor's degrees offered by the Victoria Faculty of Commerce and Administration. From this population, a random sample of 334 students was selected. Data collection was carried out using a structured questionnaire consisting of 35 items. The reliability analysis, evaluated through Cronbach's alpha index, yielded a value of 0.739, indicating high reliability in the results obtained. This study considered the perception of university students in six key dimensions, taking into account the conditions of infrastructure, connectivity and knowledge on various platforms, which influence the teaching-learning process: </w:t>
      </w:r>
      <w:proofErr w:type="spellStart"/>
      <w:r w:rsidRPr="00D36A0D">
        <w:rPr>
          <w:lang w:val="en-US"/>
        </w:rPr>
        <w:t>i</w:t>
      </w:r>
      <w:proofErr w:type="spellEnd"/>
      <w:r w:rsidRPr="00D36A0D">
        <w:rPr>
          <w:lang w:val="en-US"/>
        </w:rPr>
        <w:t>. academic participation, ii. educational quality, iii. technological incorporation, iv. academic support, v. digital skills and vi. academic flexibility.</w:t>
      </w:r>
    </w:p>
    <w:p w14:paraId="4ED0F8EB" w14:textId="1066EEBD" w:rsidR="0026405E" w:rsidRPr="004F4684" w:rsidRDefault="0026405E" w:rsidP="00622600">
      <w:pPr>
        <w:pStyle w:val="Textoindependiente"/>
        <w:spacing w:line="360" w:lineRule="auto"/>
        <w:ind w:right="-12"/>
        <w:jc w:val="both"/>
        <w:rPr>
          <w:lang w:val="en-US"/>
        </w:rPr>
      </w:pPr>
      <w:proofErr w:type="spellStart"/>
      <w:r w:rsidRPr="00622600">
        <w:rPr>
          <w:rFonts w:asciiTheme="minorHAnsi" w:hAnsiTheme="minorHAnsi" w:cstheme="minorHAnsi"/>
          <w:b/>
          <w:bCs/>
          <w:sz w:val="28"/>
          <w:szCs w:val="28"/>
        </w:rPr>
        <w:t>Keywords</w:t>
      </w:r>
      <w:proofErr w:type="spellEnd"/>
      <w:r w:rsidRPr="00622600">
        <w:rPr>
          <w:rFonts w:asciiTheme="minorHAnsi" w:hAnsiTheme="minorHAnsi" w:cstheme="minorHAnsi"/>
          <w:b/>
          <w:bCs/>
          <w:sz w:val="28"/>
          <w:szCs w:val="28"/>
        </w:rPr>
        <w:t>:</w:t>
      </w:r>
      <w:r w:rsidRPr="004F4684">
        <w:rPr>
          <w:lang w:val="en-US"/>
        </w:rPr>
        <w:t xml:space="preserve"> COVID-19, Higher Education, virtual modality, information technologies, university students.</w:t>
      </w:r>
    </w:p>
    <w:p w14:paraId="188E0DC7" w14:textId="77777777" w:rsidR="0026405E" w:rsidRDefault="0026405E" w:rsidP="00D91EFE">
      <w:pPr>
        <w:pStyle w:val="Textoindependiente"/>
        <w:spacing w:line="360" w:lineRule="auto"/>
        <w:ind w:left="102" w:right="-12"/>
        <w:jc w:val="both"/>
        <w:rPr>
          <w:lang w:val="en-US"/>
        </w:rPr>
      </w:pPr>
    </w:p>
    <w:p w14:paraId="4A0BA75B" w14:textId="77777777" w:rsidR="00720A10" w:rsidRDefault="00720A10" w:rsidP="00D91EFE">
      <w:pPr>
        <w:pStyle w:val="Textoindependiente"/>
        <w:spacing w:line="360" w:lineRule="auto"/>
        <w:ind w:left="102" w:right="-12"/>
        <w:jc w:val="both"/>
        <w:rPr>
          <w:lang w:val="en-US"/>
        </w:rPr>
      </w:pPr>
    </w:p>
    <w:p w14:paraId="3A5980B3" w14:textId="77777777" w:rsidR="00720A10" w:rsidRPr="004F4684" w:rsidRDefault="00720A10" w:rsidP="00D91EFE">
      <w:pPr>
        <w:pStyle w:val="Textoindependiente"/>
        <w:spacing w:line="360" w:lineRule="auto"/>
        <w:ind w:left="102" w:right="-12"/>
        <w:jc w:val="both"/>
        <w:rPr>
          <w:lang w:val="en-US"/>
        </w:rPr>
      </w:pPr>
    </w:p>
    <w:p w14:paraId="25AF43E4" w14:textId="5ACCCD41" w:rsidR="0026405E" w:rsidRPr="00622600" w:rsidRDefault="0026405E" w:rsidP="00622600">
      <w:pPr>
        <w:pStyle w:val="Textoindependiente"/>
        <w:spacing w:line="360" w:lineRule="auto"/>
        <w:ind w:right="-12"/>
        <w:rPr>
          <w:rFonts w:asciiTheme="minorHAnsi" w:hAnsiTheme="minorHAnsi" w:cstheme="minorHAnsi"/>
          <w:b/>
          <w:bCs/>
          <w:sz w:val="28"/>
          <w:szCs w:val="28"/>
        </w:rPr>
      </w:pPr>
      <w:r w:rsidRPr="00622600">
        <w:rPr>
          <w:rFonts w:asciiTheme="minorHAnsi" w:hAnsiTheme="minorHAnsi" w:cstheme="minorHAnsi"/>
          <w:b/>
          <w:bCs/>
          <w:sz w:val="28"/>
          <w:szCs w:val="28"/>
        </w:rPr>
        <w:lastRenderedPageBreak/>
        <w:t>Resumo</w:t>
      </w:r>
    </w:p>
    <w:p w14:paraId="46531C00" w14:textId="3CF84608" w:rsidR="00D12ECD" w:rsidRDefault="00D12ECD" w:rsidP="00622600">
      <w:pPr>
        <w:pStyle w:val="Textoindependiente"/>
        <w:spacing w:line="360" w:lineRule="auto"/>
        <w:ind w:right="-12"/>
        <w:jc w:val="both"/>
      </w:pPr>
      <w:r w:rsidRPr="00D12ECD">
        <w:t xml:space="preserve">O objetivo </w:t>
      </w:r>
      <w:proofErr w:type="spellStart"/>
      <w:r w:rsidRPr="00D12ECD">
        <w:t>desta</w:t>
      </w:r>
      <w:proofErr w:type="spellEnd"/>
      <w:r w:rsidRPr="00D12ECD">
        <w:t xml:space="preserve"> pesquisa é explorar, </w:t>
      </w:r>
      <w:proofErr w:type="spellStart"/>
      <w:r w:rsidRPr="00D12ECD">
        <w:t>na</w:t>
      </w:r>
      <w:proofErr w:type="spellEnd"/>
      <w:r w:rsidRPr="00D12ECD">
        <w:t xml:space="preserve"> perspectiva de </w:t>
      </w:r>
      <w:proofErr w:type="spellStart"/>
      <w:r w:rsidRPr="00D12ECD">
        <w:t>estudantes</w:t>
      </w:r>
      <w:proofErr w:type="spellEnd"/>
      <w:r w:rsidRPr="00D12ECD">
        <w:t xml:space="preserve"> de </w:t>
      </w:r>
      <w:proofErr w:type="spellStart"/>
      <w:r w:rsidRPr="00D12ECD">
        <w:t>uma</w:t>
      </w:r>
      <w:proofErr w:type="spellEnd"/>
      <w:r w:rsidRPr="00D12ECD">
        <w:t xml:space="preserve"> </w:t>
      </w:r>
      <w:proofErr w:type="spellStart"/>
      <w:r w:rsidRPr="00D12ECD">
        <w:t>universidade</w:t>
      </w:r>
      <w:proofErr w:type="spellEnd"/>
      <w:r w:rsidRPr="00D12ECD">
        <w:t xml:space="preserve"> pública estadual que utiliza o modelo </w:t>
      </w:r>
      <w:proofErr w:type="spellStart"/>
      <w:r w:rsidRPr="00D12ECD">
        <w:t>baseado</w:t>
      </w:r>
      <w:proofErr w:type="spellEnd"/>
      <w:r w:rsidRPr="00D12ECD">
        <w:t xml:space="preserve"> em </w:t>
      </w:r>
      <w:proofErr w:type="spellStart"/>
      <w:r w:rsidRPr="00D12ECD">
        <w:t>competências</w:t>
      </w:r>
      <w:proofErr w:type="spellEnd"/>
      <w:r w:rsidRPr="00D12ECD">
        <w:t xml:space="preserve">, os </w:t>
      </w:r>
      <w:proofErr w:type="spellStart"/>
      <w:r w:rsidRPr="00D12ECD">
        <w:t>principais</w:t>
      </w:r>
      <w:proofErr w:type="spellEnd"/>
      <w:r w:rsidRPr="00D12ECD">
        <w:t xml:space="preserve"> </w:t>
      </w:r>
      <w:proofErr w:type="spellStart"/>
      <w:r w:rsidRPr="00D12ECD">
        <w:t>desafios</w:t>
      </w:r>
      <w:proofErr w:type="spellEnd"/>
      <w:r w:rsidRPr="00D12ECD">
        <w:t xml:space="preserve"> e </w:t>
      </w:r>
      <w:proofErr w:type="gramStart"/>
      <w:r w:rsidRPr="00D12ECD">
        <w:t>oportunidades derivados</w:t>
      </w:r>
      <w:proofErr w:type="gramEnd"/>
      <w:r w:rsidRPr="00D12ECD">
        <w:t xml:space="preserve"> da </w:t>
      </w:r>
      <w:proofErr w:type="spellStart"/>
      <w:r w:rsidRPr="00D12ECD">
        <w:t>adoção</w:t>
      </w:r>
      <w:proofErr w:type="spellEnd"/>
      <w:r w:rsidRPr="00D12ECD">
        <w:t xml:space="preserve"> de </w:t>
      </w:r>
      <w:proofErr w:type="spellStart"/>
      <w:r w:rsidRPr="00D12ECD">
        <w:t>ferramentas</w:t>
      </w:r>
      <w:proofErr w:type="spellEnd"/>
      <w:r w:rsidRPr="00D12ECD">
        <w:t xml:space="preserve"> </w:t>
      </w:r>
      <w:proofErr w:type="spellStart"/>
      <w:r w:rsidRPr="00D12ECD">
        <w:t>digitais</w:t>
      </w:r>
      <w:proofErr w:type="spellEnd"/>
      <w:r w:rsidRPr="00D12ECD">
        <w:t xml:space="preserve"> no contexto de </w:t>
      </w:r>
      <w:proofErr w:type="spellStart"/>
      <w:r w:rsidRPr="00D12ECD">
        <w:t>um</w:t>
      </w:r>
      <w:proofErr w:type="spellEnd"/>
      <w:r w:rsidRPr="00D12ECD">
        <w:t xml:space="preserve"> modelo educacional online, </w:t>
      </w:r>
      <w:proofErr w:type="spellStart"/>
      <w:r w:rsidRPr="00D12ECD">
        <w:t>gerado</w:t>
      </w:r>
      <w:proofErr w:type="spellEnd"/>
      <w:r w:rsidRPr="00D12ECD">
        <w:t xml:space="preserve"> como </w:t>
      </w:r>
      <w:proofErr w:type="spellStart"/>
      <w:r w:rsidRPr="00D12ECD">
        <w:t>resposta</w:t>
      </w:r>
      <w:proofErr w:type="spellEnd"/>
      <w:r w:rsidRPr="00D12ECD">
        <w:t xml:space="preserve"> à pandemia de COVID-19. As </w:t>
      </w:r>
      <w:proofErr w:type="spellStart"/>
      <w:r w:rsidRPr="00D12ECD">
        <w:t>implicações</w:t>
      </w:r>
      <w:proofErr w:type="spellEnd"/>
      <w:r w:rsidRPr="00D12ECD">
        <w:t xml:space="preserve"> </w:t>
      </w:r>
      <w:proofErr w:type="spellStart"/>
      <w:r w:rsidRPr="00D12ECD">
        <w:t>desta</w:t>
      </w:r>
      <w:proofErr w:type="spellEnd"/>
      <w:r w:rsidRPr="00D12ECD">
        <w:t xml:space="preserve"> </w:t>
      </w:r>
      <w:proofErr w:type="spellStart"/>
      <w:r w:rsidRPr="00D12ECD">
        <w:t>transição</w:t>
      </w:r>
      <w:proofErr w:type="spellEnd"/>
      <w:r w:rsidRPr="00D12ECD">
        <w:t xml:space="preserve"> </w:t>
      </w:r>
      <w:proofErr w:type="spellStart"/>
      <w:r w:rsidRPr="00D12ECD">
        <w:t>também</w:t>
      </w:r>
      <w:proofErr w:type="spellEnd"/>
      <w:r w:rsidRPr="00D12ECD">
        <w:t xml:space="preserve"> </w:t>
      </w:r>
      <w:proofErr w:type="spellStart"/>
      <w:r w:rsidRPr="00D12ECD">
        <w:t>foram</w:t>
      </w:r>
      <w:proofErr w:type="spellEnd"/>
      <w:r w:rsidRPr="00D12ECD">
        <w:t xml:space="preserve"> examinadas. Para a </w:t>
      </w:r>
      <w:proofErr w:type="spellStart"/>
      <w:r w:rsidRPr="00D12ECD">
        <w:t>realização</w:t>
      </w:r>
      <w:proofErr w:type="spellEnd"/>
      <w:r w:rsidRPr="00D12ECD">
        <w:t xml:space="preserve"> </w:t>
      </w:r>
      <w:proofErr w:type="spellStart"/>
      <w:r w:rsidRPr="00D12ECD">
        <w:t>deste</w:t>
      </w:r>
      <w:proofErr w:type="spellEnd"/>
      <w:r w:rsidRPr="00D12ECD">
        <w:t xml:space="preserve"> </w:t>
      </w:r>
      <w:proofErr w:type="spellStart"/>
      <w:r w:rsidRPr="00D12ECD">
        <w:t>estudo</w:t>
      </w:r>
      <w:proofErr w:type="spellEnd"/>
      <w:r w:rsidRPr="00D12ECD">
        <w:t xml:space="preserve"> </w:t>
      </w:r>
      <w:proofErr w:type="spellStart"/>
      <w:r w:rsidRPr="00D12ECD">
        <w:t>foi</w:t>
      </w:r>
      <w:proofErr w:type="spellEnd"/>
      <w:r w:rsidRPr="00D12ECD">
        <w:t xml:space="preserve"> implementada </w:t>
      </w:r>
      <w:proofErr w:type="spellStart"/>
      <w:r w:rsidRPr="00D12ECD">
        <w:t>uma</w:t>
      </w:r>
      <w:proofErr w:type="spellEnd"/>
      <w:r w:rsidRPr="00D12ECD">
        <w:t xml:space="preserve"> </w:t>
      </w:r>
      <w:proofErr w:type="spellStart"/>
      <w:r w:rsidRPr="00D12ECD">
        <w:t>metodologia</w:t>
      </w:r>
      <w:proofErr w:type="spellEnd"/>
      <w:r w:rsidRPr="00D12ECD">
        <w:t xml:space="preserve"> de </w:t>
      </w:r>
      <w:proofErr w:type="spellStart"/>
      <w:r w:rsidRPr="00D12ECD">
        <w:t>abordagem</w:t>
      </w:r>
      <w:proofErr w:type="spellEnd"/>
      <w:r w:rsidRPr="00D12ECD">
        <w:t xml:space="preserve"> </w:t>
      </w:r>
      <w:proofErr w:type="spellStart"/>
      <w:r w:rsidRPr="00D12ECD">
        <w:t>quantitativa</w:t>
      </w:r>
      <w:proofErr w:type="spellEnd"/>
      <w:r w:rsidRPr="00D12ECD">
        <w:t xml:space="preserve"> </w:t>
      </w:r>
      <w:proofErr w:type="spellStart"/>
      <w:r w:rsidRPr="00D12ECD">
        <w:t>com</w:t>
      </w:r>
      <w:proofErr w:type="spellEnd"/>
      <w:r w:rsidRPr="00D12ECD">
        <w:t xml:space="preserve"> </w:t>
      </w:r>
      <w:proofErr w:type="spellStart"/>
      <w:r w:rsidRPr="00D12ECD">
        <w:t>o</w:t>
      </w:r>
      <w:proofErr w:type="spellEnd"/>
      <w:r w:rsidRPr="00D12ECD">
        <w:t xml:space="preserve"> objetivo de validar </w:t>
      </w:r>
      <w:proofErr w:type="spellStart"/>
      <w:r w:rsidRPr="00D12ECD">
        <w:t>nossa</w:t>
      </w:r>
      <w:proofErr w:type="spellEnd"/>
      <w:r w:rsidRPr="00D12ECD">
        <w:t xml:space="preserve"> </w:t>
      </w:r>
      <w:proofErr w:type="spellStart"/>
      <w:r w:rsidRPr="00D12ECD">
        <w:t>hipótese</w:t>
      </w:r>
      <w:proofErr w:type="spellEnd"/>
      <w:r w:rsidRPr="00D12ECD">
        <w:t xml:space="preserve">. A </w:t>
      </w:r>
      <w:proofErr w:type="spellStart"/>
      <w:r w:rsidRPr="00D12ECD">
        <w:t>população</w:t>
      </w:r>
      <w:proofErr w:type="spellEnd"/>
      <w:r w:rsidRPr="00D12ECD">
        <w:t xml:space="preserve"> em </w:t>
      </w:r>
      <w:proofErr w:type="spellStart"/>
      <w:r w:rsidRPr="00D12ECD">
        <w:t>estudo</w:t>
      </w:r>
      <w:proofErr w:type="spellEnd"/>
      <w:r w:rsidRPr="00D12ECD">
        <w:t xml:space="preserve"> </w:t>
      </w:r>
      <w:proofErr w:type="spellStart"/>
      <w:r w:rsidRPr="00D12ECD">
        <w:t>incluiu</w:t>
      </w:r>
      <w:proofErr w:type="spellEnd"/>
      <w:r w:rsidRPr="00D12ECD">
        <w:t xml:space="preserve"> </w:t>
      </w:r>
      <w:proofErr w:type="spellStart"/>
      <w:r w:rsidRPr="00D12ECD">
        <w:t>alunos</w:t>
      </w:r>
      <w:proofErr w:type="spellEnd"/>
      <w:r w:rsidRPr="00D12ECD">
        <w:t xml:space="preserve"> matriculados nos </w:t>
      </w:r>
      <w:proofErr w:type="spellStart"/>
      <w:r w:rsidRPr="00D12ECD">
        <w:t>quatro</w:t>
      </w:r>
      <w:proofErr w:type="spellEnd"/>
      <w:r w:rsidRPr="00D12ECD">
        <w:t xml:space="preserve"> cursos de </w:t>
      </w:r>
      <w:proofErr w:type="spellStart"/>
      <w:r w:rsidRPr="00D12ECD">
        <w:t>bacharelado</w:t>
      </w:r>
      <w:proofErr w:type="spellEnd"/>
      <w:r w:rsidRPr="00D12ECD">
        <w:t xml:space="preserve"> </w:t>
      </w:r>
      <w:proofErr w:type="spellStart"/>
      <w:r w:rsidRPr="00D12ECD">
        <w:t>oferecidos</w:t>
      </w:r>
      <w:proofErr w:type="spellEnd"/>
      <w:r w:rsidRPr="00D12ECD">
        <w:t xml:space="preserve"> pela </w:t>
      </w:r>
      <w:proofErr w:type="spellStart"/>
      <w:r w:rsidRPr="00D12ECD">
        <w:t>Faculdade</w:t>
      </w:r>
      <w:proofErr w:type="spellEnd"/>
      <w:r w:rsidRPr="00D12ECD">
        <w:t xml:space="preserve"> de </w:t>
      </w:r>
      <w:proofErr w:type="spellStart"/>
      <w:r w:rsidRPr="00D12ECD">
        <w:t>Comércio</w:t>
      </w:r>
      <w:proofErr w:type="spellEnd"/>
      <w:r w:rsidRPr="00D12ECD">
        <w:t xml:space="preserve"> e </w:t>
      </w:r>
      <w:proofErr w:type="spellStart"/>
      <w:r w:rsidRPr="00D12ECD">
        <w:t>Administração</w:t>
      </w:r>
      <w:proofErr w:type="spellEnd"/>
      <w:r w:rsidRPr="00D12ECD">
        <w:t xml:space="preserve"> de Victoria. </w:t>
      </w:r>
      <w:proofErr w:type="spellStart"/>
      <w:r w:rsidRPr="00D12ECD">
        <w:t>Desta</w:t>
      </w:r>
      <w:proofErr w:type="spellEnd"/>
      <w:r w:rsidRPr="00D12ECD">
        <w:t xml:space="preserve"> </w:t>
      </w:r>
      <w:proofErr w:type="spellStart"/>
      <w:r w:rsidRPr="00D12ECD">
        <w:t>população</w:t>
      </w:r>
      <w:proofErr w:type="spellEnd"/>
      <w:r w:rsidRPr="00D12ECD">
        <w:t xml:space="preserve"> </w:t>
      </w:r>
      <w:proofErr w:type="spellStart"/>
      <w:r w:rsidRPr="00D12ECD">
        <w:t>foi</w:t>
      </w:r>
      <w:proofErr w:type="spellEnd"/>
      <w:r w:rsidRPr="00D12ECD">
        <w:t xml:space="preserve"> </w:t>
      </w:r>
      <w:proofErr w:type="spellStart"/>
      <w:r w:rsidRPr="00D12ECD">
        <w:t>selecionada</w:t>
      </w:r>
      <w:proofErr w:type="spellEnd"/>
      <w:r w:rsidRPr="00D12ECD">
        <w:t xml:space="preserve"> </w:t>
      </w:r>
      <w:proofErr w:type="spellStart"/>
      <w:r w:rsidRPr="00D12ECD">
        <w:t>uma</w:t>
      </w:r>
      <w:proofErr w:type="spellEnd"/>
      <w:r w:rsidRPr="00D12ECD">
        <w:t xml:space="preserve"> </w:t>
      </w:r>
      <w:proofErr w:type="spellStart"/>
      <w:r w:rsidRPr="00D12ECD">
        <w:t>amostra</w:t>
      </w:r>
      <w:proofErr w:type="spellEnd"/>
      <w:r w:rsidRPr="00D12ECD">
        <w:t xml:space="preserve"> </w:t>
      </w:r>
      <w:proofErr w:type="spellStart"/>
      <w:r w:rsidRPr="00D12ECD">
        <w:t>aleatória</w:t>
      </w:r>
      <w:proofErr w:type="spellEnd"/>
      <w:r w:rsidRPr="00D12ECD">
        <w:t xml:space="preserve"> de 334 </w:t>
      </w:r>
      <w:proofErr w:type="spellStart"/>
      <w:r w:rsidRPr="00D12ECD">
        <w:t>estudantes</w:t>
      </w:r>
      <w:proofErr w:type="spellEnd"/>
      <w:r w:rsidRPr="00D12ECD">
        <w:t xml:space="preserve">. A coleta de dados </w:t>
      </w:r>
      <w:proofErr w:type="spellStart"/>
      <w:r w:rsidRPr="00D12ECD">
        <w:t>foi</w:t>
      </w:r>
      <w:proofErr w:type="spellEnd"/>
      <w:r w:rsidRPr="00D12ECD">
        <w:t xml:space="preserve"> realizada por </w:t>
      </w:r>
      <w:proofErr w:type="spellStart"/>
      <w:r w:rsidRPr="00D12ECD">
        <w:t>meio</w:t>
      </w:r>
      <w:proofErr w:type="spellEnd"/>
      <w:r w:rsidRPr="00D12ECD">
        <w:t xml:space="preserve"> de </w:t>
      </w:r>
      <w:proofErr w:type="spellStart"/>
      <w:r w:rsidRPr="00D12ECD">
        <w:t>questionário</w:t>
      </w:r>
      <w:proofErr w:type="spellEnd"/>
      <w:r w:rsidRPr="00D12ECD">
        <w:t xml:space="preserve"> </w:t>
      </w:r>
      <w:proofErr w:type="spellStart"/>
      <w:r w:rsidRPr="00D12ECD">
        <w:t>estruturado</w:t>
      </w:r>
      <w:proofErr w:type="spellEnd"/>
      <w:r w:rsidRPr="00D12ECD">
        <w:t xml:space="preserve"> composto por 35 </w:t>
      </w:r>
      <w:proofErr w:type="spellStart"/>
      <w:r w:rsidRPr="00D12ECD">
        <w:t>itens</w:t>
      </w:r>
      <w:proofErr w:type="spellEnd"/>
      <w:r w:rsidRPr="00D12ECD">
        <w:t xml:space="preserve">. A </w:t>
      </w:r>
      <w:proofErr w:type="spellStart"/>
      <w:r w:rsidRPr="00D12ECD">
        <w:t>análise</w:t>
      </w:r>
      <w:proofErr w:type="spellEnd"/>
      <w:r w:rsidRPr="00D12ECD">
        <w:t xml:space="preserve"> de </w:t>
      </w:r>
      <w:proofErr w:type="spellStart"/>
      <w:r w:rsidRPr="00D12ECD">
        <w:t>confiabilidade</w:t>
      </w:r>
      <w:proofErr w:type="spellEnd"/>
      <w:r w:rsidRPr="00D12ECD">
        <w:t xml:space="preserve">, avaliada </w:t>
      </w:r>
      <w:proofErr w:type="spellStart"/>
      <w:r w:rsidRPr="00D12ECD">
        <w:t>através</w:t>
      </w:r>
      <w:proofErr w:type="spellEnd"/>
      <w:r w:rsidRPr="00D12ECD">
        <w:t xml:space="preserve"> do índice alfa de Cronbach, </w:t>
      </w:r>
      <w:proofErr w:type="spellStart"/>
      <w:r w:rsidRPr="00D12ECD">
        <w:t>obteve</w:t>
      </w:r>
      <w:proofErr w:type="spellEnd"/>
      <w:r w:rsidRPr="00D12ECD">
        <w:t xml:space="preserve"> valor de 0,739, indicando alta </w:t>
      </w:r>
      <w:proofErr w:type="spellStart"/>
      <w:r w:rsidRPr="00D12ECD">
        <w:t>confiabilidade</w:t>
      </w:r>
      <w:proofErr w:type="spellEnd"/>
      <w:r w:rsidRPr="00D12ECD">
        <w:t xml:space="preserve"> nos resultados </w:t>
      </w:r>
      <w:proofErr w:type="spellStart"/>
      <w:r w:rsidRPr="00D12ECD">
        <w:t>obtidos</w:t>
      </w:r>
      <w:proofErr w:type="spellEnd"/>
      <w:r w:rsidRPr="00D12ECD">
        <w:t xml:space="preserve">. Este </w:t>
      </w:r>
      <w:proofErr w:type="spellStart"/>
      <w:r w:rsidRPr="00D12ECD">
        <w:t>estudo</w:t>
      </w:r>
      <w:proofErr w:type="spellEnd"/>
      <w:r w:rsidRPr="00D12ECD">
        <w:t xml:space="preserve"> </w:t>
      </w:r>
      <w:proofErr w:type="spellStart"/>
      <w:r w:rsidRPr="00D12ECD">
        <w:t>considerou</w:t>
      </w:r>
      <w:proofErr w:type="spellEnd"/>
      <w:r w:rsidRPr="00D12ECD">
        <w:t xml:space="preserve"> a </w:t>
      </w:r>
      <w:proofErr w:type="spellStart"/>
      <w:r w:rsidRPr="00D12ECD">
        <w:t>percepção</w:t>
      </w:r>
      <w:proofErr w:type="spellEnd"/>
      <w:r w:rsidRPr="00D12ECD">
        <w:t xml:space="preserve"> dos </w:t>
      </w:r>
      <w:proofErr w:type="spellStart"/>
      <w:r w:rsidRPr="00D12ECD">
        <w:t>estudantes</w:t>
      </w:r>
      <w:proofErr w:type="spellEnd"/>
      <w:r w:rsidRPr="00D12ECD">
        <w:t xml:space="preserve"> </w:t>
      </w:r>
      <w:proofErr w:type="spellStart"/>
      <w:r w:rsidRPr="00D12ECD">
        <w:t>universitários</w:t>
      </w:r>
      <w:proofErr w:type="spellEnd"/>
      <w:r w:rsidRPr="00D12ECD">
        <w:t xml:space="preserve"> em seis </w:t>
      </w:r>
      <w:proofErr w:type="spellStart"/>
      <w:r w:rsidRPr="00D12ECD">
        <w:t>dimensões</w:t>
      </w:r>
      <w:proofErr w:type="spellEnd"/>
      <w:r w:rsidRPr="00D12ECD">
        <w:t xml:space="preserve"> </w:t>
      </w:r>
      <w:proofErr w:type="spellStart"/>
      <w:r w:rsidRPr="00D12ECD">
        <w:t>principais</w:t>
      </w:r>
      <w:proofErr w:type="spellEnd"/>
      <w:r w:rsidRPr="00D12ECD">
        <w:t xml:space="preserve">, </w:t>
      </w:r>
      <w:proofErr w:type="spellStart"/>
      <w:r w:rsidRPr="00D12ECD">
        <w:t>tendo</w:t>
      </w:r>
      <w:proofErr w:type="spellEnd"/>
      <w:r w:rsidRPr="00D12ECD">
        <w:t xml:space="preserve"> em conta as </w:t>
      </w:r>
      <w:proofErr w:type="spellStart"/>
      <w:r w:rsidRPr="00D12ECD">
        <w:t>condições</w:t>
      </w:r>
      <w:proofErr w:type="spellEnd"/>
      <w:r w:rsidRPr="00D12ECD">
        <w:t xml:space="preserve"> de </w:t>
      </w:r>
      <w:proofErr w:type="spellStart"/>
      <w:r w:rsidRPr="00D12ECD">
        <w:t>infraestrutura</w:t>
      </w:r>
      <w:proofErr w:type="spellEnd"/>
      <w:r w:rsidRPr="00D12ECD">
        <w:t xml:space="preserve">, </w:t>
      </w:r>
      <w:proofErr w:type="spellStart"/>
      <w:r w:rsidRPr="00D12ECD">
        <w:t>conectividade</w:t>
      </w:r>
      <w:proofErr w:type="spellEnd"/>
      <w:r w:rsidRPr="00D12ECD">
        <w:t xml:space="preserve"> e </w:t>
      </w:r>
      <w:proofErr w:type="spellStart"/>
      <w:r w:rsidRPr="00D12ECD">
        <w:t>conhecimento</w:t>
      </w:r>
      <w:proofErr w:type="spellEnd"/>
      <w:r w:rsidRPr="00D12ECD">
        <w:t xml:space="preserve"> </w:t>
      </w:r>
      <w:proofErr w:type="spellStart"/>
      <w:r w:rsidRPr="00D12ECD">
        <w:t>nas</w:t>
      </w:r>
      <w:proofErr w:type="spellEnd"/>
      <w:r w:rsidRPr="00D12ECD">
        <w:t xml:space="preserve"> diversas plataformas, que </w:t>
      </w:r>
      <w:proofErr w:type="spellStart"/>
      <w:r w:rsidRPr="00D12ECD">
        <w:t>influenciam</w:t>
      </w:r>
      <w:proofErr w:type="spellEnd"/>
      <w:r w:rsidRPr="00D12ECD">
        <w:t xml:space="preserve"> o </w:t>
      </w:r>
      <w:proofErr w:type="spellStart"/>
      <w:r w:rsidRPr="00D12ECD">
        <w:t>processo</w:t>
      </w:r>
      <w:proofErr w:type="spellEnd"/>
      <w:r w:rsidRPr="00D12ECD">
        <w:t xml:space="preserve"> de </w:t>
      </w:r>
      <w:proofErr w:type="spellStart"/>
      <w:r w:rsidRPr="00D12ECD">
        <w:t>ensino-aprendizagem</w:t>
      </w:r>
      <w:proofErr w:type="spellEnd"/>
      <w:r w:rsidRPr="00D12ECD">
        <w:t xml:space="preserve">: i. </w:t>
      </w:r>
      <w:proofErr w:type="spellStart"/>
      <w:r w:rsidRPr="00D12ECD">
        <w:t>participação</w:t>
      </w:r>
      <w:proofErr w:type="spellEnd"/>
      <w:r w:rsidRPr="00D12ECD">
        <w:t xml:space="preserve"> </w:t>
      </w:r>
      <w:proofErr w:type="spellStart"/>
      <w:r w:rsidRPr="00D12ECD">
        <w:t>acadêmica</w:t>
      </w:r>
      <w:proofErr w:type="spellEnd"/>
      <w:r w:rsidRPr="00D12ECD">
        <w:t xml:space="preserve">, </w:t>
      </w:r>
      <w:proofErr w:type="spellStart"/>
      <w:r w:rsidRPr="00D12ECD">
        <w:t>ii</w:t>
      </w:r>
      <w:proofErr w:type="spellEnd"/>
      <w:r w:rsidRPr="00D12ECD">
        <w:t xml:space="preserve">. </w:t>
      </w:r>
      <w:proofErr w:type="spellStart"/>
      <w:r w:rsidRPr="00D12ECD">
        <w:t>qualidade</w:t>
      </w:r>
      <w:proofErr w:type="spellEnd"/>
      <w:r w:rsidRPr="00D12ECD">
        <w:t xml:space="preserve"> educacional, </w:t>
      </w:r>
      <w:proofErr w:type="spellStart"/>
      <w:r w:rsidRPr="00D12ECD">
        <w:t>iii</w:t>
      </w:r>
      <w:proofErr w:type="spellEnd"/>
      <w:r w:rsidRPr="00D12ECD">
        <w:t xml:space="preserve">. </w:t>
      </w:r>
      <w:proofErr w:type="spellStart"/>
      <w:r w:rsidRPr="00D12ECD">
        <w:t>incorporação</w:t>
      </w:r>
      <w:proofErr w:type="spellEnd"/>
      <w:r w:rsidRPr="00D12ECD">
        <w:t xml:space="preserve"> tecnológica, </w:t>
      </w:r>
      <w:proofErr w:type="spellStart"/>
      <w:r w:rsidRPr="00D12ECD">
        <w:t>iv</w:t>
      </w:r>
      <w:proofErr w:type="spellEnd"/>
      <w:r w:rsidRPr="00D12ECD">
        <w:t xml:space="preserve">. </w:t>
      </w:r>
      <w:proofErr w:type="spellStart"/>
      <w:r w:rsidRPr="00D12ECD">
        <w:t>apoio</w:t>
      </w:r>
      <w:proofErr w:type="spellEnd"/>
      <w:r w:rsidRPr="00D12ECD">
        <w:t xml:space="preserve"> </w:t>
      </w:r>
      <w:proofErr w:type="spellStart"/>
      <w:r w:rsidRPr="00D12ECD">
        <w:t>acadêmico</w:t>
      </w:r>
      <w:proofErr w:type="spellEnd"/>
      <w:r w:rsidRPr="00D12ECD">
        <w:t xml:space="preserve">, v. </w:t>
      </w:r>
      <w:proofErr w:type="spellStart"/>
      <w:r w:rsidRPr="00D12ECD">
        <w:t>competências</w:t>
      </w:r>
      <w:proofErr w:type="spellEnd"/>
      <w:r w:rsidRPr="00D12ECD">
        <w:t xml:space="preserve"> </w:t>
      </w:r>
      <w:proofErr w:type="spellStart"/>
      <w:r w:rsidRPr="00D12ECD">
        <w:t>digitais</w:t>
      </w:r>
      <w:proofErr w:type="spellEnd"/>
      <w:r w:rsidRPr="00D12ECD">
        <w:t xml:space="preserve"> e vi. </w:t>
      </w:r>
      <w:proofErr w:type="spellStart"/>
      <w:r w:rsidRPr="00D12ECD">
        <w:t>flexibilidade</w:t>
      </w:r>
      <w:proofErr w:type="spellEnd"/>
      <w:r w:rsidRPr="00D12ECD">
        <w:t xml:space="preserve"> </w:t>
      </w:r>
      <w:proofErr w:type="spellStart"/>
      <w:r w:rsidRPr="00D12ECD">
        <w:t>acadêmica</w:t>
      </w:r>
      <w:proofErr w:type="spellEnd"/>
      <w:r w:rsidRPr="00D12ECD">
        <w:t>.</w:t>
      </w:r>
    </w:p>
    <w:p w14:paraId="45D5DA37" w14:textId="55D15984" w:rsidR="0026405E" w:rsidRDefault="0026405E" w:rsidP="00622600">
      <w:pPr>
        <w:pStyle w:val="Textoindependiente"/>
        <w:spacing w:line="360" w:lineRule="auto"/>
        <w:ind w:right="-12"/>
        <w:jc w:val="both"/>
      </w:pPr>
      <w:proofErr w:type="spellStart"/>
      <w:r w:rsidRPr="00622600">
        <w:rPr>
          <w:rFonts w:asciiTheme="minorHAnsi" w:hAnsiTheme="minorHAnsi" w:cstheme="minorHAnsi"/>
          <w:b/>
          <w:bCs/>
          <w:sz w:val="28"/>
          <w:szCs w:val="28"/>
        </w:rPr>
        <w:t>Palavras</w:t>
      </w:r>
      <w:proofErr w:type="spellEnd"/>
      <w:r w:rsidRPr="00622600">
        <w:rPr>
          <w:rFonts w:asciiTheme="minorHAnsi" w:hAnsiTheme="minorHAnsi" w:cstheme="minorHAnsi"/>
          <w:b/>
          <w:bCs/>
          <w:sz w:val="28"/>
          <w:szCs w:val="28"/>
        </w:rPr>
        <w:t>-chave:</w:t>
      </w:r>
      <w:r w:rsidRPr="004F4684">
        <w:t xml:space="preserve"> COVID-19, </w:t>
      </w:r>
      <w:proofErr w:type="spellStart"/>
      <w:r w:rsidRPr="004F4684">
        <w:t>Ensino</w:t>
      </w:r>
      <w:proofErr w:type="spellEnd"/>
      <w:r w:rsidRPr="004F4684">
        <w:t xml:space="preserve"> Superior, </w:t>
      </w:r>
      <w:proofErr w:type="spellStart"/>
      <w:r w:rsidRPr="004F4684">
        <w:t>modalidade</w:t>
      </w:r>
      <w:proofErr w:type="spellEnd"/>
      <w:r w:rsidRPr="004F4684">
        <w:t xml:space="preserve"> virtual, </w:t>
      </w:r>
      <w:proofErr w:type="spellStart"/>
      <w:r w:rsidRPr="004F4684">
        <w:t>tecnologias</w:t>
      </w:r>
      <w:proofErr w:type="spellEnd"/>
      <w:r w:rsidRPr="004F4684">
        <w:t xml:space="preserve"> de </w:t>
      </w:r>
      <w:proofErr w:type="spellStart"/>
      <w:r w:rsidRPr="004F4684">
        <w:t>informação</w:t>
      </w:r>
      <w:proofErr w:type="spellEnd"/>
      <w:r w:rsidRPr="004F4684">
        <w:t xml:space="preserve">, </w:t>
      </w:r>
      <w:proofErr w:type="spellStart"/>
      <w:r w:rsidRPr="004F4684">
        <w:t>estudantes</w:t>
      </w:r>
      <w:proofErr w:type="spellEnd"/>
      <w:r w:rsidRPr="004F4684">
        <w:t xml:space="preserve"> </w:t>
      </w:r>
      <w:proofErr w:type="spellStart"/>
      <w:r w:rsidRPr="004F4684">
        <w:t>universitários</w:t>
      </w:r>
      <w:proofErr w:type="spellEnd"/>
      <w:r w:rsidRPr="004F4684">
        <w:t>.</w:t>
      </w:r>
    </w:p>
    <w:p w14:paraId="6AEA7D37" w14:textId="4695C651" w:rsidR="00622600" w:rsidRPr="004334EF" w:rsidRDefault="00622600" w:rsidP="0062260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Enero 2024</w:t>
      </w:r>
    </w:p>
    <w:p w14:paraId="196FDE40" w14:textId="40D2A0F7" w:rsidR="00622600" w:rsidRPr="004F4684" w:rsidRDefault="00000000" w:rsidP="00622600">
      <w:pPr>
        <w:pStyle w:val="Textoindependiente"/>
        <w:spacing w:line="360" w:lineRule="auto"/>
        <w:ind w:right="-12"/>
        <w:jc w:val="both"/>
      </w:pPr>
      <w:r>
        <w:rPr>
          <w:noProof/>
        </w:rPr>
        <w:pict w14:anchorId="62AB911A">
          <v:rect id="_x0000_i1025" style="width:441.9pt;height:.05pt" o:hralign="center" o:hrstd="t" o:hr="t" fillcolor="#a0a0a0" stroked="f"/>
        </w:pict>
      </w:r>
    </w:p>
    <w:p w14:paraId="1046264E" w14:textId="36C0A32F" w:rsidR="00DC35D9" w:rsidRPr="004F4684" w:rsidRDefault="004A6A64" w:rsidP="00D91EFE">
      <w:pPr>
        <w:pStyle w:val="Textoindependiente"/>
        <w:spacing w:line="360" w:lineRule="auto"/>
        <w:ind w:right="-12"/>
        <w:jc w:val="center"/>
        <w:rPr>
          <w:b/>
          <w:bCs/>
          <w:sz w:val="32"/>
          <w:szCs w:val="32"/>
        </w:rPr>
      </w:pPr>
      <w:r w:rsidRPr="004F4684">
        <w:rPr>
          <w:b/>
          <w:bCs/>
          <w:sz w:val="32"/>
          <w:szCs w:val="32"/>
        </w:rPr>
        <w:t>Introducción</w:t>
      </w:r>
    </w:p>
    <w:p w14:paraId="1BAAD134" w14:textId="1EFC193D" w:rsidR="00EB1420" w:rsidRPr="00A36DD8" w:rsidRDefault="00EB1420" w:rsidP="00D36A0D">
      <w:pPr>
        <w:pStyle w:val="Textoindependiente"/>
        <w:spacing w:line="360" w:lineRule="auto"/>
        <w:ind w:right="-12" w:firstLine="567"/>
        <w:jc w:val="both"/>
      </w:pPr>
      <w:r w:rsidRPr="004F4684">
        <w:t>Ante el cierre generalizado de los planteles educativos derivado de la pandemia de COVID-19, y según datos proporcionados por la Organización de las Naciones Unidas para la Educación, la Ciencia y la Cultura (U</w:t>
      </w:r>
      <w:r w:rsidR="00D36A0D" w:rsidRPr="004F4684">
        <w:t>nesco</w:t>
      </w:r>
      <w:r w:rsidRPr="004F4684">
        <w:t>)</w:t>
      </w:r>
      <w:r w:rsidR="00D36A0D">
        <w:t>, en abril de 2020</w:t>
      </w:r>
      <w:r w:rsidRPr="004F4684">
        <w:t xml:space="preserve"> más del </w:t>
      </w:r>
      <w:r w:rsidR="00D36A0D">
        <w:t>90 %</w:t>
      </w:r>
      <w:r w:rsidRPr="004F4684">
        <w:t xml:space="preserve"> de los estudiantes a nivel mundial se vieron afectados por la suspensión de todas las actividades educativas en modalidad presencial. Esta medida sin precedentes generó la necesidad de que todos los actores académicos, incluyendo directivos, docentes y alumnos, se adaptaran a nuevas alternativas para los procesos de enseñanza tradicionales, </w:t>
      </w:r>
      <w:r w:rsidR="00D36A0D">
        <w:t xml:space="preserve">lo que obligó a transitar </w:t>
      </w:r>
      <w:r w:rsidRPr="004F4684">
        <w:t xml:space="preserve">hacia una modalidad virtual </w:t>
      </w:r>
      <w:r w:rsidR="00D36A0D">
        <w:t>apoyada en</w:t>
      </w:r>
      <w:r w:rsidRPr="004F4684">
        <w:t xml:space="preserve"> herramientas y plata</w:t>
      </w:r>
      <w:r w:rsidR="00D36A0D">
        <w:t>formas de educación a distancia,</w:t>
      </w:r>
      <w:r w:rsidRPr="004F4684">
        <w:t xml:space="preserve"> transición </w:t>
      </w:r>
      <w:r w:rsidR="00D36A0D">
        <w:t xml:space="preserve">que </w:t>
      </w:r>
      <w:r w:rsidRPr="004F4684">
        <w:t xml:space="preserve">impactó </w:t>
      </w:r>
      <w:r w:rsidRPr="00A36DD8">
        <w:t>significativamente en todos los sistemas educativos (IESALC-UNESCO, 2020).</w:t>
      </w:r>
    </w:p>
    <w:p w14:paraId="6790739E" w14:textId="4427E6C7" w:rsidR="006F64CF" w:rsidRPr="004F4684" w:rsidRDefault="00AA4512" w:rsidP="00D91EFE">
      <w:pPr>
        <w:pStyle w:val="Textoindependiente"/>
        <w:spacing w:line="360" w:lineRule="auto"/>
        <w:ind w:right="-12" w:firstLine="567"/>
        <w:jc w:val="both"/>
      </w:pPr>
      <w:r w:rsidRPr="00A36DD8">
        <w:t>De acuerdo con la información proporcionada por la Organización de las Naciones Unidas (2020), las suspensiones en los sectores educativos impactaron al</w:t>
      </w:r>
      <w:r w:rsidRPr="004F4684">
        <w:t xml:space="preserve"> 94</w:t>
      </w:r>
      <w:r w:rsidR="00D36A0D">
        <w:t xml:space="preserve"> </w:t>
      </w:r>
      <w:r w:rsidRPr="004F4684">
        <w:t xml:space="preserve">% de los </w:t>
      </w:r>
      <w:r w:rsidRPr="004F4684">
        <w:lastRenderedPageBreak/>
        <w:t xml:space="preserve">estudiantes a nivel mundial, </w:t>
      </w:r>
      <w:r w:rsidR="00D36A0D">
        <w:t>lo que afectó</w:t>
      </w:r>
      <w:r w:rsidRPr="004F4684">
        <w:t xml:space="preserve"> de manera más pronunciada a los países en desarrollo. </w:t>
      </w:r>
      <w:r w:rsidR="00D36A0D">
        <w:t>De hecho, l</w:t>
      </w:r>
      <w:r w:rsidRPr="004F4684">
        <w:t xml:space="preserve">a incapacidad de algunos grupos para acceder a las tecnologías se intensificó durante la contingencia, </w:t>
      </w:r>
      <w:r w:rsidR="00D36A0D">
        <w:t>lo que</w:t>
      </w:r>
      <w:r w:rsidRPr="004F4684">
        <w:t xml:space="preserve"> resultó en una pérdida irremediable de oportunidades educativas en poblaciones con carencias significativas</w:t>
      </w:r>
      <w:r w:rsidR="00D36A0D">
        <w:t xml:space="preserve"> y ocasionó</w:t>
      </w:r>
      <w:r w:rsidRPr="004F4684">
        <w:t xml:space="preserve"> </w:t>
      </w:r>
      <w:r w:rsidR="00D36A0D">
        <w:t>e</w:t>
      </w:r>
      <w:r w:rsidRPr="004F4684">
        <w:t xml:space="preserve">l abandono de las aulas o la </w:t>
      </w:r>
      <w:r w:rsidRPr="0059419A">
        <w:t>posposición</w:t>
      </w:r>
      <w:r w:rsidRPr="004F4684">
        <w:t xml:space="preserve"> de las actividades escolares. </w:t>
      </w:r>
    </w:p>
    <w:p w14:paraId="34E2C9B9" w14:textId="0691A69E" w:rsidR="00FE7247" w:rsidRPr="00A36DD8" w:rsidRDefault="00FE7247" w:rsidP="00D91EFE">
      <w:pPr>
        <w:pStyle w:val="Textoindependiente"/>
        <w:spacing w:line="360" w:lineRule="auto"/>
        <w:ind w:right="-12" w:firstLine="567"/>
        <w:jc w:val="both"/>
      </w:pPr>
      <w:r w:rsidRPr="004F4684">
        <w:t xml:space="preserve">La suspensión de clases presenciales en los países de habla hispana llevó al desarrollo de alternativas </w:t>
      </w:r>
      <w:r w:rsidRPr="00A36DD8">
        <w:t xml:space="preserve">de enseñanza a distancia. </w:t>
      </w:r>
      <w:r w:rsidR="00D36A0D" w:rsidRPr="00A36DD8">
        <w:t>Así, s</w:t>
      </w:r>
      <w:r w:rsidRPr="00A36DD8">
        <w:t xml:space="preserve">e emplearon diversas opciones tecnológicas con el único objetivo de dar continuidad a los planes y programas de estudio. Para lograr esto, fue esencial el apoyo y la movilización del personal educativo, </w:t>
      </w:r>
      <w:r w:rsidR="00D36A0D" w:rsidRPr="00A36DD8">
        <w:t>así como priorizar</w:t>
      </w:r>
      <w:r w:rsidRPr="00A36DD8">
        <w:t xml:space="preserve"> la atención a la salud y el bienestar integral de los estudiantes (CEPAL-UNESCO, 2020). De acuerdo con los hallazgos de Brown y </w:t>
      </w:r>
      <w:proofErr w:type="spellStart"/>
      <w:r w:rsidRPr="00A36DD8">
        <w:t>Salmi</w:t>
      </w:r>
      <w:proofErr w:type="spellEnd"/>
      <w:r w:rsidRPr="00A36DD8">
        <w:t xml:space="preserve"> (2020), se revela que</w:t>
      </w:r>
      <w:r w:rsidR="009F3C6C" w:rsidRPr="00A36DD8">
        <w:t>,</w:t>
      </w:r>
      <w:r w:rsidRPr="00A36DD8">
        <w:t xml:space="preserve"> a pesar de la aspiración de muchas instituciones por integrar el aprendizaje en línea, son pocas las que logran cumplir con los estándares necesarios para llevar a cabo esta transición de manera ágil. Este desafío repercute de manera significativa en los alumnos pertenecientes a los grupos más vulnerables, </w:t>
      </w:r>
      <w:r w:rsidR="00D36A0D" w:rsidRPr="00A36DD8">
        <w:t xml:space="preserve">lo que demuestra </w:t>
      </w:r>
      <w:r w:rsidRPr="00A36DD8">
        <w:t xml:space="preserve">la disparidad en el acceso a la educación en línea y </w:t>
      </w:r>
      <w:r w:rsidR="00D36A0D" w:rsidRPr="00A36DD8">
        <w:t>destaca</w:t>
      </w:r>
      <w:r w:rsidRPr="00A36DD8">
        <w:t xml:space="preserve"> la necesidad urgente de </w:t>
      </w:r>
      <w:r w:rsidR="00D36A0D" w:rsidRPr="00A36DD8">
        <w:t>atender</w:t>
      </w:r>
      <w:r w:rsidRPr="00A36DD8">
        <w:t xml:space="preserve"> estas brechas.</w:t>
      </w:r>
    </w:p>
    <w:p w14:paraId="5CBDEFF3" w14:textId="1685654E" w:rsidR="004966D9" w:rsidRPr="00A36DD8" w:rsidRDefault="00D36A0D" w:rsidP="00D91EFE">
      <w:pPr>
        <w:pStyle w:val="Textoindependiente"/>
        <w:spacing w:line="360" w:lineRule="auto"/>
        <w:ind w:right="-12" w:firstLine="567"/>
        <w:jc w:val="both"/>
      </w:pPr>
      <w:r w:rsidRPr="00A36DD8">
        <w:t xml:space="preserve">En este contexto, </w:t>
      </w:r>
      <w:r w:rsidR="004966D9" w:rsidRPr="00A36DD8">
        <w:t xml:space="preserve">las </w:t>
      </w:r>
      <w:r w:rsidRPr="00A36DD8">
        <w:t xml:space="preserve">tecnologías de la información y la comunicación </w:t>
      </w:r>
      <w:r w:rsidR="004966D9" w:rsidRPr="00A36DD8">
        <w:t>(TIC) continúan siendo el principal respaldo para la continuidad de las clases en línea, tanto de manera sincrónica como asincrónica</w:t>
      </w:r>
      <w:r w:rsidRPr="00A36DD8">
        <w:t xml:space="preserve"> (Cabero, </w:t>
      </w:r>
      <w:r w:rsidR="004966D9" w:rsidRPr="00A36DD8">
        <w:t xml:space="preserve">2008). </w:t>
      </w:r>
      <w:r w:rsidRPr="00A36DD8">
        <w:t>Estas herramientas f</w:t>
      </w:r>
      <w:r w:rsidR="004966D9" w:rsidRPr="00A36DD8">
        <w:t xml:space="preserve">acilitan la creación de entornos creativos y flexibles para el proceso de enseñanza-aprendizaje, </w:t>
      </w:r>
      <w:r w:rsidRPr="00A36DD8">
        <w:t>y abren</w:t>
      </w:r>
      <w:r w:rsidR="004966D9" w:rsidRPr="00A36DD8">
        <w:t xml:space="preserve"> nuevas posibilidades informativas</w:t>
      </w:r>
      <w:r w:rsidRPr="00A36DD8">
        <w:t xml:space="preserve"> que permiten superar </w:t>
      </w:r>
      <w:r w:rsidR="004966D9" w:rsidRPr="00A36DD8">
        <w:t xml:space="preserve">las barreras de tiempo y espacio, </w:t>
      </w:r>
      <w:r w:rsidR="002860D7" w:rsidRPr="00A36DD8">
        <w:t xml:space="preserve">así como propiciar </w:t>
      </w:r>
      <w:r w:rsidR="004966D9" w:rsidRPr="00A36DD8">
        <w:t>modelos educativos innovadores. Además, contribuyen al aumento de la conectividad y la interacción, entre otros beneficios.</w:t>
      </w:r>
    </w:p>
    <w:p w14:paraId="08242223" w14:textId="1C5FDC07" w:rsidR="004966D9" w:rsidRPr="00A36DD8" w:rsidRDefault="002860D7" w:rsidP="00D91EFE">
      <w:pPr>
        <w:pStyle w:val="Textoindependiente"/>
        <w:spacing w:line="360" w:lineRule="auto"/>
        <w:ind w:right="-12" w:firstLine="567"/>
        <w:jc w:val="both"/>
      </w:pPr>
      <w:r w:rsidRPr="00A36DD8">
        <w:t>S</w:t>
      </w:r>
      <w:r w:rsidR="004966D9" w:rsidRPr="00A36DD8">
        <w:t xml:space="preserve">egún lo destacado por Coll (2008), las perspectivas para la integración de las TIC como parte de un proceso de mejora continua son considerablemente amplias, </w:t>
      </w:r>
      <w:r w:rsidRPr="00A36DD8">
        <w:t>aunque</w:t>
      </w:r>
      <w:r w:rsidR="004966D9" w:rsidRPr="00A36DD8">
        <w:t xml:space="preserve"> la realidad ha quedado significativamente rezagada en este sentido. La incorporación de las TIC en las aulas</w:t>
      </w:r>
      <w:r w:rsidRPr="00A36DD8">
        <w:t>,</w:t>
      </w:r>
      <w:r w:rsidR="004966D9" w:rsidRPr="00A36DD8">
        <w:t xml:space="preserve"> ya sea en modalidades tradicionales, a distancia o híbridas, modifica los roles tanto de los maestros como de los alumnos. Este cambio implica que los estudiantes alcancen un nivel importante de autosuficiencia en su proceso de aprendizaje, </w:t>
      </w:r>
      <w:r w:rsidRPr="00A36DD8">
        <w:t>lo</w:t>
      </w:r>
      <w:r w:rsidR="004966D9" w:rsidRPr="00A36DD8">
        <w:t xml:space="preserve"> que </w:t>
      </w:r>
      <w:r w:rsidRPr="00A36DD8">
        <w:t xml:space="preserve">significa que </w:t>
      </w:r>
      <w:r w:rsidR="004966D9" w:rsidRPr="00A36DD8">
        <w:t xml:space="preserve">el docente </w:t>
      </w:r>
      <w:r w:rsidRPr="00A36DD8">
        <w:t>deja</w:t>
      </w:r>
      <w:r w:rsidR="004966D9" w:rsidRPr="00A36DD8">
        <w:t xml:space="preserve"> de ser la única fuente de conocimientos para la formación académica y profesional de los alumnos (IESALC-UNESCO, 2020).</w:t>
      </w:r>
    </w:p>
    <w:p w14:paraId="5C2D915A" w14:textId="2793BB3F" w:rsidR="004966D9" w:rsidRPr="004F4684" w:rsidRDefault="00375A36" w:rsidP="00D91EFE">
      <w:pPr>
        <w:pStyle w:val="Textoindependiente"/>
        <w:spacing w:line="360" w:lineRule="auto"/>
        <w:ind w:right="-12" w:firstLine="567"/>
        <w:jc w:val="both"/>
      </w:pPr>
      <w:r w:rsidRPr="00A36DD8">
        <w:t xml:space="preserve">Según </w:t>
      </w:r>
      <w:proofErr w:type="spellStart"/>
      <w:r w:rsidRPr="00A36DD8">
        <w:t>Tinio</w:t>
      </w:r>
      <w:proofErr w:type="spellEnd"/>
      <w:r w:rsidRPr="00A36DD8">
        <w:t xml:space="preserve"> (2003), el uso adec</w:t>
      </w:r>
      <w:r w:rsidRPr="004F4684">
        <w:t xml:space="preserve">uado de herramientas y tecnologías, especialmente las computadoras y la conectividad a internet, tiene el potencial de dar forma a formas innovadoras de educación. En la actualidad, la gestión de las TIC ha tenido un impacto sin precedentes, </w:t>
      </w:r>
      <w:r w:rsidRPr="004F4684">
        <w:lastRenderedPageBreak/>
        <w:t>especialmente en el ámbito educativo, gracias a su accesibilidad y al surgimiento de aplicaciones de fácil manejo tanto para maestros como para estudiantes. Durante la pandemia, los profesores se encontraron con la necesidad de capacitarse de manera autónoma en diversas herramientas tecnológicas para mantener la continuidad de su labor docente.</w:t>
      </w:r>
      <w:r w:rsidR="00FF027A" w:rsidRPr="004F4684">
        <w:t xml:space="preserve"> Esto no solo implicó abordar los contenidos, sino también el desarrollo de habilidades tecnológicas para interactuar con el estudiantado. En un mundo que experimenta una constante modernización, especialmente en el ámbito tecnológico, donde cada día surgen novedades digitales o actualizaciones, los </w:t>
      </w:r>
      <w:r w:rsidR="00FF027A" w:rsidRPr="00A36DD8">
        <w:t>hallazgos de Lloyd (2020)</w:t>
      </w:r>
      <w:r w:rsidR="00FF027A" w:rsidRPr="004F4684">
        <w:t xml:space="preserve"> resaltan la necesidad de estar preparados para adaptarnos a estos cambios.</w:t>
      </w:r>
    </w:p>
    <w:p w14:paraId="484712E1" w14:textId="77777777" w:rsidR="004966D9" w:rsidRPr="004F4684" w:rsidRDefault="004966D9" w:rsidP="00D91EFE">
      <w:pPr>
        <w:pStyle w:val="Textoindependiente"/>
        <w:spacing w:line="360" w:lineRule="auto"/>
        <w:ind w:left="102" w:right="-12" w:firstLine="707"/>
        <w:jc w:val="both"/>
      </w:pPr>
    </w:p>
    <w:p w14:paraId="5477A05A" w14:textId="2A8F69BD" w:rsidR="008C325D" w:rsidRPr="00622600" w:rsidRDefault="008C325D" w:rsidP="00D91EFE">
      <w:pPr>
        <w:pStyle w:val="Textoindependiente"/>
        <w:spacing w:line="360" w:lineRule="auto"/>
        <w:ind w:right="-12"/>
        <w:jc w:val="center"/>
        <w:rPr>
          <w:b/>
          <w:bCs/>
          <w:sz w:val="28"/>
          <w:szCs w:val="28"/>
        </w:rPr>
      </w:pPr>
      <w:r w:rsidRPr="00622600">
        <w:rPr>
          <w:b/>
          <w:bCs/>
          <w:sz w:val="28"/>
          <w:szCs w:val="28"/>
        </w:rPr>
        <w:t xml:space="preserve">Educación </w:t>
      </w:r>
      <w:r w:rsidR="002860D7" w:rsidRPr="00622600">
        <w:rPr>
          <w:b/>
          <w:bCs/>
          <w:sz w:val="28"/>
          <w:szCs w:val="28"/>
        </w:rPr>
        <w:t>v</w:t>
      </w:r>
      <w:r w:rsidRPr="00622600">
        <w:rPr>
          <w:b/>
          <w:bCs/>
          <w:sz w:val="28"/>
          <w:szCs w:val="28"/>
        </w:rPr>
        <w:t>irtual</w:t>
      </w:r>
    </w:p>
    <w:p w14:paraId="4EBCCD54" w14:textId="5A25B682" w:rsidR="00FF027A" w:rsidRPr="00A36DD8" w:rsidRDefault="00F4463E" w:rsidP="002860D7">
      <w:pPr>
        <w:pStyle w:val="Textoindependiente"/>
        <w:spacing w:line="360" w:lineRule="auto"/>
        <w:ind w:right="-12" w:firstLine="567"/>
        <w:jc w:val="both"/>
      </w:pPr>
      <w:r w:rsidRPr="004F4684">
        <w:t>Durante la pandemia, la educación en línea reemplazó rápidamente a las aulas presenciales de aprendizaje</w:t>
      </w:r>
      <w:r w:rsidR="002860D7">
        <w:t>, por lo que l</w:t>
      </w:r>
      <w:r w:rsidRPr="004F4684">
        <w:t xml:space="preserve">os estudiantes </w:t>
      </w:r>
      <w:r w:rsidR="002860D7">
        <w:t>tuvieron que dejar</w:t>
      </w:r>
      <w:r w:rsidRPr="004F4684">
        <w:t xml:space="preserve"> de lado sus actividades sociales para conectarse a través de diversos dispositivos digitales. </w:t>
      </w:r>
      <w:r w:rsidR="002860D7">
        <w:t>Sin embargo, e</w:t>
      </w:r>
      <w:r w:rsidRPr="004F4684">
        <w:t xml:space="preserve">n este nuevo escenario, la conexión entre maestros y alumnos ha experimentado desigualdades notables en </w:t>
      </w:r>
      <w:r w:rsidRPr="00A36DD8">
        <w:t>térm</w:t>
      </w:r>
      <w:r w:rsidR="002860D7" w:rsidRPr="00A36DD8">
        <w:t>inos de participación educativa</w:t>
      </w:r>
      <w:r w:rsidRPr="00A36DD8">
        <w:t xml:space="preserve"> debido a la disparidad de condiciones existentes. </w:t>
      </w:r>
      <w:r w:rsidR="002860D7" w:rsidRPr="00A36DD8">
        <w:t>Por eso, Aguilar (2020)</w:t>
      </w:r>
      <w:r w:rsidRPr="00A36DD8">
        <w:t xml:space="preserve"> </w:t>
      </w:r>
      <w:r w:rsidR="002860D7" w:rsidRPr="00A36DD8">
        <w:t>plantea</w:t>
      </w:r>
      <w:r w:rsidRPr="00A36DD8">
        <w:t xml:space="preserve"> cuestionamientos cruciales como</w:t>
      </w:r>
      <w:r w:rsidR="002860D7" w:rsidRPr="00A36DD8">
        <w:t xml:space="preserve"> los siguientes: ¿q</w:t>
      </w:r>
      <w:r w:rsidRPr="00A36DD8">
        <w:t>ué tipo de enseñanza surg</w:t>
      </w:r>
      <w:r w:rsidR="002860D7" w:rsidRPr="00A36DD8">
        <w:t>e de la educación en línea? y ¿c</w:t>
      </w:r>
      <w:r w:rsidRPr="00A36DD8">
        <w:t>uáles son las problemáticas sociales que se originan en este tipo de realidades virtuales?</w:t>
      </w:r>
    </w:p>
    <w:p w14:paraId="147ED982" w14:textId="23A6AF12" w:rsidR="004E103B" w:rsidRPr="00A36DD8" w:rsidRDefault="004E103B" w:rsidP="00D91EFE">
      <w:pPr>
        <w:pStyle w:val="Textoindependiente"/>
        <w:spacing w:line="360" w:lineRule="auto"/>
        <w:ind w:right="-12" w:firstLine="567"/>
        <w:jc w:val="both"/>
      </w:pPr>
      <w:r w:rsidRPr="00A36DD8">
        <w:t>Lara (2002) conceptualiza la educación virtual como un sistema de enseñanza que fomenta la calidad educativa</w:t>
      </w:r>
      <w:r w:rsidR="002860D7" w:rsidRPr="00A36DD8">
        <w:t xml:space="preserve"> y se sustenta principalmente en</w:t>
      </w:r>
      <w:r w:rsidRPr="00A36DD8">
        <w:t xml:space="preserve"> la flexibilidad, </w:t>
      </w:r>
      <w:r w:rsidR="002860D7" w:rsidRPr="00A36DD8">
        <w:t xml:space="preserve">la cual </w:t>
      </w:r>
      <w:r w:rsidRPr="00A36DD8">
        <w:t>permite adaptarse a tiempos y espacios variables. Este modelo alcanza su máxima apreciación mediante la inclusión tecnológica</w:t>
      </w:r>
      <w:r w:rsidR="002860D7" w:rsidRPr="00A36DD8">
        <w:t xml:space="preserve"> con</w:t>
      </w:r>
      <w:r w:rsidRPr="00A36DD8">
        <w:t xml:space="preserve"> modos asincrónicos, sincrónicos y autónomos.</w:t>
      </w:r>
    </w:p>
    <w:p w14:paraId="0C58AAA1" w14:textId="1326B382" w:rsidR="004502E7" w:rsidRDefault="004502E7" w:rsidP="00D91EFE">
      <w:pPr>
        <w:pStyle w:val="Textoindependiente"/>
        <w:spacing w:line="360" w:lineRule="auto"/>
        <w:ind w:right="-12" w:firstLine="567"/>
        <w:jc w:val="both"/>
      </w:pPr>
      <w:r w:rsidRPr="00A36DD8">
        <w:t xml:space="preserve">La enseñanza en línea durante la pandemia de </w:t>
      </w:r>
      <w:r w:rsidR="002860D7" w:rsidRPr="00A36DD8">
        <w:t>covid</w:t>
      </w:r>
      <w:r w:rsidRPr="00A36DD8">
        <w:t xml:space="preserve">-19 se volvió esencial para la continuidad de los planes y programas educativos. Según Molina-Montalvo </w:t>
      </w:r>
      <w:r w:rsidRPr="00A36DD8">
        <w:rPr>
          <w:i/>
        </w:rPr>
        <w:t>et al</w:t>
      </w:r>
      <w:r w:rsidRPr="00A36DD8">
        <w:t xml:space="preserve">. (2023), la modalidad virtual ha estado históricamente vinculada a instituciones de nivel superior y al sector empresarial. Las universidades de Inglaterra, Estados Unidos y Nueva Zelanda fueron pioneras en la incorporación de cursos a distancia, </w:t>
      </w:r>
      <w:r w:rsidR="002860D7" w:rsidRPr="00A36DD8">
        <w:t>y luego se extendieron</w:t>
      </w:r>
      <w:r w:rsidRPr="00A36DD8">
        <w:t xml:space="preserve"> por Europa y </w:t>
      </w:r>
      <w:r w:rsidR="002860D7" w:rsidRPr="00A36DD8">
        <w:t>Latinoa</w:t>
      </w:r>
      <w:r w:rsidRPr="00A36DD8">
        <w:t xml:space="preserve">mérica. En respuesta a la transformación de la educación virtual en una necesidad imperativa, estas instituciones se han visto </w:t>
      </w:r>
      <w:r w:rsidR="00181923" w:rsidRPr="00A36DD8">
        <w:t>obligadas</w:t>
      </w:r>
      <w:r w:rsidRPr="00A36DD8">
        <w:t xml:space="preserve"> a diseñar nuevos protocolos educativos con la finalidad de preservar la integridad del aprendizaje de los alumnos</w:t>
      </w:r>
      <w:r w:rsidR="002860D7" w:rsidRPr="00A36DD8">
        <w:t xml:space="preserve"> (</w:t>
      </w:r>
      <w:r w:rsidRPr="00A36DD8">
        <w:t>Zuluaga-Gómez y Valencia-Ortiz</w:t>
      </w:r>
      <w:r w:rsidR="002860D7" w:rsidRPr="00A36DD8">
        <w:t xml:space="preserve">, </w:t>
      </w:r>
      <w:r w:rsidRPr="00A36DD8">
        <w:t>2021)</w:t>
      </w:r>
      <w:r w:rsidR="002860D7" w:rsidRPr="00A36DD8">
        <w:t>.</w:t>
      </w:r>
    </w:p>
    <w:p w14:paraId="38BD43FA" w14:textId="77777777" w:rsidR="00720A10" w:rsidRPr="004F4684" w:rsidRDefault="00720A10" w:rsidP="00D91EFE">
      <w:pPr>
        <w:pStyle w:val="Textoindependiente"/>
        <w:spacing w:line="360" w:lineRule="auto"/>
        <w:ind w:right="-12" w:firstLine="567"/>
        <w:jc w:val="both"/>
      </w:pPr>
    </w:p>
    <w:p w14:paraId="12CC71AE" w14:textId="2FAD0538" w:rsidR="00D26C15" w:rsidRPr="00A36DD8" w:rsidRDefault="00D26C15" w:rsidP="00622600">
      <w:pPr>
        <w:pStyle w:val="Textoindependiente"/>
        <w:spacing w:line="360" w:lineRule="auto"/>
        <w:ind w:right="-12" w:firstLine="567"/>
        <w:jc w:val="both"/>
      </w:pPr>
      <w:r w:rsidRPr="004F4684">
        <w:lastRenderedPageBreak/>
        <w:t>La modalidad en línea durante la pandemia se gestionó a través de los medios digitales</w:t>
      </w:r>
      <w:r w:rsidR="002860D7">
        <w:t>, los cuales</w:t>
      </w:r>
      <w:r w:rsidRPr="004F4684">
        <w:t xml:space="preserve"> jugaron un papel fundamental en la enseñanza en línea. </w:t>
      </w:r>
      <w:r w:rsidR="002860D7">
        <w:t xml:space="preserve">Este cambio, por supuesto, exigió </w:t>
      </w:r>
      <w:r w:rsidR="00025358" w:rsidRPr="004F4684">
        <w:t xml:space="preserve">el esfuerzo de los profesores </w:t>
      </w:r>
      <w:r w:rsidR="002860D7">
        <w:t>para</w:t>
      </w:r>
      <w:r w:rsidR="00025358" w:rsidRPr="004F4684">
        <w:t xml:space="preserve"> adaptar programas, metodologías e instrumentos de evaluación, </w:t>
      </w:r>
      <w:r w:rsidR="002860D7">
        <w:t xml:space="preserve">lo que también demandó un proceso constante de reflexión </w:t>
      </w:r>
      <w:r w:rsidR="00025358" w:rsidRPr="004F4684">
        <w:t xml:space="preserve">sobre los aspectos académicos y los recursos tecnológicos disponibles en </w:t>
      </w:r>
      <w:r w:rsidR="00025358" w:rsidRPr="00A36DD8">
        <w:t>cada contexto</w:t>
      </w:r>
      <w:r w:rsidR="002860D7" w:rsidRPr="00A36DD8">
        <w:t xml:space="preserve"> (</w:t>
      </w:r>
      <w:r w:rsidR="00025358" w:rsidRPr="00A36DD8">
        <w:t>García</w:t>
      </w:r>
      <w:r w:rsidR="00D82134" w:rsidRPr="00A36DD8">
        <w:rPr>
          <w:noProof/>
        </w:rPr>
        <w:t xml:space="preserve"> Aretio</w:t>
      </w:r>
      <w:r w:rsidR="002860D7" w:rsidRPr="00A36DD8">
        <w:t xml:space="preserve">, </w:t>
      </w:r>
      <w:r w:rsidR="00025358" w:rsidRPr="00A36DD8">
        <w:t>2021).</w:t>
      </w:r>
    </w:p>
    <w:p w14:paraId="427E1E46" w14:textId="3868AE74" w:rsidR="00025358" w:rsidRPr="004F4684" w:rsidRDefault="00A77161" w:rsidP="00D91EFE">
      <w:pPr>
        <w:pStyle w:val="Textoindependiente"/>
        <w:spacing w:line="360" w:lineRule="auto"/>
        <w:ind w:right="-12" w:firstLine="567"/>
        <w:jc w:val="both"/>
      </w:pPr>
      <w:r w:rsidRPr="00A36DD8">
        <w:t xml:space="preserve">Asimismo, la modalidad a distancia conlleva ventajas para la comunidad académica, ya que promueve habilidades como la sistematización del conocimiento, la introducción de nuevas definiciones y la expansión del lenguaje que fomenta la interconexión y la divulgación. Según </w:t>
      </w:r>
      <w:proofErr w:type="spellStart"/>
      <w:r w:rsidRPr="00A36DD8">
        <w:t>Tennuto</w:t>
      </w:r>
      <w:proofErr w:type="spellEnd"/>
      <w:r w:rsidRPr="00A36DD8">
        <w:t xml:space="preserve"> </w:t>
      </w:r>
      <w:r w:rsidRPr="00A36DD8">
        <w:rPr>
          <w:i/>
        </w:rPr>
        <w:t>et al</w:t>
      </w:r>
      <w:r w:rsidRPr="00A36DD8">
        <w:t xml:space="preserve">. (2003), </w:t>
      </w:r>
      <w:r w:rsidR="006E7503" w:rsidRPr="00A36DD8">
        <w:t xml:space="preserve">a partir de </w:t>
      </w:r>
      <w:r w:rsidRPr="00A36DD8">
        <w:t xml:space="preserve">la inclusión de la educación virtual </w:t>
      </w:r>
      <w:r w:rsidR="00A30E65" w:rsidRPr="00A36DD8">
        <w:t>“se pueden intercambiar varias unidades de información como gráficos, imágenes,</w:t>
      </w:r>
      <w:r w:rsidR="00A30E65" w:rsidRPr="004F4684">
        <w:t xml:space="preserve"> archivos de sonido, bases de datos, entre otros”</w:t>
      </w:r>
      <w:r w:rsidR="002860D7">
        <w:t xml:space="preserve"> (</w:t>
      </w:r>
      <w:r w:rsidR="002860D7" w:rsidRPr="004F4684">
        <w:t>p. 962</w:t>
      </w:r>
      <w:r w:rsidR="002860D7">
        <w:t>)</w:t>
      </w:r>
      <w:r w:rsidRPr="004F4684">
        <w:t xml:space="preserve">, </w:t>
      </w:r>
      <w:r w:rsidR="002860D7">
        <w:t xml:space="preserve">lo que posibilita </w:t>
      </w:r>
      <w:r w:rsidRPr="004F4684">
        <w:t>el acceso más allá del contexto educativo. En este sentido, internet ha facilitado numerosas alternativas de conectividad</w:t>
      </w:r>
      <w:r w:rsidR="002860D7">
        <w:t xml:space="preserve"> y ha dado</w:t>
      </w:r>
      <w:r w:rsidRPr="004F4684">
        <w:t xml:space="preserve"> lugar a un aprendizaje empírico que se basa en métodos vanguardistas adaptados a los requerimientos del alumnado.</w:t>
      </w:r>
    </w:p>
    <w:p w14:paraId="406610AA" w14:textId="77777777" w:rsidR="00E76FBF" w:rsidRPr="00720A10" w:rsidRDefault="00E76FBF" w:rsidP="00D91EFE">
      <w:pPr>
        <w:pStyle w:val="Textoindependiente"/>
        <w:spacing w:line="360" w:lineRule="auto"/>
        <w:ind w:right="-12"/>
        <w:jc w:val="center"/>
        <w:rPr>
          <w:b/>
          <w:bCs/>
        </w:rPr>
      </w:pPr>
    </w:p>
    <w:p w14:paraId="37A4CCEF" w14:textId="5326E36E" w:rsidR="008C325D" w:rsidRPr="00622600" w:rsidRDefault="001E7A43" w:rsidP="00D91EFE">
      <w:pPr>
        <w:pStyle w:val="Textoindependiente"/>
        <w:spacing w:line="360" w:lineRule="auto"/>
        <w:ind w:right="-12"/>
        <w:jc w:val="center"/>
        <w:rPr>
          <w:b/>
          <w:bCs/>
          <w:sz w:val="28"/>
          <w:szCs w:val="28"/>
        </w:rPr>
      </w:pPr>
      <w:r w:rsidRPr="00622600">
        <w:rPr>
          <w:b/>
          <w:bCs/>
          <w:sz w:val="28"/>
          <w:szCs w:val="28"/>
        </w:rPr>
        <w:t>Herramientas</w:t>
      </w:r>
      <w:r w:rsidR="008C325D" w:rsidRPr="00622600">
        <w:rPr>
          <w:b/>
          <w:bCs/>
          <w:sz w:val="28"/>
          <w:szCs w:val="28"/>
        </w:rPr>
        <w:t xml:space="preserve"> tecnológicas </w:t>
      </w:r>
      <w:r w:rsidR="00A2277E" w:rsidRPr="00622600">
        <w:rPr>
          <w:b/>
          <w:bCs/>
          <w:sz w:val="28"/>
          <w:szCs w:val="28"/>
        </w:rPr>
        <w:t>enfocadas</w:t>
      </w:r>
      <w:r w:rsidR="002860D7" w:rsidRPr="00622600">
        <w:rPr>
          <w:b/>
          <w:bCs/>
          <w:sz w:val="28"/>
          <w:szCs w:val="28"/>
        </w:rPr>
        <w:t xml:space="preserve"> en</w:t>
      </w:r>
      <w:r w:rsidR="008C325D" w:rsidRPr="00622600">
        <w:rPr>
          <w:b/>
          <w:bCs/>
          <w:sz w:val="28"/>
          <w:szCs w:val="28"/>
        </w:rPr>
        <w:t xml:space="preserve"> la educación</w:t>
      </w:r>
    </w:p>
    <w:p w14:paraId="2A1A326E" w14:textId="5059C354" w:rsidR="008E1C86" w:rsidRPr="00A36DD8" w:rsidRDefault="00792A8A" w:rsidP="008A24D5">
      <w:pPr>
        <w:pStyle w:val="Textoindependiente"/>
        <w:spacing w:line="360" w:lineRule="auto"/>
        <w:ind w:right="-12" w:firstLine="567"/>
        <w:jc w:val="both"/>
      </w:pPr>
      <w:r w:rsidRPr="004F4684">
        <w:t>El cierre abrupto de los comercios y el aislamiento en los hogares llevó a que gran parte de las actividades cotidianas se tras</w:t>
      </w:r>
      <w:r w:rsidR="008A24D5">
        <w:t>ladaran a plataformas digitales, aunque l</w:t>
      </w:r>
      <w:r w:rsidRPr="004F4684">
        <w:t xml:space="preserve">a impartición de clases no sufrió interrupciones gracias al uso generalizado de dispositivos móviles y computadoras. Las consecuencias de estos cambios se reflejaron en el mantenimiento e incluso aumento de las </w:t>
      </w:r>
      <w:r w:rsidRPr="00A36DD8">
        <w:t>ventas en línea. Además, se generalizó la realización de trámites y servicios gubernamentales</w:t>
      </w:r>
      <w:r w:rsidR="008A24D5" w:rsidRPr="00A36DD8">
        <w:t xml:space="preserve"> (</w:t>
      </w:r>
      <w:r w:rsidRPr="00A36DD8">
        <w:t>Cabero</w:t>
      </w:r>
      <w:r w:rsidR="008A24D5" w:rsidRPr="00A36DD8">
        <w:t>, 2008;</w:t>
      </w:r>
      <w:r w:rsidRPr="00A36DD8">
        <w:t xml:space="preserve"> Castro</w:t>
      </w:r>
      <w:r w:rsidR="008A24D5" w:rsidRPr="00A36DD8">
        <w:t xml:space="preserve">, </w:t>
      </w:r>
      <w:r w:rsidRPr="00A36DD8">
        <w:t>2022).</w:t>
      </w:r>
    </w:p>
    <w:p w14:paraId="06AF88A0" w14:textId="24E73D56" w:rsidR="000C2756" w:rsidRPr="004F4684" w:rsidRDefault="002B1A20" w:rsidP="00D91EFE">
      <w:pPr>
        <w:pStyle w:val="Textoindependiente"/>
        <w:spacing w:line="360" w:lineRule="auto"/>
        <w:ind w:right="-12" w:firstLine="567"/>
        <w:jc w:val="both"/>
      </w:pPr>
      <w:r w:rsidRPr="00A36DD8">
        <w:t xml:space="preserve">Varios estudios, entre ellos el de Alvarado </w:t>
      </w:r>
      <w:r w:rsidRPr="00A36DD8">
        <w:rPr>
          <w:i/>
        </w:rPr>
        <w:t>et al</w:t>
      </w:r>
      <w:r w:rsidRPr="00A36DD8">
        <w:t xml:space="preserve">. (2019), </w:t>
      </w:r>
      <w:r w:rsidR="008A24D5" w:rsidRPr="00A36DD8">
        <w:t xml:space="preserve">Aguilar (2020) y </w:t>
      </w:r>
      <w:r w:rsidRPr="00A36DD8">
        <w:t xml:space="preserve">Castro </w:t>
      </w:r>
      <w:r w:rsidRPr="00A36DD8">
        <w:rPr>
          <w:i/>
        </w:rPr>
        <w:t>et al</w:t>
      </w:r>
      <w:r w:rsidR="008A24D5" w:rsidRPr="00A36DD8">
        <w:t>. (2022)</w:t>
      </w:r>
      <w:r w:rsidRPr="00A36DD8">
        <w:t xml:space="preserve"> resaltan que las redes sociales, incluyendo plataformas populares como WhatsApp y Facebook, experimentaron un aumento significativo en su uso. Este fenómeno se atribuye a la imposibilidad de las personas de acudir físicamente a encuentros</w:t>
      </w:r>
      <w:r w:rsidRPr="004F4684">
        <w:t>, lo que llevó a una preferencia generalizada por la realización de reuniones virtuales a través de estas plataformas. La conveniencia y accesibilidad de estas herramientas las convirtieron en una opción predominante para mantener la conexión social en tiempos en los que las interacciones físicas se vieron limitadas</w:t>
      </w:r>
    </w:p>
    <w:p w14:paraId="3213A1BF" w14:textId="43AACDD8" w:rsidR="00290144" w:rsidRPr="004F4684" w:rsidRDefault="008A24D5" w:rsidP="00D91EFE">
      <w:pPr>
        <w:pStyle w:val="Textoindependiente"/>
        <w:spacing w:line="360" w:lineRule="auto"/>
        <w:ind w:right="-12" w:firstLine="567"/>
        <w:jc w:val="both"/>
      </w:pPr>
      <w:r>
        <w:t xml:space="preserve">En el caso de </w:t>
      </w:r>
      <w:r w:rsidR="00290144" w:rsidRPr="004F4684">
        <w:t xml:space="preserve">las </w:t>
      </w:r>
      <w:r w:rsidRPr="004F4684">
        <w:t xml:space="preserve">instituciones de educación superior </w:t>
      </w:r>
      <w:r w:rsidR="00290144" w:rsidRPr="004F4684">
        <w:t>(IES)</w:t>
      </w:r>
      <w:r>
        <w:t>,</w:t>
      </w:r>
      <w:r w:rsidR="00290144" w:rsidRPr="004F4684">
        <w:t xml:space="preserve"> optaron por utilizar plataformas digitales como alternativa frente a la suspensión de las clases presenciales </w:t>
      </w:r>
      <w:r>
        <w:t>debido a</w:t>
      </w:r>
      <w:r w:rsidR="00290144" w:rsidRPr="004F4684">
        <w:t xml:space="preserve">l aislamiento forzoso. Entre los desafíos que enfrentaron las IES se encontró la necesidad de capacitar a sus docentes en el manejo de estas herramientas. Esta capacitación se vio impulsada </w:t>
      </w:r>
      <w:r w:rsidR="00290144" w:rsidRPr="004F4684">
        <w:lastRenderedPageBreak/>
        <w:t>por la disposición de muchos académicos, a pesar de que, antes de la pandemia, algunos mostraban resistencia a este cambio tecnológico. Los profesores</w:t>
      </w:r>
      <w:r>
        <w:t>, por ende, tuvieron que</w:t>
      </w:r>
      <w:r w:rsidR="00290144" w:rsidRPr="004F4684">
        <w:t xml:space="preserve"> actualizarse para continuar con la impartición de sus clases de manera virtual.</w:t>
      </w:r>
    </w:p>
    <w:p w14:paraId="5E94268F" w14:textId="3861F14C" w:rsidR="00290144" w:rsidRPr="00A36DD8" w:rsidRDefault="00290144" w:rsidP="00D91EFE">
      <w:pPr>
        <w:pStyle w:val="Textoindependiente"/>
        <w:spacing w:line="360" w:lineRule="auto"/>
        <w:ind w:right="-12" w:firstLine="567"/>
        <w:jc w:val="both"/>
      </w:pPr>
      <w:r w:rsidRPr="004F4684">
        <w:t>El principal reto para las IES, a fin de evitar interrupciones en el proceso de enseñanza-aprendizaje durante la transición a la modalidad virtual, fue enfrentar obstáculos significativos debido a las importantes carencias en recursos, infraestructura y conectividad</w:t>
      </w:r>
      <w:r w:rsidR="008A24D5">
        <w:t>. Así, l</w:t>
      </w:r>
      <w:r w:rsidR="00A83628" w:rsidRPr="004F4684">
        <w:t xml:space="preserve">as TIC emergieron como elementos indispensables para dar continuidad a la enseñanza a distancia, </w:t>
      </w:r>
      <w:r w:rsidR="008A24D5">
        <w:t>lo que fomentó</w:t>
      </w:r>
      <w:r w:rsidR="00A83628" w:rsidRPr="004F4684">
        <w:t xml:space="preserve"> el desarrollo de diversas plataformas digitales diseñadas específicamente para el contexto educativo. En este sentido, se </w:t>
      </w:r>
      <w:r w:rsidR="00A83628" w:rsidRPr="00A36DD8">
        <w:t>presentan las plataformas educativas más demandadas</w:t>
      </w:r>
      <w:r w:rsidR="008A24D5" w:rsidRPr="00A36DD8">
        <w:t xml:space="preserve"> fueron </w:t>
      </w:r>
      <w:r w:rsidR="008A24D5" w:rsidRPr="00A36DD8">
        <w:rPr>
          <w:lang w:val="es-CO"/>
        </w:rPr>
        <w:t xml:space="preserve">Google </w:t>
      </w:r>
      <w:proofErr w:type="spellStart"/>
      <w:r w:rsidR="008A24D5" w:rsidRPr="00A36DD8">
        <w:rPr>
          <w:lang w:val="es-CO"/>
        </w:rPr>
        <w:t>Classroom</w:t>
      </w:r>
      <w:proofErr w:type="spellEnd"/>
      <w:r w:rsidR="008A24D5" w:rsidRPr="00A36DD8">
        <w:rPr>
          <w:lang w:val="es-CO"/>
        </w:rPr>
        <w:t xml:space="preserve">, Microsoft </w:t>
      </w:r>
      <w:proofErr w:type="spellStart"/>
      <w:r w:rsidR="008A24D5" w:rsidRPr="00A36DD8">
        <w:rPr>
          <w:lang w:val="es-CO"/>
        </w:rPr>
        <w:t>Teams</w:t>
      </w:r>
      <w:proofErr w:type="spellEnd"/>
      <w:r w:rsidR="008A24D5" w:rsidRPr="00A36DD8">
        <w:rPr>
          <w:lang w:val="es-CO"/>
        </w:rPr>
        <w:t>, E-</w:t>
      </w:r>
      <w:proofErr w:type="spellStart"/>
      <w:r w:rsidR="008A24D5" w:rsidRPr="00A36DD8">
        <w:rPr>
          <w:lang w:val="es-CO"/>
        </w:rPr>
        <w:t>dixgal</w:t>
      </w:r>
      <w:proofErr w:type="spellEnd"/>
      <w:r w:rsidR="008A24D5" w:rsidRPr="00A36DD8">
        <w:rPr>
          <w:lang w:val="es-CO"/>
        </w:rPr>
        <w:t xml:space="preserve"> y </w:t>
      </w:r>
      <w:r w:rsidR="008A24D5" w:rsidRPr="00A36DD8">
        <w:t>Edmodo (</w:t>
      </w:r>
      <w:r w:rsidR="00A83628" w:rsidRPr="00A36DD8">
        <w:t xml:space="preserve">Otero </w:t>
      </w:r>
      <w:r w:rsidR="00A83628" w:rsidRPr="00A36DD8">
        <w:rPr>
          <w:i/>
        </w:rPr>
        <w:t>et al</w:t>
      </w:r>
      <w:r w:rsidR="00A83628" w:rsidRPr="00A36DD8">
        <w:t>.</w:t>
      </w:r>
      <w:r w:rsidR="008A24D5" w:rsidRPr="00A36DD8">
        <w:t>,</w:t>
      </w:r>
      <w:r w:rsidR="00A83628" w:rsidRPr="00A36DD8">
        <w:t xml:space="preserve"> </w:t>
      </w:r>
      <w:r w:rsidR="008A24D5" w:rsidRPr="00A36DD8">
        <w:t xml:space="preserve">2020), las cuales </w:t>
      </w:r>
      <w:r w:rsidR="00A83628" w:rsidRPr="00A36DD8">
        <w:t xml:space="preserve">han demostrado ser fundamentales en el entorno educativo, </w:t>
      </w:r>
      <w:r w:rsidR="008A24D5" w:rsidRPr="00A36DD8">
        <w:t xml:space="preserve">pus han facilitado </w:t>
      </w:r>
      <w:r w:rsidR="00A83628" w:rsidRPr="00A36DD8">
        <w:t>la interacción entre docentes y estudiantes, la distribución de materiales educativos y la realización de actividades académicas de manera virtual</w:t>
      </w:r>
      <w:r w:rsidR="008A24D5" w:rsidRPr="00A36DD8">
        <w:t>.</w:t>
      </w:r>
    </w:p>
    <w:p w14:paraId="199F1C15" w14:textId="77777777" w:rsidR="00EB3BDC" w:rsidRPr="00A36DD8" w:rsidRDefault="00EB3BDC" w:rsidP="00D91EFE">
      <w:pPr>
        <w:pStyle w:val="Textoindependiente"/>
        <w:spacing w:line="360" w:lineRule="auto"/>
        <w:ind w:right="-12"/>
        <w:jc w:val="center"/>
        <w:rPr>
          <w:b/>
          <w:bCs/>
          <w:sz w:val="32"/>
          <w:szCs w:val="32"/>
        </w:rPr>
      </w:pPr>
    </w:p>
    <w:p w14:paraId="7435B42A" w14:textId="08051D63" w:rsidR="00EC4135" w:rsidRPr="00A36DD8" w:rsidRDefault="0059687C" w:rsidP="00D91EFE">
      <w:pPr>
        <w:pStyle w:val="Textoindependiente"/>
        <w:spacing w:line="360" w:lineRule="auto"/>
        <w:ind w:right="-12"/>
        <w:jc w:val="center"/>
        <w:rPr>
          <w:b/>
          <w:bCs/>
          <w:sz w:val="32"/>
          <w:szCs w:val="32"/>
        </w:rPr>
      </w:pPr>
      <w:r w:rsidRPr="00A36DD8">
        <w:rPr>
          <w:b/>
          <w:bCs/>
          <w:sz w:val="32"/>
          <w:szCs w:val="32"/>
        </w:rPr>
        <w:t>Materiales y métodos</w:t>
      </w:r>
    </w:p>
    <w:p w14:paraId="0E4E6771" w14:textId="176BCF85" w:rsidR="007A645E" w:rsidRDefault="00D325E3" w:rsidP="00951C59">
      <w:pPr>
        <w:pStyle w:val="Textoindependiente"/>
        <w:spacing w:line="360" w:lineRule="auto"/>
        <w:ind w:right="-12" w:firstLine="567"/>
        <w:jc w:val="both"/>
      </w:pPr>
      <w:r w:rsidRPr="00A36DD8">
        <w:t xml:space="preserve">Esta investigación </w:t>
      </w:r>
      <w:r w:rsidR="008A24D5" w:rsidRPr="00A36DD8">
        <w:t>tuvo</w:t>
      </w:r>
      <w:r w:rsidRPr="00A36DD8">
        <w:t xml:space="preserve"> como objetivo destacar la percepción de los estudiantes de una universidad pública estatal sobre los desafíos y oportunidades fundamentales surgidos con la implementación de herramientas digitales en el contexto de un modelo educativo en línea como respuesta a la pandemia de </w:t>
      </w:r>
      <w:r w:rsidR="008A24D5" w:rsidRPr="00A36DD8">
        <w:t>covid-19, así como</w:t>
      </w:r>
      <w:r w:rsidRPr="00A36DD8">
        <w:t xml:space="preserve"> examinar sus repercusiones en la educación s</w:t>
      </w:r>
      <w:r w:rsidR="007A645E" w:rsidRPr="00A36DD8">
        <w:t>uperior. El estudio siguió</w:t>
      </w:r>
      <w:r w:rsidRPr="00A36DD8">
        <w:t xml:space="preserve"> un enfoque cuantitativo, orientado a comprender las variables y validar las relaciones de dependencia entre ellas, con un diseño transversal descriptivo que recopila datos en un solo momento, analizando la incidencia de variables en una población determinada</w:t>
      </w:r>
      <w:r w:rsidR="007A645E" w:rsidRPr="00A36DD8">
        <w:t xml:space="preserve"> (</w:t>
      </w:r>
      <w:r w:rsidRPr="00A36DD8">
        <w:t>Hernández</w:t>
      </w:r>
      <w:r w:rsidR="00D82134" w:rsidRPr="00A36DD8">
        <w:rPr>
          <w:noProof/>
        </w:rPr>
        <w:t>-Sampieri</w:t>
      </w:r>
      <w:r w:rsidRPr="00A36DD8">
        <w:t xml:space="preserve"> </w:t>
      </w:r>
      <w:r w:rsidRPr="00A36DD8">
        <w:rPr>
          <w:i/>
        </w:rPr>
        <w:t>et al</w:t>
      </w:r>
      <w:r w:rsidR="007A645E" w:rsidRPr="00A36DD8">
        <w:t xml:space="preserve">., </w:t>
      </w:r>
      <w:r w:rsidRPr="00A36DD8">
        <w:t xml:space="preserve">2014). </w:t>
      </w:r>
      <w:r w:rsidR="007A645E" w:rsidRPr="00A36DD8">
        <w:t>Asimismo, s</w:t>
      </w:r>
      <w:r w:rsidRPr="00A36DD8">
        <w:t xml:space="preserve">e empleó estadística descriptiva, incluyendo frecuencias y porcentajes de respuesta, para caracterizar a los informantes clave en el estudio, según las recomendaciones de </w:t>
      </w:r>
      <w:proofErr w:type="spellStart"/>
      <w:r w:rsidRPr="00A36DD8">
        <w:t>Ritchey</w:t>
      </w:r>
      <w:proofErr w:type="spellEnd"/>
      <w:r w:rsidRPr="00A36DD8">
        <w:t xml:space="preserve"> (2006). Además, se llevó a cabo el análisis estadístico de la información recopilada utilizando el paquete estadístico </w:t>
      </w:r>
      <w:proofErr w:type="spellStart"/>
      <w:r w:rsidRPr="00A36DD8">
        <w:t>Statistical</w:t>
      </w:r>
      <w:proofErr w:type="spellEnd"/>
      <w:r w:rsidRPr="00D325E3">
        <w:t xml:space="preserve"> </w:t>
      </w:r>
      <w:proofErr w:type="spellStart"/>
      <w:r w:rsidRPr="00D325E3">
        <w:t>Package</w:t>
      </w:r>
      <w:proofErr w:type="spellEnd"/>
      <w:r w:rsidRPr="00D325E3">
        <w:t xml:space="preserve"> </w:t>
      </w:r>
      <w:proofErr w:type="spellStart"/>
      <w:r w:rsidRPr="00D325E3">
        <w:t>for</w:t>
      </w:r>
      <w:proofErr w:type="spellEnd"/>
      <w:r w:rsidRPr="00D325E3">
        <w:t xml:space="preserve"> </w:t>
      </w:r>
      <w:proofErr w:type="spellStart"/>
      <w:r w:rsidRPr="00D325E3">
        <w:t>the</w:t>
      </w:r>
      <w:proofErr w:type="spellEnd"/>
      <w:r w:rsidRPr="00D325E3">
        <w:t xml:space="preserve"> Social </w:t>
      </w:r>
      <w:proofErr w:type="spellStart"/>
      <w:r w:rsidRPr="00D325E3">
        <w:t>Sciences</w:t>
      </w:r>
      <w:proofErr w:type="spellEnd"/>
      <w:r w:rsidRPr="00D325E3">
        <w:t xml:space="preserve"> (SPSS)</w:t>
      </w:r>
      <w:r w:rsidR="007A645E">
        <w:t>,</w:t>
      </w:r>
      <w:r w:rsidRPr="00D325E3">
        <w:t xml:space="preserve"> versión 26. </w:t>
      </w:r>
    </w:p>
    <w:p w14:paraId="4354EA08" w14:textId="1B56426A" w:rsidR="00D325E3" w:rsidRDefault="00D325E3" w:rsidP="00951C59">
      <w:pPr>
        <w:pStyle w:val="Textoindependiente"/>
        <w:spacing w:line="360" w:lineRule="auto"/>
        <w:ind w:right="-12" w:firstLine="567"/>
        <w:jc w:val="both"/>
      </w:pPr>
      <w:r w:rsidRPr="00D325E3">
        <w:t xml:space="preserve">La población de interés </w:t>
      </w:r>
      <w:r w:rsidR="007A645E">
        <w:t>estuvo conformada por</w:t>
      </w:r>
      <w:r w:rsidRPr="00D325E3">
        <w:t xml:space="preserve"> 1542 alumnos inscritos en todos los programas de licenciatura ofrecidos por la Facultad de Comercio y Administración Victoria (FCAV), dependiente de la Universidad Autónoma de Tamaulipas. Estos programas incluyen Contador Público (CP), Licenciado en Administración (LA), Licenciado en Tecnologías de la Información (LTI) y Licenciado en Economía y </w:t>
      </w:r>
      <w:r w:rsidRPr="00A36DD8">
        <w:t>Desarrollo Sustentable (LEDS). La muestra aleatoria seleccionada const</w:t>
      </w:r>
      <w:r w:rsidR="007A645E" w:rsidRPr="00A36DD8">
        <w:t>ó</w:t>
      </w:r>
      <w:r w:rsidRPr="00A36DD8">
        <w:t xml:space="preserve"> de 334 estudiantes, </w:t>
      </w:r>
      <w:r w:rsidR="007A645E" w:rsidRPr="00A36DD8">
        <w:t xml:space="preserve">y se procuró </w:t>
      </w:r>
      <w:r w:rsidRPr="00A36DD8">
        <w:t xml:space="preserve">que todos los individuos de la </w:t>
      </w:r>
      <w:r w:rsidRPr="00A36DD8">
        <w:lastRenderedPageBreak/>
        <w:t xml:space="preserve">población </w:t>
      </w:r>
      <w:r w:rsidR="007A645E" w:rsidRPr="00A36DD8">
        <w:t>tuvieran</w:t>
      </w:r>
      <w:r w:rsidRPr="00A36DD8">
        <w:t xml:space="preserve"> la misma oportunidad de ser incluidos (</w:t>
      </w:r>
      <w:proofErr w:type="spellStart"/>
      <w:r w:rsidRPr="00A36DD8">
        <w:t>Otzen</w:t>
      </w:r>
      <w:proofErr w:type="spellEnd"/>
      <w:r w:rsidRPr="00A36DD8">
        <w:t xml:space="preserve"> y Manterola, 2017</w:t>
      </w:r>
      <w:r w:rsidRPr="00D325E3">
        <w:t>) (ver tabla 1).</w:t>
      </w:r>
    </w:p>
    <w:p w14:paraId="6A7F050B" w14:textId="77777777" w:rsidR="00D325E3" w:rsidRPr="00951C59" w:rsidRDefault="00D325E3" w:rsidP="00951C59">
      <w:pPr>
        <w:pStyle w:val="Textoindependiente"/>
        <w:spacing w:line="360" w:lineRule="auto"/>
        <w:ind w:right="-12" w:firstLine="567"/>
        <w:jc w:val="both"/>
      </w:pPr>
    </w:p>
    <w:p w14:paraId="167FF13E" w14:textId="26B6DFC1" w:rsidR="00FA40AE" w:rsidRPr="004F4684" w:rsidRDefault="00FA40AE" w:rsidP="00D91EFE">
      <w:pPr>
        <w:pStyle w:val="3Ttulotabla"/>
        <w:spacing w:before="0" w:after="0" w:line="360" w:lineRule="auto"/>
        <w:ind w:right="-12"/>
        <w:jc w:val="center"/>
        <w:rPr>
          <w:rFonts w:ascii="Times New Roman" w:hAnsi="Times New Roman"/>
          <w:sz w:val="24"/>
          <w:szCs w:val="24"/>
        </w:rPr>
      </w:pPr>
      <w:r w:rsidRPr="004F4684">
        <w:rPr>
          <w:rFonts w:ascii="Times New Roman" w:hAnsi="Times New Roman"/>
          <w:b/>
          <w:bCs/>
          <w:sz w:val="24"/>
          <w:szCs w:val="24"/>
        </w:rPr>
        <w:t xml:space="preserve">Tabla </w:t>
      </w:r>
      <w:r w:rsidR="0066043E" w:rsidRPr="004F4684">
        <w:rPr>
          <w:rFonts w:ascii="Times New Roman" w:hAnsi="Times New Roman"/>
          <w:b/>
          <w:bCs/>
          <w:sz w:val="24"/>
          <w:szCs w:val="24"/>
        </w:rPr>
        <w:t>1</w:t>
      </w:r>
      <w:r w:rsidRPr="004F4684">
        <w:rPr>
          <w:rFonts w:ascii="Times New Roman" w:hAnsi="Times New Roman"/>
          <w:b/>
          <w:bCs/>
          <w:sz w:val="24"/>
          <w:szCs w:val="24"/>
        </w:rPr>
        <w:t>.</w:t>
      </w:r>
      <w:r w:rsidRPr="004F4684">
        <w:rPr>
          <w:rFonts w:ascii="Times New Roman" w:hAnsi="Times New Roman"/>
          <w:sz w:val="24"/>
          <w:szCs w:val="24"/>
        </w:rPr>
        <w:t xml:space="preserve"> Ficha técnica de investigación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4789"/>
      </w:tblGrid>
      <w:tr w:rsidR="00FA40AE" w:rsidRPr="004F4684" w14:paraId="69CA0716" w14:textId="77777777" w:rsidTr="00622600">
        <w:trPr>
          <w:trHeight w:val="315"/>
          <w:jc w:val="center"/>
        </w:trPr>
        <w:tc>
          <w:tcPr>
            <w:tcW w:w="0" w:type="auto"/>
            <w:shd w:val="clear" w:color="auto" w:fill="auto"/>
            <w:noWrap/>
            <w:vAlign w:val="center"/>
            <w:hideMark/>
          </w:tcPr>
          <w:p w14:paraId="45569D5B" w14:textId="77777777" w:rsidR="00FA40AE" w:rsidRPr="004F4684" w:rsidRDefault="00FA40AE" w:rsidP="00951C59">
            <w:pPr>
              <w:keepNext/>
              <w:ind w:right="-11"/>
              <w:jc w:val="center"/>
              <w:rPr>
                <w:color w:val="000000"/>
                <w:sz w:val="24"/>
                <w:szCs w:val="24"/>
                <w:lang w:val="en-US"/>
              </w:rPr>
            </w:pPr>
            <w:r w:rsidRPr="004F4684">
              <w:rPr>
                <w:bCs/>
                <w:color w:val="000000"/>
                <w:sz w:val="24"/>
                <w:szCs w:val="24"/>
                <w:lang w:eastAsia="es-MX"/>
              </w:rPr>
              <w:t>Concepto</w:t>
            </w:r>
          </w:p>
        </w:tc>
        <w:tc>
          <w:tcPr>
            <w:tcW w:w="0" w:type="auto"/>
            <w:shd w:val="clear" w:color="auto" w:fill="auto"/>
            <w:noWrap/>
            <w:vAlign w:val="center"/>
            <w:hideMark/>
          </w:tcPr>
          <w:p w14:paraId="26DF90FD" w14:textId="77777777" w:rsidR="00FA40AE" w:rsidRPr="004F4684" w:rsidRDefault="00FA40AE" w:rsidP="00951C59">
            <w:pPr>
              <w:keepNext/>
              <w:ind w:right="-11"/>
              <w:jc w:val="center"/>
              <w:rPr>
                <w:color w:val="000000"/>
                <w:sz w:val="24"/>
                <w:szCs w:val="24"/>
                <w:lang w:val="en-US"/>
              </w:rPr>
            </w:pPr>
            <w:r w:rsidRPr="004F4684">
              <w:rPr>
                <w:bCs/>
                <w:color w:val="000000"/>
                <w:sz w:val="24"/>
                <w:szCs w:val="24"/>
                <w:lang w:eastAsia="es-MX"/>
              </w:rPr>
              <w:t>Descripción</w:t>
            </w:r>
          </w:p>
        </w:tc>
      </w:tr>
      <w:tr w:rsidR="00FA40AE" w:rsidRPr="004F4684" w14:paraId="606CAC15" w14:textId="77777777" w:rsidTr="00622600">
        <w:trPr>
          <w:trHeight w:val="432"/>
          <w:jc w:val="center"/>
        </w:trPr>
        <w:tc>
          <w:tcPr>
            <w:tcW w:w="0" w:type="auto"/>
            <w:shd w:val="clear" w:color="auto" w:fill="auto"/>
            <w:vAlign w:val="center"/>
            <w:hideMark/>
          </w:tcPr>
          <w:p w14:paraId="067EB448" w14:textId="77777777" w:rsidR="00FA40AE" w:rsidRPr="004F4684" w:rsidRDefault="00FA40AE" w:rsidP="00951C59">
            <w:pPr>
              <w:keepNext/>
              <w:ind w:right="-11"/>
              <w:jc w:val="center"/>
              <w:rPr>
                <w:color w:val="000000"/>
                <w:sz w:val="24"/>
                <w:szCs w:val="24"/>
              </w:rPr>
            </w:pPr>
            <w:r w:rsidRPr="004F4684">
              <w:rPr>
                <w:color w:val="000000"/>
                <w:sz w:val="24"/>
                <w:szCs w:val="24"/>
              </w:rPr>
              <w:t>Trabajo de campo</w:t>
            </w:r>
          </w:p>
        </w:tc>
        <w:tc>
          <w:tcPr>
            <w:tcW w:w="0" w:type="auto"/>
            <w:shd w:val="clear" w:color="auto" w:fill="auto"/>
            <w:vAlign w:val="center"/>
            <w:hideMark/>
          </w:tcPr>
          <w:p w14:paraId="45D6E71A" w14:textId="3667FF10" w:rsidR="00FA40AE" w:rsidRPr="004F4684" w:rsidRDefault="007A645E" w:rsidP="00951C59">
            <w:pPr>
              <w:keepNext/>
              <w:ind w:right="-11"/>
              <w:jc w:val="center"/>
              <w:rPr>
                <w:color w:val="FF0000"/>
                <w:sz w:val="24"/>
                <w:szCs w:val="24"/>
                <w:lang w:val="en-US"/>
              </w:rPr>
            </w:pPr>
            <w:r w:rsidRPr="004F4684">
              <w:rPr>
                <w:sz w:val="24"/>
                <w:szCs w:val="24"/>
              </w:rPr>
              <w:t>A</w:t>
            </w:r>
            <w:r w:rsidR="00D57179" w:rsidRPr="004F4684">
              <w:rPr>
                <w:sz w:val="24"/>
                <w:szCs w:val="24"/>
              </w:rPr>
              <w:t>gosto</w:t>
            </w:r>
            <w:r>
              <w:rPr>
                <w:sz w:val="24"/>
                <w:szCs w:val="24"/>
              </w:rPr>
              <w:t>-</w:t>
            </w:r>
            <w:r w:rsidR="00D57179" w:rsidRPr="004F4684">
              <w:rPr>
                <w:sz w:val="24"/>
                <w:szCs w:val="24"/>
              </w:rPr>
              <w:t>diciembre</w:t>
            </w:r>
            <w:r w:rsidR="00FA40AE" w:rsidRPr="004F4684">
              <w:rPr>
                <w:sz w:val="24"/>
                <w:szCs w:val="24"/>
              </w:rPr>
              <w:t xml:space="preserve"> 202</w:t>
            </w:r>
            <w:r w:rsidR="00D57179" w:rsidRPr="004F4684">
              <w:rPr>
                <w:sz w:val="24"/>
                <w:szCs w:val="24"/>
              </w:rPr>
              <w:t>2</w:t>
            </w:r>
          </w:p>
        </w:tc>
      </w:tr>
      <w:tr w:rsidR="00FA40AE" w:rsidRPr="004F4684" w14:paraId="32A81BE5" w14:textId="77777777" w:rsidTr="00622600">
        <w:trPr>
          <w:trHeight w:val="432"/>
          <w:jc w:val="center"/>
        </w:trPr>
        <w:tc>
          <w:tcPr>
            <w:tcW w:w="0" w:type="auto"/>
            <w:shd w:val="clear" w:color="auto" w:fill="auto"/>
            <w:vAlign w:val="center"/>
          </w:tcPr>
          <w:p w14:paraId="44128116" w14:textId="77777777" w:rsidR="00FA40AE" w:rsidRPr="004F4684" w:rsidRDefault="00FA40AE" w:rsidP="00951C59">
            <w:pPr>
              <w:keepNext/>
              <w:ind w:right="-11"/>
              <w:jc w:val="center"/>
              <w:rPr>
                <w:color w:val="000000"/>
                <w:sz w:val="24"/>
                <w:szCs w:val="24"/>
              </w:rPr>
            </w:pPr>
            <w:r w:rsidRPr="004F4684">
              <w:rPr>
                <w:color w:val="000000"/>
                <w:sz w:val="24"/>
                <w:szCs w:val="24"/>
              </w:rPr>
              <w:t>Enfoque de estudio</w:t>
            </w:r>
          </w:p>
        </w:tc>
        <w:tc>
          <w:tcPr>
            <w:tcW w:w="0" w:type="auto"/>
            <w:shd w:val="clear" w:color="auto" w:fill="auto"/>
            <w:vAlign w:val="center"/>
          </w:tcPr>
          <w:p w14:paraId="14EF1292" w14:textId="77777777" w:rsidR="00FA40AE" w:rsidRPr="004F4684" w:rsidRDefault="00FA40AE" w:rsidP="00951C59">
            <w:pPr>
              <w:keepNext/>
              <w:ind w:right="-11"/>
              <w:jc w:val="center"/>
              <w:rPr>
                <w:sz w:val="24"/>
                <w:szCs w:val="24"/>
              </w:rPr>
            </w:pPr>
            <w:r w:rsidRPr="004F4684">
              <w:rPr>
                <w:sz w:val="24"/>
                <w:szCs w:val="24"/>
              </w:rPr>
              <w:t>Cuantitativo</w:t>
            </w:r>
            <w:r w:rsidR="002105F6" w:rsidRPr="004F4684">
              <w:rPr>
                <w:sz w:val="24"/>
                <w:szCs w:val="24"/>
              </w:rPr>
              <w:t xml:space="preserve"> de</w:t>
            </w:r>
            <w:r w:rsidR="002105F6" w:rsidRPr="004F4684">
              <w:rPr>
                <w:spacing w:val="1"/>
                <w:sz w:val="24"/>
                <w:szCs w:val="24"/>
              </w:rPr>
              <w:t xml:space="preserve"> </w:t>
            </w:r>
            <w:r w:rsidR="002105F6" w:rsidRPr="004F4684">
              <w:rPr>
                <w:sz w:val="24"/>
                <w:szCs w:val="24"/>
              </w:rPr>
              <w:t>tipo</w:t>
            </w:r>
            <w:r w:rsidR="002105F6" w:rsidRPr="004F4684">
              <w:rPr>
                <w:spacing w:val="1"/>
                <w:sz w:val="24"/>
                <w:szCs w:val="24"/>
              </w:rPr>
              <w:t xml:space="preserve"> </w:t>
            </w:r>
            <w:r w:rsidR="002105F6" w:rsidRPr="004F4684">
              <w:rPr>
                <w:sz w:val="24"/>
                <w:szCs w:val="24"/>
              </w:rPr>
              <w:t>descriptiva y transversal</w:t>
            </w:r>
          </w:p>
        </w:tc>
      </w:tr>
      <w:tr w:rsidR="00315586" w:rsidRPr="004F4684" w14:paraId="0EA9FD3C" w14:textId="77777777" w:rsidTr="00622600">
        <w:trPr>
          <w:trHeight w:val="432"/>
          <w:jc w:val="center"/>
        </w:trPr>
        <w:tc>
          <w:tcPr>
            <w:tcW w:w="0" w:type="auto"/>
            <w:shd w:val="clear" w:color="auto" w:fill="auto"/>
            <w:vAlign w:val="center"/>
          </w:tcPr>
          <w:p w14:paraId="7642E426" w14:textId="77777777" w:rsidR="00FA40AE" w:rsidRPr="004F4684" w:rsidRDefault="00301C58" w:rsidP="00951C59">
            <w:pPr>
              <w:keepNext/>
              <w:ind w:right="-11"/>
              <w:jc w:val="center"/>
              <w:rPr>
                <w:color w:val="000000"/>
                <w:sz w:val="24"/>
                <w:szCs w:val="24"/>
              </w:rPr>
            </w:pPr>
            <w:r w:rsidRPr="004F4684">
              <w:rPr>
                <w:color w:val="000000"/>
                <w:sz w:val="24"/>
                <w:szCs w:val="24"/>
              </w:rPr>
              <w:t>Población</w:t>
            </w:r>
            <w:r w:rsidR="00315586" w:rsidRPr="004F4684">
              <w:rPr>
                <w:color w:val="000000"/>
                <w:sz w:val="24"/>
                <w:szCs w:val="24"/>
              </w:rPr>
              <w:t xml:space="preserve"> de estudio</w:t>
            </w:r>
          </w:p>
        </w:tc>
        <w:tc>
          <w:tcPr>
            <w:tcW w:w="0" w:type="auto"/>
            <w:shd w:val="clear" w:color="auto" w:fill="auto"/>
            <w:vAlign w:val="center"/>
          </w:tcPr>
          <w:p w14:paraId="7F377C56" w14:textId="77777777" w:rsidR="00FA40AE" w:rsidRPr="004F4684" w:rsidRDefault="00301C58" w:rsidP="00951C59">
            <w:pPr>
              <w:keepNext/>
              <w:ind w:right="-11"/>
              <w:jc w:val="center"/>
              <w:rPr>
                <w:sz w:val="24"/>
                <w:szCs w:val="24"/>
              </w:rPr>
            </w:pPr>
            <w:r w:rsidRPr="004F4684">
              <w:rPr>
                <w:sz w:val="24"/>
                <w:szCs w:val="24"/>
              </w:rPr>
              <w:t xml:space="preserve">Universidad </w:t>
            </w:r>
            <w:r w:rsidR="00315586" w:rsidRPr="004F4684">
              <w:rPr>
                <w:sz w:val="24"/>
                <w:szCs w:val="24"/>
              </w:rPr>
              <w:t>Autónoma</w:t>
            </w:r>
            <w:r w:rsidR="00FA40AE" w:rsidRPr="004F4684">
              <w:rPr>
                <w:sz w:val="24"/>
                <w:szCs w:val="24"/>
              </w:rPr>
              <w:t xml:space="preserve"> de Tamaulipas (</w:t>
            </w:r>
            <w:r w:rsidRPr="004F4684">
              <w:rPr>
                <w:sz w:val="24"/>
                <w:szCs w:val="24"/>
              </w:rPr>
              <w:t>FCAV</w:t>
            </w:r>
            <w:r w:rsidR="00FA40AE" w:rsidRPr="004F4684">
              <w:rPr>
                <w:sz w:val="24"/>
                <w:szCs w:val="24"/>
              </w:rPr>
              <w:t>)</w:t>
            </w:r>
          </w:p>
        </w:tc>
      </w:tr>
      <w:tr w:rsidR="00FA40AE" w:rsidRPr="004F4684" w14:paraId="62A60806" w14:textId="77777777" w:rsidTr="00622600">
        <w:trPr>
          <w:trHeight w:val="432"/>
          <w:jc w:val="center"/>
        </w:trPr>
        <w:tc>
          <w:tcPr>
            <w:tcW w:w="0" w:type="auto"/>
            <w:shd w:val="clear" w:color="auto" w:fill="auto"/>
            <w:vAlign w:val="center"/>
            <w:hideMark/>
          </w:tcPr>
          <w:p w14:paraId="2A64A25E" w14:textId="77777777" w:rsidR="00FA40AE" w:rsidRPr="004F4684" w:rsidRDefault="00FA40AE" w:rsidP="00951C59">
            <w:pPr>
              <w:keepNext/>
              <w:ind w:right="-11"/>
              <w:jc w:val="center"/>
              <w:rPr>
                <w:color w:val="000000"/>
                <w:sz w:val="24"/>
                <w:szCs w:val="24"/>
                <w:lang w:val="en-US"/>
              </w:rPr>
            </w:pPr>
            <w:r w:rsidRPr="004F4684">
              <w:rPr>
                <w:color w:val="000000"/>
                <w:sz w:val="24"/>
                <w:szCs w:val="24"/>
              </w:rPr>
              <w:t>Aplicación del cuestionario</w:t>
            </w:r>
          </w:p>
        </w:tc>
        <w:tc>
          <w:tcPr>
            <w:tcW w:w="0" w:type="auto"/>
            <w:shd w:val="clear" w:color="auto" w:fill="auto"/>
            <w:vAlign w:val="center"/>
            <w:hideMark/>
          </w:tcPr>
          <w:p w14:paraId="71B5B322" w14:textId="77777777" w:rsidR="00FA40AE" w:rsidRPr="004F4684" w:rsidRDefault="00FA40AE" w:rsidP="00951C59">
            <w:pPr>
              <w:keepNext/>
              <w:ind w:right="-11"/>
              <w:jc w:val="center"/>
              <w:rPr>
                <w:color w:val="FF0000"/>
                <w:sz w:val="24"/>
                <w:szCs w:val="24"/>
              </w:rPr>
            </w:pPr>
            <w:r w:rsidRPr="004F4684">
              <w:rPr>
                <w:sz w:val="24"/>
                <w:szCs w:val="24"/>
              </w:rPr>
              <w:t>Electrónica (</w:t>
            </w:r>
            <w:r w:rsidR="002105F6" w:rsidRPr="007A645E">
              <w:rPr>
                <w:sz w:val="24"/>
                <w:szCs w:val="24"/>
              </w:rPr>
              <w:t>Microsoft</w:t>
            </w:r>
            <w:r w:rsidRPr="007A645E">
              <w:rPr>
                <w:sz w:val="24"/>
                <w:szCs w:val="24"/>
              </w:rPr>
              <w:t xml:space="preserve"> </w:t>
            </w:r>
            <w:proofErr w:type="spellStart"/>
            <w:r w:rsidRPr="007A645E">
              <w:rPr>
                <w:sz w:val="24"/>
                <w:szCs w:val="24"/>
              </w:rPr>
              <w:t>Forms</w:t>
            </w:r>
            <w:proofErr w:type="spellEnd"/>
            <w:r w:rsidRPr="004F4684">
              <w:rPr>
                <w:sz w:val="24"/>
                <w:szCs w:val="24"/>
              </w:rPr>
              <w:t>)</w:t>
            </w:r>
          </w:p>
        </w:tc>
      </w:tr>
      <w:tr w:rsidR="00FA40AE" w:rsidRPr="004F4684" w14:paraId="13AE7990" w14:textId="77777777" w:rsidTr="00622600">
        <w:trPr>
          <w:trHeight w:val="432"/>
          <w:jc w:val="center"/>
        </w:trPr>
        <w:tc>
          <w:tcPr>
            <w:tcW w:w="0" w:type="auto"/>
            <w:shd w:val="clear" w:color="auto" w:fill="auto"/>
            <w:vAlign w:val="center"/>
          </w:tcPr>
          <w:p w14:paraId="6B6A5A0A" w14:textId="77777777" w:rsidR="00FA40AE" w:rsidRPr="004F4684" w:rsidRDefault="00FA40AE" w:rsidP="00951C59">
            <w:pPr>
              <w:keepNext/>
              <w:ind w:right="-11"/>
              <w:jc w:val="center"/>
              <w:rPr>
                <w:color w:val="000000"/>
                <w:sz w:val="24"/>
                <w:szCs w:val="24"/>
              </w:rPr>
            </w:pPr>
            <w:r w:rsidRPr="004F4684">
              <w:rPr>
                <w:color w:val="000000"/>
                <w:sz w:val="24"/>
                <w:szCs w:val="24"/>
              </w:rPr>
              <w:t>Prueba de confiabilidad</w:t>
            </w:r>
          </w:p>
        </w:tc>
        <w:tc>
          <w:tcPr>
            <w:tcW w:w="0" w:type="auto"/>
            <w:shd w:val="clear" w:color="auto" w:fill="auto"/>
            <w:vAlign w:val="center"/>
          </w:tcPr>
          <w:p w14:paraId="6A0D1A15" w14:textId="71DFFEC1" w:rsidR="00FA40AE" w:rsidRPr="004F4684" w:rsidRDefault="007A645E" w:rsidP="00951C59">
            <w:pPr>
              <w:keepNext/>
              <w:ind w:right="-11"/>
              <w:jc w:val="center"/>
              <w:rPr>
                <w:color w:val="FF0000"/>
                <w:sz w:val="24"/>
                <w:szCs w:val="24"/>
              </w:rPr>
            </w:pPr>
            <w:r>
              <w:rPr>
                <w:sz w:val="24"/>
                <w:szCs w:val="24"/>
              </w:rPr>
              <w:t>Alf</w:t>
            </w:r>
            <w:r w:rsidR="00FA40AE" w:rsidRPr="004F4684">
              <w:rPr>
                <w:sz w:val="24"/>
                <w:szCs w:val="24"/>
              </w:rPr>
              <w:t>a de Cronbach (α)</w:t>
            </w:r>
          </w:p>
        </w:tc>
      </w:tr>
      <w:tr w:rsidR="00FA40AE" w:rsidRPr="004F4684" w14:paraId="0B5508D9" w14:textId="77777777" w:rsidTr="00622600">
        <w:trPr>
          <w:trHeight w:val="432"/>
          <w:jc w:val="center"/>
        </w:trPr>
        <w:tc>
          <w:tcPr>
            <w:tcW w:w="0" w:type="auto"/>
            <w:shd w:val="clear" w:color="auto" w:fill="auto"/>
            <w:vAlign w:val="center"/>
            <w:hideMark/>
          </w:tcPr>
          <w:p w14:paraId="277A4C4D" w14:textId="77777777" w:rsidR="00FA40AE" w:rsidRPr="004F4684" w:rsidRDefault="00FA40AE" w:rsidP="00951C59">
            <w:pPr>
              <w:keepNext/>
              <w:ind w:right="-11"/>
              <w:jc w:val="center"/>
              <w:rPr>
                <w:color w:val="000000"/>
                <w:sz w:val="24"/>
                <w:szCs w:val="24"/>
                <w:lang w:val="en-US"/>
              </w:rPr>
            </w:pPr>
            <w:r w:rsidRPr="004F4684">
              <w:rPr>
                <w:color w:val="000000"/>
                <w:sz w:val="24"/>
                <w:szCs w:val="24"/>
              </w:rPr>
              <w:t>Instrumento de investigación</w:t>
            </w:r>
          </w:p>
        </w:tc>
        <w:tc>
          <w:tcPr>
            <w:tcW w:w="0" w:type="auto"/>
            <w:shd w:val="clear" w:color="auto" w:fill="auto"/>
            <w:vAlign w:val="center"/>
            <w:hideMark/>
          </w:tcPr>
          <w:p w14:paraId="19CDE849" w14:textId="77777777" w:rsidR="00FA40AE" w:rsidRPr="004F4684" w:rsidRDefault="00FA40AE" w:rsidP="00951C59">
            <w:pPr>
              <w:keepNext/>
              <w:ind w:right="-11"/>
              <w:jc w:val="center"/>
              <w:rPr>
                <w:sz w:val="24"/>
                <w:szCs w:val="24"/>
              </w:rPr>
            </w:pPr>
            <w:r w:rsidRPr="004F4684">
              <w:rPr>
                <w:sz w:val="24"/>
                <w:szCs w:val="24"/>
              </w:rPr>
              <w:t>Cuestionario de escala Likert (5 puntos)</w:t>
            </w:r>
          </w:p>
        </w:tc>
      </w:tr>
      <w:tr w:rsidR="00FA40AE" w:rsidRPr="004F4684" w14:paraId="5426ADA5" w14:textId="77777777" w:rsidTr="00622600">
        <w:trPr>
          <w:trHeight w:val="432"/>
          <w:jc w:val="center"/>
        </w:trPr>
        <w:tc>
          <w:tcPr>
            <w:tcW w:w="0" w:type="auto"/>
            <w:shd w:val="clear" w:color="auto" w:fill="auto"/>
            <w:vAlign w:val="center"/>
            <w:hideMark/>
          </w:tcPr>
          <w:p w14:paraId="58411584" w14:textId="77777777" w:rsidR="00FA40AE" w:rsidRPr="004F4684" w:rsidRDefault="00FA40AE" w:rsidP="00951C59">
            <w:pPr>
              <w:keepNext/>
              <w:ind w:right="-11"/>
              <w:jc w:val="center"/>
              <w:rPr>
                <w:color w:val="000000"/>
                <w:sz w:val="24"/>
                <w:szCs w:val="24"/>
              </w:rPr>
            </w:pPr>
            <w:r w:rsidRPr="004F4684">
              <w:rPr>
                <w:i/>
                <w:color w:val="000000"/>
                <w:sz w:val="24"/>
                <w:szCs w:val="24"/>
              </w:rPr>
              <w:t>Software</w:t>
            </w:r>
            <w:r w:rsidRPr="004F4684">
              <w:rPr>
                <w:color w:val="000000"/>
                <w:sz w:val="24"/>
                <w:szCs w:val="24"/>
              </w:rPr>
              <w:t xml:space="preserve"> estadístico</w:t>
            </w:r>
          </w:p>
        </w:tc>
        <w:tc>
          <w:tcPr>
            <w:tcW w:w="0" w:type="auto"/>
            <w:shd w:val="clear" w:color="auto" w:fill="auto"/>
            <w:vAlign w:val="center"/>
            <w:hideMark/>
          </w:tcPr>
          <w:p w14:paraId="53E35AFE" w14:textId="77777777" w:rsidR="00FA40AE" w:rsidRPr="004F4684" w:rsidRDefault="00FA40AE" w:rsidP="00951C59">
            <w:pPr>
              <w:keepNext/>
              <w:ind w:right="-11"/>
              <w:jc w:val="center"/>
              <w:rPr>
                <w:color w:val="FF0000"/>
                <w:sz w:val="24"/>
                <w:szCs w:val="24"/>
                <w:lang w:val="en-US"/>
              </w:rPr>
            </w:pPr>
            <w:r w:rsidRPr="004F4684">
              <w:rPr>
                <w:sz w:val="24"/>
                <w:szCs w:val="24"/>
              </w:rPr>
              <w:t>SPSS versión 26</w:t>
            </w:r>
          </w:p>
        </w:tc>
      </w:tr>
      <w:tr w:rsidR="00FA40AE" w:rsidRPr="004F4684" w14:paraId="308D3FB1" w14:textId="77777777" w:rsidTr="00622600">
        <w:trPr>
          <w:trHeight w:val="432"/>
          <w:jc w:val="center"/>
        </w:trPr>
        <w:tc>
          <w:tcPr>
            <w:tcW w:w="0" w:type="auto"/>
            <w:shd w:val="clear" w:color="auto" w:fill="auto"/>
            <w:vAlign w:val="center"/>
            <w:hideMark/>
          </w:tcPr>
          <w:p w14:paraId="20049CD8" w14:textId="77777777" w:rsidR="00FA40AE" w:rsidRPr="004F4684" w:rsidRDefault="00FA40AE" w:rsidP="00951C59">
            <w:pPr>
              <w:keepNext/>
              <w:ind w:right="-11"/>
              <w:jc w:val="center"/>
              <w:rPr>
                <w:color w:val="000000"/>
                <w:sz w:val="24"/>
                <w:szCs w:val="24"/>
              </w:rPr>
            </w:pPr>
            <w:r w:rsidRPr="004F4684">
              <w:rPr>
                <w:color w:val="000000"/>
                <w:sz w:val="24"/>
                <w:szCs w:val="24"/>
              </w:rPr>
              <w:t>Tipo de muestra</w:t>
            </w:r>
          </w:p>
          <w:p w14:paraId="6AE077F1" w14:textId="7A6F6F0F" w:rsidR="00EC4135" w:rsidRPr="004F4684" w:rsidRDefault="00EC4135" w:rsidP="00951C59">
            <w:pPr>
              <w:keepNext/>
              <w:ind w:right="-11"/>
              <w:jc w:val="center"/>
              <w:rPr>
                <w:color w:val="000000"/>
                <w:sz w:val="24"/>
                <w:szCs w:val="24"/>
                <w:lang w:val="en-US"/>
              </w:rPr>
            </w:pPr>
          </w:p>
        </w:tc>
        <w:tc>
          <w:tcPr>
            <w:tcW w:w="0" w:type="auto"/>
            <w:shd w:val="clear" w:color="auto" w:fill="auto"/>
            <w:vAlign w:val="center"/>
            <w:hideMark/>
          </w:tcPr>
          <w:p w14:paraId="2D679943" w14:textId="75697BE0" w:rsidR="00FA40AE" w:rsidRPr="004F4684" w:rsidRDefault="00A0403D" w:rsidP="00951C59">
            <w:pPr>
              <w:keepNext/>
              <w:ind w:right="-11"/>
              <w:jc w:val="center"/>
              <w:rPr>
                <w:sz w:val="24"/>
                <w:szCs w:val="24"/>
              </w:rPr>
            </w:pPr>
            <w:r w:rsidRPr="004F4684">
              <w:rPr>
                <w:sz w:val="24"/>
                <w:szCs w:val="24"/>
              </w:rPr>
              <w:t>Aleatorio simple</w:t>
            </w:r>
            <w:r w:rsidR="00FA40AE" w:rsidRPr="004F4684">
              <w:rPr>
                <w:sz w:val="24"/>
                <w:szCs w:val="24"/>
              </w:rPr>
              <w:t xml:space="preserve"> (</w:t>
            </w:r>
            <w:r w:rsidR="00301C58" w:rsidRPr="004F4684">
              <w:rPr>
                <w:sz w:val="24"/>
                <w:szCs w:val="24"/>
              </w:rPr>
              <w:t>3</w:t>
            </w:r>
            <w:r w:rsidR="00132A99" w:rsidRPr="004F4684">
              <w:rPr>
                <w:sz w:val="24"/>
                <w:szCs w:val="24"/>
              </w:rPr>
              <w:t>34</w:t>
            </w:r>
            <w:r w:rsidR="00FA40AE" w:rsidRPr="004F4684">
              <w:rPr>
                <w:sz w:val="24"/>
                <w:szCs w:val="24"/>
              </w:rPr>
              <w:t xml:space="preserve"> encuestados)</w:t>
            </w:r>
          </w:p>
          <w:p w14:paraId="4066530F" w14:textId="17C2F617" w:rsidR="00EC4135" w:rsidRPr="004F4684" w:rsidRDefault="00EC4135" w:rsidP="00951C59">
            <w:pPr>
              <w:keepNext/>
              <w:ind w:right="-11"/>
              <w:jc w:val="center"/>
              <w:rPr>
                <w:color w:val="FF0000"/>
                <w:sz w:val="24"/>
                <w:szCs w:val="24"/>
              </w:rPr>
            </w:pPr>
          </w:p>
        </w:tc>
      </w:tr>
    </w:tbl>
    <w:p w14:paraId="35D12997" w14:textId="586219D6" w:rsidR="00FA40AE" w:rsidRPr="00622600" w:rsidRDefault="00FA40AE" w:rsidP="00622600">
      <w:pPr>
        <w:spacing w:line="360" w:lineRule="auto"/>
        <w:ind w:right="-12"/>
        <w:jc w:val="center"/>
        <w:rPr>
          <w:sz w:val="24"/>
          <w:szCs w:val="24"/>
        </w:rPr>
      </w:pPr>
      <w:r w:rsidRPr="00622600">
        <w:rPr>
          <w:bCs/>
          <w:sz w:val="24"/>
          <w:szCs w:val="24"/>
        </w:rPr>
        <w:t>Fuente:</w:t>
      </w:r>
      <w:r w:rsidRPr="00622600">
        <w:rPr>
          <w:sz w:val="24"/>
          <w:szCs w:val="24"/>
        </w:rPr>
        <w:t xml:space="preserve"> Elaboración propia</w:t>
      </w:r>
    </w:p>
    <w:p w14:paraId="781FA185" w14:textId="55254DC4" w:rsidR="00D325E3" w:rsidRPr="00A36DD8" w:rsidRDefault="00D325E3" w:rsidP="00D325E3">
      <w:pPr>
        <w:spacing w:line="360" w:lineRule="auto"/>
        <w:ind w:right="-12" w:firstLine="720"/>
        <w:jc w:val="both"/>
        <w:rPr>
          <w:sz w:val="24"/>
          <w:szCs w:val="24"/>
        </w:rPr>
      </w:pPr>
      <w:r w:rsidRPr="00D325E3">
        <w:rPr>
          <w:sz w:val="24"/>
          <w:szCs w:val="24"/>
        </w:rPr>
        <w:t xml:space="preserve">Durante el proceso de validación utilizando la herramienta IBM SPSS </w:t>
      </w:r>
      <w:proofErr w:type="spellStart"/>
      <w:r w:rsidRPr="00D325E3">
        <w:rPr>
          <w:sz w:val="24"/>
          <w:szCs w:val="24"/>
        </w:rPr>
        <w:t>Statistics</w:t>
      </w:r>
      <w:proofErr w:type="spellEnd"/>
      <w:r w:rsidRPr="00D325E3">
        <w:rPr>
          <w:sz w:val="24"/>
          <w:szCs w:val="24"/>
        </w:rPr>
        <w:t xml:space="preserve">, se llevó a cabo el cálculo del coeficiente de Cronbach y el índice de homogeneidad y discriminación. Los resultados obtenidos indican </w:t>
      </w:r>
      <w:r w:rsidRPr="00A36DD8">
        <w:rPr>
          <w:sz w:val="24"/>
          <w:szCs w:val="24"/>
        </w:rPr>
        <w:t xml:space="preserve">niveles de fiabilidad considerados adecuados, al situarse por encima de 0.70, conforme a las pautas establecidas por Ruiz (2002). Es relevante destacar que en este análisis no se identificaron problemas de discriminación, </w:t>
      </w:r>
      <w:r w:rsidR="007A645E" w:rsidRPr="00A36DD8">
        <w:rPr>
          <w:sz w:val="24"/>
          <w:szCs w:val="24"/>
        </w:rPr>
        <w:t>lo que aumenta</w:t>
      </w:r>
      <w:r w:rsidRPr="00A36DD8">
        <w:rPr>
          <w:sz w:val="24"/>
          <w:szCs w:val="24"/>
        </w:rPr>
        <w:t xml:space="preserve"> la confiabilidad de los datos recopilados. Este hallazgo respalda la consistencia interna de las respuestas proporcionadas por los participantes</w:t>
      </w:r>
      <w:r w:rsidR="007A645E" w:rsidRPr="00A36DD8">
        <w:rPr>
          <w:sz w:val="24"/>
          <w:szCs w:val="24"/>
        </w:rPr>
        <w:t xml:space="preserve"> y otorga </w:t>
      </w:r>
      <w:r w:rsidRPr="00A36DD8">
        <w:rPr>
          <w:sz w:val="24"/>
          <w:szCs w:val="24"/>
        </w:rPr>
        <w:t>validez al instrumento de medición utilizado en la investigación.</w:t>
      </w:r>
    </w:p>
    <w:p w14:paraId="5665994F" w14:textId="4F1C6712" w:rsidR="00E86F60" w:rsidRDefault="00E86F60" w:rsidP="00D91EFE">
      <w:pPr>
        <w:spacing w:line="360" w:lineRule="auto"/>
        <w:ind w:right="-12" w:firstLine="720"/>
        <w:jc w:val="both"/>
        <w:rPr>
          <w:sz w:val="24"/>
          <w:szCs w:val="24"/>
        </w:rPr>
      </w:pPr>
      <w:r w:rsidRPr="00A36DD8">
        <w:rPr>
          <w:sz w:val="24"/>
          <w:szCs w:val="24"/>
        </w:rPr>
        <w:t xml:space="preserve">La recopilación de datos se efectuó mediante una versión adaptada del instrumento desarrollado por Mirete Ruiz </w:t>
      </w:r>
      <w:r w:rsidRPr="00A36DD8">
        <w:rPr>
          <w:i/>
          <w:sz w:val="24"/>
          <w:szCs w:val="24"/>
        </w:rPr>
        <w:t>et al</w:t>
      </w:r>
      <w:r w:rsidRPr="00A36DD8">
        <w:rPr>
          <w:sz w:val="24"/>
          <w:szCs w:val="24"/>
        </w:rPr>
        <w:t xml:space="preserve">. (2015), ajustada a las necesidades específicas de la presente investigación. El resultado fue un cuestionario estructurado que consta de un total de 35 ítems, organizados en tres secciones. La primera sección recopiló datos generales del encuestado. La segunda evaluó la percepción de las TIC, </w:t>
      </w:r>
      <w:r w:rsidR="007A645E" w:rsidRPr="00A36DD8">
        <w:rPr>
          <w:sz w:val="24"/>
          <w:szCs w:val="24"/>
        </w:rPr>
        <w:t>y abordó</w:t>
      </w:r>
      <w:r w:rsidRPr="00A36DD8">
        <w:rPr>
          <w:sz w:val="24"/>
          <w:szCs w:val="24"/>
        </w:rPr>
        <w:t xml:space="preserve"> dos segmentos</w:t>
      </w:r>
      <w:r w:rsidRPr="00E86F60">
        <w:rPr>
          <w:sz w:val="24"/>
          <w:szCs w:val="24"/>
        </w:rPr>
        <w:t>: a) actitud ante el uso de las TIC y b) formación/conocimiento. Finalmente, la tercera sección exploró el nivel de uso de las TIC. Para responder a la segunda y tercera sección, se implementó una escala</w:t>
      </w:r>
      <w:r w:rsidR="007A645E">
        <w:rPr>
          <w:sz w:val="24"/>
          <w:szCs w:val="24"/>
        </w:rPr>
        <w:t xml:space="preserve"> Likert de 5 puntos (desde 1 = “</w:t>
      </w:r>
      <w:r w:rsidRPr="00E86F60">
        <w:rPr>
          <w:sz w:val="24"/>
          <w:szCs w:val="24"/>
        </w:rPr>
        <w:t>totalmente en desacuerdo</w:t>
      </w:r>
      <w:r w:rsidR="007A645E">
        <w:rPr>
          <w:sz w:val="24"/>
          <w:szCs w:val="24"/>
        </w:rPr>
        <w:t>”</w:t>
      </w:r>
      <w:r w:rsidRPr="00E86F60">
        <w:rPr>
          <w:sz w:val="24"/>
          <w:szCs w:val="24"/>
        </w:rPr>
        <w:t xml:space="preserve"> hasta 5 = </w:t>
      </w:r>
      <w:r w:rsidR="007A645E">
        <w:rPr>
          <w:sz w:val="24"/>
          <w:szCs w:val="24"/>
        </w:rPr>
        <w:t>“</w:t>
      </w:r>
      <w:r w:rsidRPr="00E86F60">
        <w:rPr>
          <w:sz w:val="24"/>
          <w:szCs w:val="24"/>
        </w:rPr>
        <w:t>totalmente de acuerdo</w:t>
      </w:r>
      <w:r w:rsidR="007A645E">
        <w:rPr>
          <w:sz w:val="24"/>
          <w:szCs w:val="24"/>
        </w:rPr>
        <w:t>”</w:t>
      </w:r>
      <w:r w:rsidRPr="00E86F60">
        <w:rPr>
          <w:sz w:val="24"/>
          <w:szCs w:val="24"/>
        </w:rPr>
        <w:t>).</w:t>
      </w:r>
    </w:p>
    <w:p w14:paraId="095D975C" w14:textId="0206F01D" w:rsidR="00E86F60" w:rsidRPr="004F4684" w:rsidRDefault="00E86F60" w:rsidP="00D91EFE">
      <w:pPr>
        <w:spacing w:line="360" w:lineRule="auto"/>
        <w:ind w:right="-12" w:firstLine="720"/>
        <w:jc w:val="both"/>
        <w:rPr>
          <w:sz w:val="24"/>
          <w:szCs w:val="24"/>
        </w:rPr>
      </w:pPr>
      <w:r w:rsidRPr="00E86F60">
        <w:rPr>
          <w:sz w:val="24"/>
          <w:szCs w:val="24"/>
        </w:rPr>
        <w:t>La aplicación se realizó en el semestre académico a</w:t>
      </w:r>
      <w:r w:rsidR="007A645E">
        <w:rPr>
          <w:sz w:val="24"/>
          <w:szCs w:val="24"/>
        </w:rPr>
        <w:t>gosto-</w:t>
      </w:r>
      <w:r w:rsidRPr="00E86F60">
        <w:rPr>
          <w:sz w:val="24"/>
          <w:szCs w:val="24"/>
        </w:rPr>
        <w:t xml:space="preserve">diciembre 2022. Para digitalizar el cuestionario se empleó la plataforma electrónica de Microsoft (Microsoft </w:t>
      </w:r>
      <w:proofErr w:type="spellStart"/>
      <w:r w:rsidRPr="00E86F60">
        <w:rPr>
          <w:sz w:val="24"/>
          <w:szCs w:val="24"/>
        </w:rPr>
        <w:t>Forms</w:t>
      </w:r>
      <w:proofErr w:type="spellEnd"/>
      <w:r w:rsidRPr="00E86F60">
        <w:rPr>
          <w:sz w:val="24"/>
          <w:szCs w:val="24"/>
        </w:rPr>
        <w:t xml:space="preserve">). Cabe mencionar que de ninguna forma se intervino en las posibles respuestas por parte de los </w:t>
      </w:r>
      <w:r w:rsidRPr="00E86F60">
        <w:rPr>
          <w:sz w:val="24"/>
          <w:szCs w:val="24"/>
        </w:rPr>
        <w:lastRenderedPageBreak/>
        <w:t>encuestados al momento de manifestar su libre opinión con el llenado del instrumento de investigación.</w:t>
      </w:r>
    </w:p>
    <w:p w14:paraId="1FF9D16A" w14:textId="77777777" w:rsidR="006B3C2C" w:rsidRPr="004F4684" w:rsidRDefault="006B3C2C" w:rsidP="00D91EFE">
      <w:pPr>
        <w:pStyle w:val="Textoindependiente"/>
        <w:spacing w:line="360" w:lineRule="auto"/>
        <w:ind w:right="-12"/>
        <w:jc w:val="both"/>
      </w:pPr>
    </w:p>
    <w:p w14:paraId="4DE393FE" w14:textId="77777777" w:rsidR="006B3C2C" w:rsidRPr="00622600" w:rsidRDefault="006B3C2C" w:rsidP="00D91EFE">
      <w:pPr>
        <w:pStyle w:val="Textoindependiente"/>
        <w:spacing w:line="360" w:lineRule="auto"/>
        <w:ind w:right="-12"/>
        <w:jc w:val="center"/>
        <w:rPr>
          <w:b/>
          <w:bCs/>
          <w:sz w:val="28"/>
          <w:szCs w:val="28"/>
        </w:rPr>
      </w:pPr>
      <w:r w:rsidRPr="00622600">
        <w:rPr>
          <w:b/>
          <w:bCs/>
          <w:sz w:val="28"/>
          <w:szCs w:val="28"/>
        </w:rPr>
        <w:t xml:space="preserve">Categorías de análisis del estudio </w:t>
      </w:r>
    </w:p>
    <w:p w14:paraId="2EB151DD" w14:textId="3EE28E2E" w:rsidR="006B3C2C" w:rsidRPr="004F4684" w:rsidRDefault="007A645E" w:rsidP="00D91EFE">
      <w:pPr>
        <w:pStyle w:val="Textoindependiente"/>
        <w:spacing w:line="360" w:lineRule="auto"/>
        <w:ind w:right="-12" w:firstLine="567"/>
        <w:jc w:val="both"/>
      </w:pPr>
      <w:r>
        <w:t>En el contexto de este peri</w:t>
      </w:r>
      <w:r w:rsidR="006B3C2C" w:rsidRPr="004F4684">
        <w:t xml:space="preserve">odo de confinamiento, los estudiantes universitarios se enfrentaron a diversos desafíos, entre los cuales se encontraban tareas, actividades, exposiciones de clases, tutorías, asesorías, trabajos de dirección de tesis, entre otros. Para comprender la percepción de los universitarios respecto a los aspectos relacionados con las </w:t>
      </w:r>
      <w:r w:rsidR="00EB3BDC">
        <w:t>TIC</w:t>
      </w:r>
      <w:r w:rsidR="006B3C2C" w:rsidRPr="004F4684">
        <w:t xml:space="preserve"> integradas en la práctica académica y sus procesos de aprendizaje, se llevó a cabo un análisis de frecuencia estadística. Las seis categorías utilizadas para organizar y analizar los resultados están respaldadas por un fundamento teórico sólido</w:t>
      </w:r>
      <w:r w:rsidR="009069D8">
        <w:t>:</w:t>
      </w:r>
    </w:p>
    <w:p w14:paraId="4C52C88D" w14:textId="2AF75DA7" w:rsidR="006B3C2C" w:rsidRPr="00622600" w:rsidRDefault="006B3C2C" w:rsidP="00720A10">
      <w:pPr>
        <w:pStyle w:val="Textoindependiente"/>
        <w:spacing w:line="360" w:lineRule="auto"/>
        <w:ind w:right="-12"/>
        <w:jc w:val="both"/>
      </w:pPr>
      <w:r w:rsidRPr="00622600">
        <w:t xml:space="preserve">Participación </w:t>
      </w:r>
      <w:r w:rsidR="007A645E" w:rsidRPr="00622600">
        <w:t>a</w:t>
      </w:r>
      <w:r w:rsidRPr="00622600">
        <w:t>cadémica</w:t>
      </w:r>
      <w:r w:rsidR="00D12ECD" w:rsidRPr="00622600">
        <w:t>.</w:t>
      </w:r>
      <w:r w:rsidRPr="00622600">
        <w:t xml:space="preserve"> Esta categoría se refiere al grado de involucramiento de los estudiantes en las actividades académicas virtuales, </w:t>
      </w:r>
      <w:r w:rsidR="007A645E" w:rsidRPr="00622600">
        <w:t>por lo que consideró</w:t>
      </w:r>
      <w:r w:rsidRPr="00622600">
        <w:t xml:space="preserve"> aspectos como la interacción en clases en línea, la participación en discusiones y la asistencia a tutorías virtuales.</w:t>
      </w:r>
    </w:p>
    <w:p w14:paraId="43229C10" w14:textId="38A739F2" w:rsidR="006B3C2C" w:rsidRPr="00622600" w:rsidRDefault="006B3C2C" w:rsidP="00720A10">
      <w:pPr>
        <w:pStyle w:val="Textoindependiente"/>
        <w:spacing w:line="360" w:lineRule="auto"/>
        <w:ind w:right="-12"/>
        <w:jc w:val="both"/>
      </w:pPr>
      <w:r w:rsidRPr="00622600">
        <w:t xml:space="preserve">Calidad </w:t>
      </w:r>
      <w:r w:rsidR="007A645E" w:rsidRPr="00622600">
        <w:t>e</w:t>
      </w:r>
      <w:r w:rsidRPr="00622600">
        <w:t>ducativa</w:t>
      </w:r>
      <w:r w:rsidR="00D12ECD" w:rsidRPr="00622600">
        <w:t>.</w:t>
      </w:r>
      <w:r w:rsidR="007A645E" w:rsidRPr="00622600">
        <w:t xml:space="preserve"> En esta categoría</w:t>
      </w:r>
      <w:r w:rsidRPr="00622600">
        <w:t xml:space="preserve"> se evalúa la percepción de los estudiantes sobre la calidad general de la educación en línea recibida. Esto incluye aspectos como la claridad de los contenidos, la efectividad de los métodos de enseñanza virtual y la evaluación del aprendizaje.</w:t>
      </w:r>
    </w:p>
    <w:p w14:paraId="5BEC059F" w14:textId="3AECF310" w:rsidR="006B3C2C" w:rsidRPr="00622600" w:rsidRDefault="006B3C2C" w:rsidP="00720A10">
      <w:pPr>
        <w:pStyle w:val="Textoindependiente"/>
        <w:spacing w:line="360" w:lineRule="auto"/>
        <w:ind w:right="-12"/>
        <w:jc w:val="both"/>
      </w:pPr>
      <w:r w:rsidRPr="00622600">
        <w:t xml:space="preserve">Incorporación </w:t>
      </w:r>
      <w:r w:rsidR="007A645E" w:rsidRPr="00622600">
        <w:t>t</w:t>
      </w:r>
      <w:r w:rsidRPr="00622600">
        <w:t>ecnológica</w:t>
      </w:r>
      <w:r w:rsidR="00D12ECD" w:rsidRPr="00622600">
        <w:t>.</w:t>
      </w:r>
      <w:r w:rsidRPr="00622600">
        <w:t xml:space="preserve"> Examina cómo las tecnologías fueron integradas en la práctica académica. Esto abarca desde el uso de plataformas educativas hasta la implementación de herramientas tecnológicas para mejorar la experiencia de aprendizaje.</w:t>
      </w:r>
    </w:p>
    <w:p w14:paraId="11B539A5" w14:textId="34A96FC4" w:rsidR="006B3C2C" w:rsidRPr="00622600" w:rsidRDefault="006B3C2C" w:rsidP="00720A10">
      <w:pPr>
        <w:pStyle w:val="Textoindependiente"/>
        <w:spacing w:line="360" w:lineRule="auto"/>
        <w:ind w:right="-12"/>
        <w:jc w:val="both"/>
      </w:pPr>
      <w:r w:rsidRPr="00622600">
        <w:t xml:space="preserve">Apoyo </w:t>
      </w:r>
      <w:r w:rsidR="007A645E" w:rsidRPr="00622600">
        <w:t>a</w:t>
      </w:r>
      <w:r w:rsidRPr="00622600">
        <w:t>cadémico</w:t>
      </w:r>
      <w:r w:rsidR="00D12ECD" w:rsidRPr="00622600">
        <w:t>.</w:t>
      </w:r>
      <w:r w:rsidRPr="00622600">
        <w:t xml:space="preserve"> Se refiere al respaldo proporcionado por la institución educativa y los profesores en términos de orientación, asesoría y apoyo durante el aprendizaje virtual. Incluye también la disponibilidad de recursos educativos.</w:t>
      </w:r>
    </w:p>
    <w:p w14:paraId="3F9590CB" w14:textId="7BCE3695" w:rsidR="006B3C2C" w:rsidRPr="00622600" w:rsidRDefault="006B3C2C" w:rsidP="00720A10">
      <w:pPr>
        <w:pStyle w:val="Textoindependiente"/>
        <w:spacing w:line="360" w:lineRule="auto"/>
        <w:ind w:right="-12"/>
        <w:jc w:val="both"/>
      </w:pPr>
      <w:r w:rsidRPr="00622600">
        <w:t xml:space="preserve">Habilidades </w:t>
      </w:r>
      <w:r w:rsidR="007A645E" w:rsidRPr="00622600">
        <w:t>d</w:t>
      </w:r>
      <w:r w:rsidRPr="00622600">
        <w:t>igitales</w:t>
      </w:r>
      <w:r w:rsidR="00D12ECD" w:rsidRPr="00622600">
        <w:t>.</w:t>
      </w:r>
      <w:r w:rsidRPr="00622600">
        <w:t xml:space="preserve"> Evaluación de la competencia digital de los estudiantes. Esto abarca desde la capacidad para utilizar herramientas tecnológicas hasta la destreza en la búsqueda y manejo de información en línea.</w:t>
      </w:r>
    </w:p>
    <w:p w14:paraId="2D1F7571" w14:textId="7221F924" w:rsidR="006B3C2C" w:rsidRPr="004F4684" w:rsidRDefault="006B3C2C" w:rsidP="00720A10">
      <w:pPr>
        <w:pStyle w:val="Textoindependiente"/>
        <w:spacing w:line="360" w:lineRule="auto"/>
        <w:ind w:right="-12"/>
        <w:jc w:val="both"/>
      </w:pPr>
      <w:r w:rsidRPr="00622600">
        <w:t xml:space="preserve">Flexibilidad </w:t>
      </w:r>
      <w:r w:rsidR="007A645E" w:rsidRPr="00622600">
        <w:t>a</w:t>
      </w:r>
      <w:r w:rsidRPr="00622600">
        <w:t>cadémica</w:t>
      </w:r>
      <w:r w:rsidR="00D12ECD" w:rsidRPr="00D12ECD">
        <w:rPr>
          <w:b/>
          <w:bCs/>
        </w:rPr>
        <w:t>.</w:t>
      </w:r>
      <w:r w:rsidRPr="004F4684">
        <w:t xml:space="preserve"> Examina en qué medida la educación en línea permitió a los estudiantes adaptarse a horarios flexibles y gestionar su carga académica de manera más autónoma.</w:t>
      </w:r>
    </w:p>
    <w:p w14:paraId="51FB4A8D" w14:textId="56990B8F" w:rsidR="006B3C2C" w:rsidRPr="004F4684" w:rsidRDefault="006B3C2C" w:rsidP="00720A10">
      <w:pPr>
        <w:pStyle w:val="Textoindependiente"/>
        <w:spacing w:line="360" w:lineRule="auto"/>
        <w:ind w:right="-12" w:firstLine="567"/>
        <w:jc w:val="both"/>
      </w:pPr>
      <w:r w:rsidRPr="004F4684">
        <w:t xml:space="preserve">Estas categorías proporcionan un marco </w:t>
      </w:r>
      <w:r w:rsidRPr="0059419A">
        <w:t>comprehensivo</w:t>
      </w:r>
      <w:r w:rsidRPr="004F4684">
        <w:t xml:space="preserve"> para analizar la experiencia de los estudiantes universitarios durante el confinamiento y la transición a la educación en línea, </w:t>
      </w:r>
      <w:r w:rsidR="007A645E">
        <w:t>lo que permitió</w:t>
      </w:r>
      <w:r w:rsidRPr="004F4684">
        <w:t xml:space="preserve"> identificar áreas de mejora y fortaleza en la implementación de las TIC en la educación superior.</w:t>
      </w:r>
    </w:p>
    <w:p w14:paraId="3067F08B" w14:textId="77777777" w:rsidR="006B3C2C" w:rsidRPr="004F4684" w:rsidRDefault="006B3C2C" w:rsidP="00D91EFE">
      <w:pPr>
        <w:pStyle w:val="Textoindependiente"/>
        <w:spacing w:line="360" w:lineRule="auto"/>
        <w:ind w:right="-12"/>
        <w:jc w:val="both"/>
      </w:pPr>
    </w:p>
    <w:p w14:paraId="28A83992" w14:textId="386DC982" w:rsidR="00C62BE8" w:rsidRPr="004F4684" w:rsidRDefault="004A6A64" w:rsidP="00ED6738">
      <w:pPr>
        <w:pStyle w:val="Textoindependiente"/>
        <w:spacing w:line="360" w:lineRule="auto"/>
        <w:jc w:val="center"/>
        <w:rPr>
          <w:b/>
          <w:bCs/>
          <w:sz w:val="32"/>
          <w:szCs w:val="32"/>
        </w:rPr>
      </w:pPr>
      <w:r w:rsidRPr="004F4684">
        <w:rPr>
          <w:b/>
          <w:bCs/>
          <w:sz w:val="32"/>
          <w:szCs w:val="32"/>
        </w:rPr>
        <w:lastRenderedPageBreak/>
        <w:t>Resultados</w:t>
      </w:r>
    </w:p>
    <w:p w14:paraId="0F395169" w14:textId="1604C63A" w:rsidR="00CE7182" w:rsidRDefault="002A3605" w:rsidP="007A645E">
      <w:pPr>
        <w:pStyle w:val="Textoindependiente"/>
        <w:spacing w:line="360" w:lineRule="auto"/>
        <w:ind w:firstLine="720"/>
        <w:jc w:val="both"/>
      </w:pPr>
      <w:r w:rsidRPr="004F4684">
        <w:t>De los 3</w:t>
      </w:r>
      <w:r w:rsidR="002F0C7E">
        <w:t>34</w:t>
      </w:r>
      <w:r w:rsidRPr="004F4684">
        <w:t xml:space="preserve"> participantes en esta investigación, el 37</w:t>
      </w:r>
      <w:r w:rsidR="007A645E">
        <w:t xml:space="preserve"> </w:t>
      </w:r>
      <w:r w:rsidRPr="004F4684">
        <w:t>% son hombres y el 63</w:t>
      </w:r>
      <w:r w:rsidR="007A645E">
        <w:t xml:space="preserve"> </w:t>
      </w:r>
      <w:r w:rsidRPr="004F4684">
        <w:t>% mujeres. En cuanto a los programas educativos ofrecidos por la FCAV, el 69</w:t>
      </w:r>
      <w:r w:rsidR="007A645E">
        <w:t xml:space="preserve"> </w:t>
      </w:r>
      <w:r w:rsidRPr="004F4684">
        <w:t>% pertenece a la carrera de CP, el 21</w:t>
      </w:r>
      <w:r w:rsidR="007A645E">
        <w:t xml:space="preserve"> </w:t>
      </w:r>
      <w:r w:rsidRPr="004F4684">
        <w:t>% a LA, el 9</w:t>
      </w:r>
      <w:r w:rsidR="007A645E">
        <w:t xml:space="preserve"> </w:t>
      </w:r>
      <w:r w:rsidRPr="004F4684">
        <w:t>% a LTI y el 1</w:t>
      </w:r>
      <w:r w:rsidR="007A645E">
        <w:t xml:space="preserve"> </w:t>
      </w:r>
      <w:r w:rsidRPr="004F4684">
        <w:t>% a LEDS</w:t>
      </w:r>
      <w:r w:rsidR="002F0C7E">
        <w:t xml:space="preserve"> (ver tabla 2)</w:t>
      </w:r>
      <w:r w:rsidRPr="004F4684">
        <w:t>. Además, se observó que el 32</w:t>
      </w:r>
      <w:r w:rsidR="007A645E">
        <w:t xml:space="preserve"> </w:t>
      </w:r>
      <w:r w:rsidRPr="004F4684">
        <w:t>% de los encuestados se encuentra cursando su último semestre</w:t>
      </w:r>
      <w:r w:rsidR="007A645E">
        <w:t xml:space="preserve"> (f</w:t>
      </w:r>
      <w:r w:rsidRPr="004F4684">
        <w:t>igura 1</w:t>
      </w:r>
      <w:r w:rsidR="007A645E">
        <w:t>)</w:t>
      </w:r>
      <w:r w:rsidRPr="004F4684">
        <w:t>. Respecto al equipamiento tecnológico, el 91</w:t>
      </w:r>
      <w:r w:rsidR="007A645E">
        <w:t xml:space="preserve"> </w:t>
      </w:r>
      <w:r w:rsidRPr="004F4684">
        <w:t>% de los estudiantes cuenta con telefonía celular, mientras que el 62</w:t>
      </w:r>
      <w:r w:rsidR="007A645E">
        <w:t xml:space="preserve"> </w:t>
      </w:r>
      <w:r w:rsidRPr="004F4684">
        <w:t xml:space="preserve">% dispone de una </w:t>
      </w:r>
      <w:r w:rsidRPr="007A645E">
        <w:rPr>
          <w:i/>
        </w:rPr>
        <w:t>laptop</w:t>
      </w:r>
      <w:r w:rsidR="007A645E">
        <w:t xml:space="preserve"> (f</w:t>
      </w:r>
      <w:r w:rsidRPr="004F4684">
        <w:t>igura 2</w:t>
      </w:r>
      <w:r w:rsidR="007A645E">
        <w:t>)</w:t>
      </w:r>
      <w:r w:rsidRPr="004F4684">
        <w:t>.</w:t>
      </w:r>
    </w:p>
    <w:p w14:paraId="52504C6B" w14:textId="77777777" w:rsidR="00D12ECD" w:rsidRPr="004F4684" w:rsidRDefault="00D12ECD" w:rsidP="00D91EFE">
      <w:pPr>
        <w:pStyle w:val="Textoindependiente"/>
        <w:spacing w:line="360" w:lineRule="auto"/>
        <w:ind w:right="-12"/>
        <w:jc w:val="both"/>
      </w:pPr>
    </w:p>
    <w:p w14:paraId="10903B31" w14:textId="600301C3" w:rsidR="00C76EF1" w:rsidRPr="004F4684" w:rsidRDefault="00C76EF1" w:rsidP="00D91EFE">
      <w:pPr>
        <w:pStyle w:val="3Ttulotabla"/>
        <w:keepLines/>
        <w:widowControl/>
        <w:spacing w:before="0" w:after="0" w:line="360" w:lineRule="auto"/>
        <w:ind w:right="-12"/>
        <w:jc w:val="center"/>
        <w:rPr>
          <w:rFonts w:ascii="Times New Roman" w:hAnsi="Times New Roman"/>
          <w:sz w:val="24"/>
          <w:szCs w:val="24"/>
        </w:rPr>
      </w:pPr>
      <w:r w:rsidRPr="004F4684">
        <w:rPr>
          <w:rFonts w:ascii="Times New Roman" w:hAnsi="Times New Roman"/>
          <w:b/>
          <w:bCs/>
          <w:sz w:val="24"/>
          <w:szCs w:val="24"/>
        </w:rPr>
        <w:t>Tabla 2.</w:t>
      </w:r>
      <w:r w:rsidRPr="004F4684">
        <w:rPr>
          <w:rFonts w:ascii="Times New Roman" w:hAnsi="Times New Roman"/>
          <w:sz w:val="24"/>
          <w:szCs w:val="24"/>
        </w:rPr>
        <w:t xml:space="preserve"> Características de los encuestados</w:t>
      </w:r>
    </w:p>
    <w:tbl>
      <w:tblPr>
        <w:tblStyle w:val="Tablaconcuadrcula"/>
        <w:tblW w:w="0" w:type="auto"/>
        <w:jc w:val="center"/>
        <w:tblLook w:val="04A0" w:firstRow="1" w:lastRow="0" w:firstColumn="1" w:lastColumn="0" w:noHBand="0" w:noVBand="1"/>
      </w:tblPr>
      <w:tblGrid>
        <w:gridCol w:w="1384"/>
        <w:gridCol w:w="1134"/>
        <w:gridCol w:w="1418"/>
        <w:gridCol w:w="1559"/>
      </w:tblGrid>
      <w:tr w:rsidR="00066F73" w:rsidRPr="004F4684" w14:paraId="46E87639" w14:textId="77777777" w:rsidTr="00622600">
        <w:trPr>
          <w:jc w:val="center"/>
        </w:trPr>
        <w:tc>
          <w:tcPr>
            <w:tcW w:w="1384" w:type="dxa"/>
            <w:vMerge w:val="restart"/>
            <w:vAlign w:val="center"/>
          </w:tcPr>
          <w:p w14:paraId="6E67767F" w14:textId="77777777" w:rsidR="00066F73" w:rsidRPr="004F4684" w:rsidRDefault="00066F73" w:rsidP="00D91EFE">
            <w:pPr>
              <w:keepNext/>
              <w:keepLines/>
              <w:ind w:right="-12"/>
              <w:rPr>
                <w:sz w:val="24"/>
                <w:szCs w:val="24"/>
              </w:rPr>
            </w:pPr>
            <w:r w:rsidRPr="004F4684">
              <w:rPr>
                <w:sz w:val="24"/>
                <w:szCs w:val="24"/>
              </w:rPr>
              <w:t>Género</w:t>
            </w:r>
          </w:p>
        </w:tc>
        <w:tc>
          <w:tcPr>
            <w:tcW w:w="1134" w:type="dxa"/>
            <w:vAlign w:val="center"/>
          </w:tcPr>
          <w:p w14:paraId="1239CC1E" w14:textId="77777777" w:rsidR="00066F73" w:rsidRPr="004F4684" w:rsidRDefault="00066F73" w:rsidP="00D91EFE">
            <w:pPr>
              <w:keepNext/>
              <w:keepLines/>
              <w:ind w:right="-12"/>
              <w:rPr>
                <w:sz w:val="24"/>
                <w:szCs w:val="24"/>
              </w:rPr>
            </w:pPr>
            <w:r w:rsidRPr="004F4684">
              <w:rPr>
                <w:sz w:val="24"/>
                <w:szCs w:val="24"/>
              </w:rPr>
              <w:t xml:space="preserve">Mujer </w:t>
            </w:r>
          </w:p>
        </w:tc>
        <w:tc>
          <w:tcPr>
            <w:tcW w:w="1418" w:type="dxa"/>
            <w:vAlign w:val="center"/>
          </w:tcPr>
          <w:p w14:paraId="4E58569E" w14:textId="77777777" w:rsidR="00066F73" w:rsidRPr="004F4684" w:rsidRDefault="00066F73" w:rsidP="00D91EFE">
            <w:pPr>
              <w:keepNext/>
              <w:keepLines/>
              <w:ind w:right="-12"/>
              <w:jc w:val="center"/>
              <w:rPr>
                <w:sz w:val="24"/>
                <w:szCs w:val="24"/>
              </w:rPr>
            </w:pPr>
            <w:r w:rsidRPr="004F4684">
              <w:rPr>
                <w:sz w:val="24"/>
                <w:szCs w:val="24"/>
              </w:rPr>
              <w:t>209</w:t>
            </w:r>
          </w:p>
        </w:tc>
        <w:tc>
          <w:tcPr>
            <w:tcW w:w="1559" w:type="dxa"/>
            <w:vAlign w:val="center"/>
          </w:tcPr>
          <w:p w14:paraId="2DFFBC53" w14:textId="77777777" w:rsidR="00066F73" w:rsidRPr="004F4684" w:rsidRDefault="00066F73" w:rsidP="00D91EFE">
            <w:pPr>
              <w:keepNext/>
              <w:keepLines/>
              <w:ind w:right="-12"/>
              <w:jc w:val="center"/>
              <w:rPr>
                <w:sz w:val="24"/>
                <w:szCs w:val="24"/>
              </w:rPr>
            </w:pPr>
            <w:r w:rsidRPr="004F4684">
              <w:rPr>
                <w:sz w:val="24"/>
                <w:szCs w:val="24"/>
              </w:rPr>
              <w:t>62.6</w:t>
            </w:r>
          </w:p>
        </w:tc>
      </w:tr>
      <w:tr w:rsidR="00066F73" w:rsidRPr="004F4684" w14:paraId="581A88E5" w14:textId="77777777" w:rsidTr="00622600">
        <w:trPr>
          <w:jc w:val="center"/>
        </w:trPr>
        <w:tc>
          <w:tcPr>
            <w:tcW w:w="1384" w:type="dxa"/>
            <w:vMerge/>
            <w:vAlign w:val="center"/>
          </w:tcPr>
          <w:p w14:paraId="5F0C39C7" w14:textId="77777777" w:rsidR="00066F73" w:rsidRPr="004F4684" w:rsidRDefault="00066F73" w:rsidP="00D91EFE">
            <w:pPr>
              <w:keepNext/>
              <w:keepLines/>
              <w:ind w:right="-12"/>
              <w:rPr>
                <w:sz w:val="24"/>
                <w:szCs w:val="24"/>
              </w:rPr>
            </w:pPr>
          </w:p>
        </w:tc>
        <w:tc>
          <w:tcPr>
            <w:tcW w:w="1134" w:type="dxa"/>
            <w:vAlign w:val="center"/>
          </w:tcPr>
          <w:p w14:paraId="731175A9" w14:textId="77777777" w:rsidR="00066F73" w:rsidRPr="004F4684" w:rsidRDefault="00066F73" w:rsidP="00D91EFE">
            <w:pPr>
              <w:keepNext/>
              <w:keepLines/>
              <w:ind w:right="-12"/>
              <w:rPr>
                <w:sz w:val="24"/>
                <w:szCs w:val="24"/>
              </w:rPr>
            </w:pPr>
            <w:r w:rsidRPr="004F4684">
              <w:rPr>
                <w:sz w:val="24"/>
                <w:szCs w:val="24"/>
              </w:rPr>
              <w:t xml:space="preserve">Hombre </w:t>
            </w:r>
          </w:p>
        </w:tc>
        <w:tc>
          <w:tcPr>
            <w:tcW w:w="1418" w:type="dxa"/>
            <w:vAlign w:val="center"/>
          </w:tcPr>
          <w:p w14:paraId="7FDBC396" w14:textId="77777777" w:rsidR="00066F73" w:rsidRPr="004F4684" w:rsidRDefault="00066F73" w:rsidP="00D91EFE">
            <w:pPr>
              <w:keepNext/>
              <w:keepLines/>
              <w:ind w:right="-12"/>
              <w:jc w:val="center"/>
              <w:rPr>
                <w:sz w:val="24"/>
                <w:szCs w:val="24"/>
              </w:rPr>
            </w:pPr>
            <w:r w:rsidRPr="004F4684">
              <w:rPr>
                <w:sz w:val="24"/>
                <w:szCs w:val="24"/>
              </w:rPr>
              <w:t>125</w:t>
            </w:r>
          </w:p>
        </w:tc>
        <w:tc>
          <w:tcPr>
            <w:tcW w:w="1559" w:type="dxa"/>
            <w:vAlign w:val="center"/>
          </w:tcPr>
          <w:p w14:paraId="2CEB409D" w14:textId="77777777" w:rsidR="00066F73" w:rsidRPr="004F4684" w:rsidRDefault="00066F73" w:rsidP="00D91EFE">
            <w:pPr>
              <w:keepNext/>
              <w:keepLines/>
              <w:ind w:right="-12"/>
              <w:jc w:val="center"/>
              <w:rPr>
                <w:sz w:val="24"/>
                <w:szCs w:val="24"/>
              </w:rPr>
            </w:pPr>
            <w:r w:rsidRPr="004F4684">
              <w:rPr>
                <w:sz w:val="24"/>
                <w:szCs w:val="24"/>
              </w:rPr>
              <w:t>37.4</w:t>
            </w:r>
          </w:p>
        </w:tc>
      </w:tr>
      <w:tr w:rsidR="00066F73" w:rsidRPr="004F4684" w14:paraId="3493C252" w14:textId="77777777" w:rsidTr="00622600">
        <w:trPr>
          <w:jc w:val="center"/>
        </w:trPr>
        <w:tc>
          <w:tcPr>
            <w:tcW w:w="1384" w:type="dxa"/>
            <w:vMerge w:val="restart"/>
            <w:vAlign w:val="center"/>
          </w:tcPr>
          <w:p w14:paraId="0D02AC6F" w14:textId="77777777" w:rsidR="00066F73" w:rsidRPr="004F4684" w:rsidRDefault="00066F73" w:rsidP="00D91EFE">
            <w:pPr>
              <w:keepNext/>
              <w:keepLines/>
              <w:ind w:right="-12"/>
              <w:rPr>
                <w:sz w:val="24"/>
                <w:szCs w:val="24"/>
              </w:rPr>
            </w:pPr>
            <w:r w:rsidRPr="004F4684">
              <w:rPr>
                <w:sz w:val="24"/>
                <w:szCs w:val="24"/>
              </w:rPr>
              <w:t>Carreras</w:t>
            </w:r>
          </w:p>
        </w:tc>
        <w:tc>
          <w:tcPr>
            <w:tcW w:w="1134" w:type="dxa"/>
            <w:vAlign w:val="center"/>
          </w:tcPr>
          <w:p w14:paraId="3A9DDFBD" w14:textId="77777777" w:rsidR="00066F73" w:rsidRPr="004F4684" w:rsidRDefault="00066F73" w:rsidP="00D91EFE">
            <w:pPr>
              <w:keepNext/>
              <w:keepLines/>
              <w:ind w:right="-12"/>
              <w:rPr>
                <w:sz w:val="24"/>
                <w:szCs w:val="24"/>
              </w:rPr>
            </w:pPr>
            <w:r w:rsidRPr="004F4684">
              <w:rPr>
                <w:sz w:val="24"/>
                <w:szCs w:val="24"/>
              </w:rPr>
              <w:t>CP</w:t>
            </w:r>
          </w:p>
        </w:tc>
        <w:tc>
          <w:tcPr>
            <w:tcW w:w="1418" w:type="dxa"/>
            <w:vAlign w:val="center"/>
          </w:tcPr>
          <w:p w14:paraId="559D1F17" w14:textId="77777777" w:rsidR="00066F73" w:rsidRPr="004F4684" w:rsidRDefault="00066F73" w:rsidP="00D91EFE">
            <w:pPr>
              <w:keepNext/>
              <w:keepLines/>
              <w:ind w:right="-12"/>
              <w:jc w:val="center"/>
              <w:rPr>
                <w:sz w:val="24"/>
                <w:szCs w:val="24"/>
              </w:rPr>
            </w:pPr>
            <w:r w:rsidRPr="004F4684">
              <w:rPr>
                <w:sz w:val="24"/>
                <w:szCs w:val="24"/>
              </w:rPr>
              <w:t>229</w:t>
            </w:r>
          </w:p>
        </w:tc>
        <w:tc>
          <w:tcPr>
            <w:tcW w:w="1559" w:type="dxa"/>
            <w:vAlign w:val="center"/>
          </w:tcPr>
          <w:p w14:paraId="07BE8F7F" w14:textId="77777777" w:rsidR="00066F73" w:rsidRPr="004F4684" w:rsidRDefault="00066F73" w:rsidP="00D91EFE">
            <w:pPr>
              <w:keepNext/>
              <w:keepLines/>
              <w:ind w:right="-12"/>
              <w:jc w:val="center"/>
              <w:rPr>
                <w:sz w:val="24"/>
                <w:szCs w:val="24"/>
              </w:rPr>
            </w:pPr>
            <w:r w:rsidRPr="004F4684">
              <w:rPr>
                <w:sz w:val="24"/>
                <w:szCs w:val="24"/>
              </w:rPr>
              <w:t>68.6</w:t>
            </w:r>
          </w:p>
        </w:tc>
      </w:tr>
      <w:tr w:rsidR="00066F73" w:rsidRPr="004F4684" w14:paraId="6B14A4BE" w14:textId="77777777" w:rsidTr="00622600">
        <w:trPr>
          <w:jc w:val="center"/>
        </w:trPr>
        <w:tc>
          <w:tcPr>
            <w:tcW w:w="1384" w:type="dxa"/>
            <w:vMerge/>
            <w:vAlign w:val="center"/>
          </w:tcPr>
          <w:p w14:paraId="23928CB2" w14:textId="77777777" w:rsidR="00066F73" w:rsidRPr="004F4684" w:rsidRDefault="00066F73" w:rsidP="00D91EFE">
            <w:pPr>
              <w:keepNext/>
              <w:keepLines/>
              <w:ind w:right="-12"/>
              <w:rPr>
                <w:sz w:val="24"/>
                <w:szCs w:val="24"/>
              </w:rPr>
            </w:pPr>
          </w:p>
        </w:tc>
        <w:tc>
          <w:tcPr>
            <w:tcW w:w="1134" w:type="dxa"/>
            <w:vAlign w:val="center"/>
          </w:tcPr>
          <w:p w14:paraId="482C5863" w14:textId="77777777" w:rsidR="00066F73" w:rsidRPr="004F4684" w:rsidRDefault="00066F73" w:rsidP="00D91EFE">
            <w:pPr>
              <w:keepNext/>
              <w:keepLines/>
              <w:ind w:right="-12"/>
              <w:rPr>
                <w:sz w:val="24"/>
                <w:szCs w:val="24"/>
              </w:rPr>
            </w:pPr>
            <w:r w:rsidRPr="004F4684">
              <w:rPr>
                <w:sz w:val="24"/>
                <w:szCs w:val="24"/>
              </w:rPr>
              <w:t>LA</w:t>
            </w:r>
          </w:p>
        </w:tc>
        <w:tc>
          <w:tcPr>
            <w:tcW w:w="1418" w:type="dxa"/>
            <w:vAlign w:val="center"/>
          </w:tcPr>
          <w:p w14:paraId="6847B1FE" w14:textId="77777777" w:rsidR="00066F73" w:rsidRPr="004F4684" w:rsidRDefault="00066F73" w:rsidP="00D91EFE">
            <w:pPr>
              <w:keepNext/>
              <w:keepLines/>
              <w:ind w:right="-12"/>
              <w:jc w:val="center"/>
              <w:rPr>
                <w:sz w:val="24"/>
                <w:szCs w:val="24"/>
              </w:rPr>
            </w:pPr>
            <w:r w:rsidRPr="004F4684">
              <w:rPr>
                <w:sz w:val="24"/>
                <w:szCs w:val="24"/>
              </w:rPr>
              <w:t>69</w:t>
            </w:r>
          </w:p>
        </w:tc>
        <w:tc>
          <w:tcPr>
            <w:tcW w:w="1559" w:type="dxa"/>
            <w:vAlign w:val="center"/>
          </w:tcPr>
          <w:p w14:paraId="218449EC" w14:textId="77777777" w:rsidR="00066F73" w:rsidRPr="004F4684" w:rsidRDefault="00066F73" w:rsidP="00D91EFE">
            <w:pPr>
              <w:keepNext/>
              <w:keepLines/>
              <w:ind w:right="-12"/>
              <w:jc w:val="center"/>
              <w:rPr>
                <w:sz w:val="24"/>
                <w:szCs w:val="24"/>
              </w:rPr>
            </w:pPr>
            <w:r w:rsidRPr="004F4684">
              <w:rPr>
                <w:sz w:val="24"/>
                <w:szCs w:val="24"/>
              </w:rPr>
              <w:t>20.6</w:t>
            </w:r>
          </w:p>
        </w:tc>
      </w:tr>
      <w:tr w:rsidR="00066F73" w:rsidRPr="004F4684" w14:paraId="49ED60D9" w14:textId="77777777" w:rsidTr="00622600">
        <w:trPr>
          <w:jc w:val="center"/>
        </w:trPr>
        <w:tc>
          <w:tcPr>
            <w:tcW w:w="1384" w:type="dxa"/>
            <w:vMerge/>
            <w:vAlign w:val="center"/>
          </w:tcPr>
          <w:p w14:paraId="12010E34" w14:textId="77777777" w:rsidR="00066F73" w:rsidRPr="004F4684" w:rsidRDefault="00066F73" w:rsidP="00D91EFE">
            <w:pPr>
              <w:keepNext/>
              <w:keepLines/>
              <w:ind w:right="-12"/>
              <w:rPr>
                <w:sz w:val="24"/>
                <w:szCs w:val="24"/>
              </w:rPr>
            </w:pPr>
          </w:p>
        </w:tc>
        <w:tc>
          <w:tcPr>
            <w:tcW w:w="1134" w:type="dxa"/>
            <w:vAlign w:val="center"/>
          </w:tcPr>
          <w:p w14:paraId="4D8A9A0F" w14:textId="77777777" w:rsidR="00066F73" w:rsidRPr="004F4684" w:rsidRDefault="00066F73" w:rsidP="00D91EFE">
            <w:pPr>
              <w:keepNext/>
              <w:keepLines/>
              <w:ind w:right="-12"/>
              <w:rPr>
                <w:sz w:val="24"/>
                <w:szCs w:val="24"/>
              </w:rPr>
            </w:pPr>
            <w:r w:rsidRPr="004F4684">
              <w:rPr>
                <w:sz w:val="24"/>
                <w:szCs w:val="24"/>
              </w:rPr>
              <w:t>LTI</w:t>
            </w:r>
          </w:p>
        </w:tc>
        <w:tc>
          <w:tcPr>
            <w:tcW w:w="1418" w:type="dxa"/>
            <w:vAlign w:val="center"/>
          </w:tcPr>
          <w:p w14:paraId="594521FE" w14:textId="77777777" w:rsidR="00066F73" w:rsidRPr="004F4684" w:rsidRDefault="00066F73" w:rsidP="00D91EFE">
            <w:pPr>
              <w:keepNext/>
              <w:keepLines/>
              <w:ind w:right="-12"/>
              <w:jc w:val="center"/>
              <w:rPr>
                <w:sz w:val="24"/>
                <w:szCs w:val="24"/>
              </w:rPr>
            </w:pPr>
            <w:r w:rsidRPr="004F4684">
              <w:rPr>
                <w:sz w:val="24"/>
                <w:szCs w:val="24"/>
              </w:rPr>
              <w:t>31</w:t>
            </w:r>
          </w:p>
        </w:tc>
        <w:tc>
          <w:tcPr>
            <w:tcW w:w="1559" w:type="dxa"/>
            <w:vAlign w:val="center"/>
          </w:tcPr>
          <w:p w14:paraId="4C35E05E" w14:textId="77777777" w:rsidR="00066F73" w:rsidRPr="004F4684" w:rsidRDefault="00066F73" w:rsidP="00D91EFE">
            <w:pPr>
              <w:keepNext/>
              <w:keepLines/>
              <w:ind w:right="-12"/>
              <w:jc w:val="center"/>
              <w:rPr>
                <w:sz w:val="24"/>
                <w:szCs w:val="24"/>
              </w:rPr>
            </w:pPr>
            <w:r w:rsidRPr="004F4684">
              <w:rPr>
                <w:sz w:val="24"/>
                <w:szCs w:val="24"/>
              </w:rPr>
              <w:t>9.3</w:t>
            </w:r>
          </w:p>
        </w:tc>
      </w:tr>
      <w:tr w:rsidR="00066F73" w:rsidRPr="004F4684" w14:paraId="51A39C2D" w14:textId="77777777" w:rsidTr="00622600">
        <w:trPr>
          <w:jc w:val="center"/>
        </w:trPr>
        <w:tc>
          <w:tcPr>
            <w:tcW w:w="1384" w:type="dxa"/>
            <w:vMerge/>
            <w:vAlign w:val="center"/>
          </w:tcPr>
          <w:p w14:paraId="32A9317C" w14:textId="77777777" w:rsidR="00066F73" w:rsidRPr="004F4684" w:rsidRDefault="00066F73" w:rsidP="00D91EFE">
            <w:pPr>
              <w:keepNext/>
              <w:keepLines/>
              <w:ind w:right="-12"/>
              <w:rPr>
                <w:sz w:val="24"/>
                <w:szCs w:val="24"/>
              </w:rPr>
            </w:pPr>
          </w:p>
        </w:tc>
        <w:tc>
          <w:tcPr>
            <w:tcW w:w="1134" w:type="dxa"/>
            <w:vAlign w:val="center"/>
          </w:tcPr>
          <w:p w14:paraId="1FDC34EB" w14:textId="77777777" w:rsidR="00066F73" w:rsidRPr="004F4684" w:rsidRDefault="00066F73" w:rsidP="00D91EFE">
            <w:pPr>
              <w:keepNext/>
              <w:keepLines/>
              <w:ind w:right="-12"/>
              <w:rPr>
                <w:sz w:val="24"/>
                <w:szCs w:val="24"/>
              </w:rPr>
            </w:pPr>
            <w:r w:rsidRPr="004F4684">
              <w:rPr>
                <w:sz w:val="24"/>
                <w:szCs w:val="24"/>
              </w:rPr>
              <w:t>LEDS</w:t>
            </w:r>
          </w:p>
        </w:tc>
        <w:tc>
          <w:tcPr>
            <w:tcW w:w="1418" w:type="dxa"/>
            <w:vAlign w:val="center"/>
          </w:tcPr>
          <w:p w14:paraId="5DE6F12A" w14:textId="77777777" w:rsidR="00066F73" w:rsidRPr="004F4684" w:rsidRDefault="00066F73" w:rsidP="00D91EFE">
            <w:pPr>
              <w:keepNext/>
              <w:keepLines/>
              <w:ind w:right="-12"/>
              <w:jc w:val="center"/>
              <w:rPr>
                <w:sz w:val="24"/>
                <w:szCs w:val="24"/>
              </w:rPr>
            </w:pPr>
            <w:r w:rsidRPr="004F4684">
              <w:rPr>
                <w:sz w:val="24"/>
                <w:szCs w:val="24"/>
              </w:rPr>
              <w:t>5</w:t>
            </w:r>
          </w:p>
        </w:tc>
        <w:tc>
          <w:tcPr>
            <w:tcW w:w="1559" w:type="dxa"/>
            <w:vAlign w:val="center"/>
          </w:tcPr>
          <w:p w14:paraId="7FBEB145" w14:textId="77777777" w:rsidR="00066F73" w:rsidRPr="004F4684" w:rsidRDefault="00066F73" w:rsidP="00D91EFE">
            <w:pPr>
              <w:keepNext/>
              <w:keepLines/>
              <w:ind w:right="-12"/>
              <w:jc w:val="center"/>
              <w:rPr>
                <w:sz w:val="24"/>
                <w:szCs w:val="24"/>
              </w:rPr>
            </w:pPr>
            <w:r w:rsidRPr="004F4684">
              <w:rPr>
                <w:sz w:val="24"/>
                <w:szCs w:val="24"/>
              </w:rPr>
              <w:t>1.5</w:t>
            </w:r>
          </w:p>
        </w:tc>
      </w:tr>
      <w:tr w:rsidR="00066F73" w:rsidRPr="004F4684" w14:paraId="45E0525B" w14:textId="77777777" w:rsidTr="00622600">
        <w:trPr>
          <w:jc w:val="center"/>
        </w:trPr>
        <w:tc>
          <w:tcPr>
            <w:tcW w:w="1384" w:type="dxa"/>
            <w:vAlign w:val="center"/>
          </w:tcPr>
          <w:p w14:paraId="0CAB4AC9" w14:textId="77777777" w:rsidR="00066F73" w:rsidRPr="004F4684" w:rsidRDefault="00066F73" w:rsidP="00D91EFE">
            <w:pPr>
              <w:keepNext/>
              <w:keepLines/>
              <w:ind w:right="-12"/>
              <w:rPr>
                <w:sz w:val="24"/>
                <w:szCs w:val="24"/>
              </w:rPr>
            </w:pPr>
            <w:r w:rsidRPr="004F4684">
              <w:rPr>
                <w:sz w:val="24"/>
                <w:szCs w:val="24"/>
              </w:rPr>
              <w:t>Totalidad</w:t>
            </w:r>
          </w:p>
        </w:tc>
        <w:tc>
          <w:tcPr>
            <w:tcW w:w="1134" w:type="dxa"/>
            <w:vAlign w:val="center"/>
          </w:tcPr>
          <w:p w14:paraId="2260ABBB" w14:textId="77777777" w:rsidR="00066F73" w:rsidRPr="004F4684" w:rsidRDefault="00066F73" w:rsidP="00D91EFE">
            <w:pPr>
              <w:keepNext/>
              <w:keepLines/>
              <w:ind w:right="-12"/>
              <w:rPr>
                <w:sz w:val="24"/>
                <w:szCs w:val="24"/>
              </w:rPr>
            </w:pPr>
          </w:p>
        </w:tc>
        <w:tc>
          <w:tcPr>
            <w:tcW w:w="1418" w:type="dxa"/>
            <w:vAlign w:val="center"/>
          </w:tcPr>
          <w:p w14:paraId="71A8ECF0" w14:textId="77777777" w:rsidR="00066F73" w:rsidRPr="004F4684" w:rsidRDefault="00066F73" w:rsidP="00D91EFE">
            <w:pPr>
              <w:keepNext/>
              <w:keepLines/>
              <w:ind w:right="-12"/>
              <w:jc w:val="center"/>
              <w:rPr>
                <w:sz w:val="24"/>
                <w:szCs w:val="24"/>
              </w:rPr>
            </w:pPr>
            <w:r w:rsidRPr="004F4684">
              <w:rPr>
                <w:sz w:val="24"/>
                <w:szCs w:val="24"/>
              </w:rPr>
              <w:t>334</w:t>
            </w:r>
          </w:p>
        </w:tc>
        <w:tc>
          <w:tcPr>
            <w:tcW w:w="1559" w:type="dxa"/>
            <w:vAlign w:val="center"/>
          </w:tcPr>
          <w:p w14:paraId="7896A261" w14:textId="77777777" w:rsidR="00066F73" w:rsidRPr="004F4684" w:rsidRDefault="00066F73" w:rsidP="00D91EFE">
            <w:pPr>
              <w:keepNext/>
              <w:keepLines/>
              <w:ind w:right="-12"/>
              <w:jc w:val="center"/>
              <w:rPr>
                <w:sz w:val="24"/>
                <w:szCs w:val="24"/>
              </w:rPr>
            </w:pPr>
            <w:r w:rsidRPr="004F4684">
              <w:rPr>
                <w:sz w:val="24"/>
                <w:szCs w:val="24"/>
              </w:rPr>
              <w:t>100.0</w:t>
            </w:r>
          </w:p>
        </w:tc>
      </w:tr>
    </w:tbl>
    <w:p w14:paraId="1C0DD44E" w14:textId="77777777" w:rsidR="001F6FEB" w:rsidRPr="00622600" w:rsidRDefault="001F6FEB" w:rsidP="00D91EFE">
      <w:pPr>
        <w:ind w:right="-12"/>
        <w:jc w:val="center"/>
        <w:rPr>
          <w:sz w:val="24"/>
          <w:szCs w:val="24"/>
        </w:rPr>
      </w:pPr>
      <w:r w:rsidRPr="00622600">
        <w:rPr>
          <w:bCs/>
          <w:sz w:val="24"/>
          <w:szCs w:val="24"/>
        </w:rPr>
        <w:t>Fuente:</w:t>
      </w:r>
      <w:r w:rsidRPr="00622600">
        <w:rPr>
          <w:sz w:val="24"/>
          <w:szCs w:val="24"/>
        </w:rPr>
        <w:t xml:space="preserve"> Elaboración propia</w:t>
      </w:r>
    </w:p>
    <w:p w14:paraId="68FBCE16" w14:textId="77777777" w:rsidR="008D1C07" w:rsidRPr="004F4684" w:rsidRDefault="008D1C07" w:rsidP="00D91EFE">
      <w:pPr>
        <w:pStyle w:val="3Ttulotabla"/>
        <w:spacing w:before="0" w:after="0" w:line="360" w:lineRule="auto"/>
        <w:ind w:right="-12"/>
        <w:jc w:val="center"/>
        <w:rPr>
          <w:rFonts w:ascii="Times New Roman" w:hAnsi="Times New Roman"/>
          <w:b/>
          <w:bCs/>
          <w:sz w:val="24"/>
          <w:szCs w:val="24"/>
        </w:rPr>
      </w:pPr>
    </w:p>
    <w:p w14:paraId="65510F21" w14:textId="1C232C59" w:rsidR="00B5653E" w:rsidRPr="004F4684" w:rsidRDefault="00B5653E" w:rsidP="00D91EFE">
      <w:pPr>
        <w:pStyle w:val="3Ttulotabla"/>
        <w:keepLines/>
        <w:widowControl/>
        <w:spacing w:before="0" w:after="0" w:line="360" w:lineRule="auto"/>
        <w:ind w:right="-12"/>
        <w:jc w:val="center"/>
        <w:rPr>
          <w:rFonts w:ascii="Times New Roman" w:hAnsi="Times New Roman"/>
          <w:sz w:val="24"/>
          <w:szCs w:val="24"/>
        </w:rPr>
      </w:pPr>
      <w:r w:rsidRPr="004F4684">
        <w:rPr>
          <w:rFonts w:ascii="Times New Roman" w:hAnsi="Times New Roman"/>
          <w:b/>
          <w:bCs/>
          <w:sz w:val="24"/>
          <w:szCs w:val="24"/>
        </w:rPr>
        <w:t>Figura 1.</w:t>
      </w:r>
      <w:r w:rsidR="007A645E">
        <w:rPr>
          <w:rFonts w:ascii="Times New Roman" w:hAnsi="Times New Roman"/>
          <w:sz w:val="24"/>
          <w:szCs w:val="24"/>
        </w:rPr>
        <w:t xml:space="preserve"> Matrí</w:t>
      </w:r>
      <w:r w:rsidRPr="004F4684">
        <w:rPr>
          <w:rFonts w:ascii="Times New Roman" w:hAnsi="Times New Roman"/>
          <w:sz w:val="24"/>
          <w:szCs w:val="24"/>
        </w:rPr>
        <w:t>cula por periodo escolar</w:t>
      </w:r>
    </w:p>
    <w:p w14:paraId="5D973D02" w14:textId="4786C820" w:rsidR="00C76EF1" w:rsidRPr="004F4684" w:rsidRDefault="00223D2F" w:rsidP="00D91EFE">
      <w:pPr>
        <w:pStyle w:val="Textoindependiente"/>
        <w:keepNext/>
        <w:keepLines/>
        <w:widowControl/>
        <w:spacing w:line="360" w:lineRule="auto"/>
        <w:ind w:right="-12"/>
        <w:jc w:val="center"/>
        <w:rPr>
          <w:color w:val="C00000"/>
        </w:rPr>
      </w:pPr>
      <w:r>
        <w:rPr>
          <w:noProof/>
          <w:color w:val="C00000"/>
          <w:lang w:val="es-CO" w:eastAsia="es-CO"/>
        </w:rPr>
        <w:drawing>
          <wp:inline distT="0" distB="0" distL="0" distR="0" wp14:anchorId="18B8523A" wp14:editId="3BF28942">
            <wp:extent cx="5115098" cy="3011978"/>
            <wp:effectExtent l="0" t="0" r="0" b="0"/>
            <wp:docPr id="773588284"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88284" name="Imagen 1" descr="Gráfico, Gráfico de barras&#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15098" cy="3011978"/>
                    </a:xfrm>
                    <a:prstGeom prst="rect">
                      <a:avLst/>
                    </a:prstGeom>
                  </pic:spPr>
                </pic:pic>
              </a:graphicData>
            </a:graphic>
          </wp:inline>
        </w:drawing>
      </w:r>
    </w:p>
    <w:p w14:paraId="599668A2" w14:textId="77777777" w:rsidR="001F6FEB" w:rsidRPr="001F6FEB" w:rsidRDefault="001F6FEB" w:rsidP="00D91EFE">
      <w:pPr>
        <w:ind w:right="-12"/>
        <w:jc w:val="center"/>
      </w:pPr>
      <w:r w:rsidRPr="007A645E">
        <w:rPr>
          <w:bCs/>
        </w:rPr>
        <w:t>Fuente:</w:t>
      </w:r>
      <w:r w:rsidRPr="007A645E">
        <w:t xml:space="preserve"> </w:t>
      </w:r>
      <w:r w:rsidRPr="001F6FEB">
        <w:t>Elaboración propia</w:t>
      </w:r>
    </w:p>
    <w:p w14:paraId="1F600888" w14:textId="77777777" w:rsidR="002A3605" w:rsidRPr="00D12ECD" w:rsidRDefault="002A3605" w:rsidP="00D91EFE">
      <w:pPr>
        <w:ind w:right="-12"/>
      </w:pPr>
    </w:p>
    <w:p w14:paraId="636D0E40" w14:textId="77777777" w:rsidR="002A3605" w:rsidRPr="00D12ECD" w:rsidRDefault="002A3605" w:rsidP="00D91EFE">
      <w:pPr>
        <w:ind w:right="-12"/>
      </w:pPr>
    </w:p>
    <w:p w14:paraId="1059E1EF" w14:textId="3B5693EA" w:rsidR="00B5653E" w:rsidRPr="005F67BC" w:rsidRDefault="00B5653E" w:rsidP="00D91EFE">
      <w:pPr>
        <w:pStyle w:val="3Ttulotabla"/>
        <w:keepLines/>
        <w:widowControl/>
        <w:spacing w:before="0" w:after="0" w:line="360" w:lineRule="auto"/>
        <w:ind w:right="-12"/>
        <w:jc w:val="center"/>
        <w:rPr>
          <w:rFonts w:ascii="Times New Roman" w:hAnsi="Times New Roman"/>
          <w:b/>
          <w:bCs/>
          <w:sz w:val="24"/>
          <w:szCs w:val="24"/>
        </w:rPr>
      </w:pPr>
      <w:r w:rsidRPr="005F67BC">
        <w:rPr>
          <w:rFonts w:ascii="Times New Roman" w:hAnsi="Times New Roman"/>
          <w:b/>
          <w:bCs/>
          <w:sz w:val="24"/>
          <w:szCs w:val="24"/>
        </w:rPr>
        <w:lastRenderedPageBreak/>
        <w:t xml:space="preserve">Figura 2. </w:t>
      </w:r>
      <w:r w:rsidR="00BB63E4" w:rsidRPr="005F67BC">
        <w:rPr>
          <w:rFonts w:ascii="Times New Roman" w:hAnsi="Times New Roman"/>
          <w:sz w:val="24"/>
          <w:szCs w:val="24"/>
        </w:rPr>
        <w:t>Equipamiento tecnológico</w:t>
      </w:r>
      <w:r w:rsidR="00544C61" w:rsidRPr="005F67BC">
        <w:rPr>
          <w:rFonts w:ascii="Times New Roman" w:hAnsi="Times New Roman"/>
          <w:b/>
          <w:bCs/>
          <w:sz w:val="24"/>
          <w:szCs w:val="24"/>
        </w:rPr>
        <w:t xml:space="preserve"> </w:t>
      </w:r>
    </w:p>
    <w:p w14:paraId="1738F429" w14:textId="4A0C8B3A" w:rsidR="00B5653E" w:rsidRPr="005F67BC" w:rsidRDefault="00223D2F" w:rsidP="00D91EFE">
      <w:pPr>
        <w:pStyle w:val="3Ttulotabla"/>
        <w:keepLines/>
        <w:widowControl/>
        <w:spacing w:before="0" w:after="0" w:line="360" w:lineRule="auto"/>
        <w:ind w:right="-12"/>
        <w:jc w:val="center"/>
        <w:rPr>
          <w:rFonts w:ascii="Times New Roman" w:hAnsi="Times New Roman"/>
          <w:b/>
          <w:bCs/>
          <w:sz w:val="24"/>
          <w:szCs w:val="24"/>
        </w:rPr>
      </w:pPr>
      <w:r>
        <w:rPr>
          <w:rFonts w:ascii="Times New Roman" w:hAnsi="Times New Roman"/>
          <w:b/>
          <w:bCs/>
          <w:noProof/>
          <w:sz w:val="24"/>
          <w:szCs w:val="24"/>
          <w:lang w:val="es-CO" w:eastAsia="es-CO"/>
        </w:rPr>
        <w:drawing>
          <wp:inline distT="0" distB="0" distL="0" distR="0" wp14:anchorId="5E460437" wp14:editId="7A7C60D2">
            <wp:extent cx="4587240" cy="2674620"/>
            <wp:effectExtent l="0" t="0" r="3810" b="0"/>
            <wp:docPr id="107060899"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0899" name="Imagen 2" descr="Gráfico, Gráfico de barras&#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4587240" cy="2674620"/>
                    </a:xfrm>
                    <a:prstGeom prst="rect">
                      <a:avLst/>
                    </a:prstGeom>
                  </pic:spPr>
                </pic:pic>
              </a:graphicData>
            </a:graphic>
          </wp:inline>
        </w:drawing>
      </w:r>
    </w:p>
    <w:p w14:paraId="7A3906CF" w14:textId="77777777" w:rsidR="001F6FEB" w:rsidRPr="00622600" w:rsidRDefault="001F6FEB" w:rsidP="00D91EFE">
      <w:pPr>
        <w:ind w:right="-12"/>
        <w:jc w:val="center"/>
        <w:rPr>
          <w:sz w:val="24"/>
          <w:szCs w:val="24"/>
        </w:rPr>
      </w:pPr>
      <w:r w:rsidRPr="00622600">
        <w:rPr>
          <w:bCs/>
          <w:sz w:val="24"/>
          <w:szCs w:val="24"/>
        </w:rPr>
        <w:t>Fuente:</w:t>
      </w:r>
      <w:r w:rsidRPr="00622600">
        <w:rPr>
          <w:sz w:val="24"/>
          <w:szCs w:val="24"/>
        </w:rPr>
        <w:t xml:space="preserve"> Elaboración propia</w:t>
      </w:r>
    </w:p>
    <w:p w14:paraId="731BDD31" w14:textId="21414D8D" w:rsidR="00B12B44" w:rsidRPr="004F4684" w:rsidRDefault="007A645E" w:rsidP="00D91EFE">
      <w:pPr>
        <w:pStyle w:val="Textoindependiente"/>
        <w:spacing w:line="360" w:lineRule="auto"/>
        <w:ind w:right="-12" w:firstLine="567"/>
        <w:jc w:val="both"/>
      </w:pPr>
      <w:r>
        <w:t>Durante este peri</w:t>
      </w:r>
      <w:r w:rsidR="002A3605" w:rsidRPr="004F4684">
        <w:t xml:space="preserve">odo de confinamiento, los estudiantes universitarios se enfrentaron a diversos desafíos, que incluyeron tareas, actividades, exposiciones de clases, tutorías, asesorías y trabajos de dirección de tesis, entre otros. A través de un análisis de frecuencia estadística, se logró identificar la percepción de los estudiantes universitarios en relación con aspectos asociados a las </w:t>
      </w:r>
      <w:r w:rsidR="00EB3BDC">
        <w:t>TIC</w:t>
      </w:r>
      <w:r w:rsidR="002A3605" w:rsidRPr="004F4684">
        <w:t xml:space="preserve"> implementadas en la práctica académica y en sus procesos de aprendizaje. Con el fin de realizar un análisis más detallado, los resultados se organizaron en </w:t>
      </w:r>
      <w:r w:rsidR="006B3C2C" w:rsidRPr="004F4684">
        <w:t xml:space="preserve">las </w:t>
      </w:r>
      <w:r w:rsidR="002A3605" w:rsidRPr="004F4684">
        <w:t xml:space="preserve">seis categorías </w:t>
      </w:r>
      <w:r w:rsidR="006B3C2C" w:rsidRPr="004F4684">
        <w:t xml:space="preserve">ya mencionadas, </w:t>
      </w:r>
      <w:r>
        <w:t>es decir,</w:t>
      </w:r>
      <w:r w:rsidR="002A3605" w:rsidRPr="004F4684">
        <w:t xml:space="preserve"> participación académica, calidad educativa, incorporación tecnológica, apoyo académico, habilidades digitales y flexibilidad académica.</w:t>
      </w:r>
    </w:p>
    <w:p w14:paraId="29101154" w14:textId="77777777" w:rsidR="002A3605" w:rsidRPr="004F4684" w:rsidRDefault="002A3605" w:rsidP="00D91EFE">
      <w:pPr>
        <w:spacing w:line="360" w:lineRule="auto"/>
        <w:ind w:right="-12"/>
        <w:rPr>
          <w:sz w:val="24"/>
          <w:szCs w:val="24"/>
        </w:rPr>
      </w:pPr>
    </w:p>
    <w:p w14:paraId="1E3C36A7" w14:textId="4460C2A9" w:rsidR="00BE6CEA" w:rsidRPr="00622600" w:rsidRDefault="00BE6CEA" w:rsidP="00622600">
      <w:pPr>
        <w:pStyle w:val="Textoindependiente"/>
        <w:spacing w:line="360" w:lineRule="auto"/>
        <w:ind w:right="-12"/>
        <w:jc w:val="center"/>
        <w:rPr>
          <w:b/>
          <w:bCs/>
          <w:sz w:val="28"/>
          <w:szCs w:val="28"/>
        </w:rPr>
      </w:pPr>
      <w:r w:rsidRPr="00622600">
        <w:rPr>
          <w:b/>
          <w:bCs/>
          <w:sz w:val="28"/>
          <w:szCs w:val="28"/>
        </w:rPr>
        <w:t xml:space="preserve">Participación </w:t>
      </w:r>
      <w:r w:rsidR="007A645E" w:rsidRPr="00622600">
        <w:rPr>
          <w:b/>
          <w:bCs/>
          <w:sz w:val="28"/>
          <w:szCs w:val="28"/>
        </w:rPr>
        <w:t>a</w:t>
      </w:r>
      <w:r w:rsidRPr="00622600">
        <w:rPr>
          <w:b/>
          <w:bCs/>
          <w:sz w:val="28"/>
          <w:szCs w:val="28"/>
        </w:rPr>
        <w:t>cadémica</w:t>
      </w:r>
    </w:p>
    <w:p w14:paraId="18FFB2B6" w14:textId="445CB0DC" w:rsidR="00C92721" w:rsidRPr="004F4684" w:rsidRDefault="00C92721" w:rsidP="00D91EFE">
      <w:pPr>
        <w:pStyle w:val="Textoindependiente"/>
        <w:spacing w:line="360" w:lineRule="auto"/>
        <w:ind w:right="-12" w:firstLine="567"/>
        <w:jc w:val="both"/>
      </w:pPr>
      <w:r w:rsidRPr="004F4684">
        <w:t>A la luz de la experiencia vivida, podría haberse anticipado una disminución en la participación de los estudiantes en sus procesos de enseñanza y aprendizaje durante el periodo escolar analizado</w:t>
      </w:r>
      <w:r w:rsidR="00A15FBD">
        <w:t xml:space="preserve"> debido al </w:t>
      </w:r>
      <w:r w:rsidRPr="004F4684">
        <w:t>cambio de modalidad presencial a distancia. No obstante, los resultados revelaron sorprendentemente que el 40.4</w:t>
      </w:r>
      <w:r w:rsidR="00A15FBD">
        <w:t xml:space="preserve"> </w:t>
      </w:r>
      <w:r w:rsidRPr="004F4684">
        <w:t>% está muy de acuerdo y, de manera similar, el 53.3</w:t>
      </w:r>
      <w:r w:rsidR="00A15FBD">
        <w:t xml:space="preserve"> </w:t>
      </w:r>
      <w:r w:rsidRPr="004F4684">
        <w:t>% está de acuerdo en que las tecnologías han estimulado su participación académica. Al profundizar en las causas subyacentes de estos resultados, se atribuye a la comunicación y conectividad sincrónica y asincrónica que los alumnos experimentaron a través de diversas herramientas y plataformas educativas tecnológicas puestas a disposición de la comunidad universitaria (</w:t>
      </w:r>
      <w:r w:rsidR="00A15FBD">
        <w:t>f</w:t>
      </w:r>
      <w:r w:rsidRPr="004F4684">
        <w:t xml:space="preserve">igura 3). Este aumento en la participación puede entenderse como el resultado directo de la adaptación exitosa de la tecnología para facilitar la interacción estudiantil, </w:t>
      </w:r>
      <w:r w:rsidR="00A15FBD">
        <w:t xml:space="preserve">lo que contribuye </w:t>
      </w:r>
      <w:r w:rsidRPr="004F4684">
        <w:t>al éxito de la transición a la educación a distancia</w:t>
      </w:r>
    </w:p>
    <w:p w14:paraId="31427279" w14:textId="4838A8A3" w:rsidR="0080125F" w:rsidRPr="005F67BC" w:rsidRDefault="0080125F" w:rsidP="00D91EFE">
      <w:pPr>
        <w:pStyle w:val="3Ttulotabla"/>
        <w:keepLines/>
        <w:widowControl/>
        <w:spacing w:before="0" w:after="0" w:line="360" w:lineRule="auto"/>
        <w:ind w:right="-12"/>
        <w:jc w:val="center"/>
        <w:rPr>
          <w:rFonts w:ascii="Times New Roman" w:hAnsi="Times New Roman"/>
          <w:b/>
          <w:bCs/>
          <w:sz w:val="24"/>
          <w:szCs w:val="24"/>
        </w:rPr>
      </w:pPr>
      <w:r w:rsidRPr="005F67BC">
        <w:rPr>
          <w:rFonts w:ascii="Times New Roman" w:hAnsi="Times New Roman"/>
          <w:b/>
          <w:bCs/>
          <w:sz w:val="24"/>
          <w:szCs w:val="24"/>
        </w:rPr>
        <w:lastRenderedPageBreak/>
        <w:t xml:space="preserve">Figura </w:t>
      </w:r>
      <w:r w:rsidR="000F4050" w:rsidRPr="005F67BC">
        <w:rPr>
          <w:rFonts w:ascii="Times New Roman" w:hAnsi="Times New Roman"/>
          <w:b/>
          <w:bCs/>
          <w:sz w:val="24"/>
          <w:szCs w:val="24"/>
        </w:rPr>
        <w:t>3</w:t>
      </w:r>
      <w:r w:rsidRPr="005F67BC">
        <w:rPr>
          <w:rFonts w:ascii="Times New Roman" w:hAnsi="Times New Roman"/>
          <w:b/>
          <w:bCs/>
          <w:sz w:val="24"/>
          <w:szCs w:val="24"/>
        </w:rPr>
        <w:t xml:space="preserve">. </w:t>
      </w:r>
      <w:r w:rsidR="00EF632D" w:rsidRPr="005F67BC">
        <w:rPr>
          <w:rFonts w:ascii="Times New Roman" w:hAnsi="Times New Roman"/>
          <w:sz w:val="24"/>
          <w:szCs w:val="24"/>
        </w:rPr>
        <w:t>Las TIC fomentan la participación en los procesos educativos</w:t>
      </w:r>
    </w:p>
    <w:p w14:paraId="566067A9" w14:textId="1CA13C29" w:rsidR="0080125F" w:rsidRPr="004F4684" w:rsidRDefault="00223D2F" w:rsidP="00D91EFE">
      <w:pPr>
        <w:spacing w:line="360" w:lineRule="auto"/>
        <w:ind w:right="-12"/>
        <w:jc w:val="center"/>
        <w:rPr>
          <w:color w:val="C00000"/>
          <w:sz w:val="24"/>
          <w:szCs w:val="24"/>
        </w:rPr>
      </w:pPr>
      <w:r>
        <w:rPr>
          <w:noProof/>
          <w:color w:val="C00000"/>
          <w:sz w:val="24"/>
          <w:szCs w:val="24"/>
          <w:lang w:val="es-CO" w:eastAsia="es-CO"/>
        </w:rPr>
        <w:drawing>
          <wp:inline distT="0" distB="0" distL="0" distR="0" wp14:anchorId="708DA02C" wp14:editId="304E03BF">
            <wp:extent cx="4572000" cy="2740429"/>
            <wp:effectExtent l="0" t="0" r="0" b="3175"/>
            <wp:docPr id="1275936614"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36614" name="Imagen 3" descr="Gráfico, Gráfico de barras&#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2740429"/>
                    </a:xfrm>
                    <a:prstGeom prst="rect">
                      <a:avLst/>
                    </a:prstGeom>
                  </pic:spPr>
                </pic:pic>
              </a:graphicData>
            </a:graphic>
          </wp:inline>
        </w:drawing>
      </w:r>
    </w:p>
    <w:p w14:paraId="78C72BFB" w14:textId="77777777" w:rsidR="001F6FEB" w:rsidRPr="00622600" w:rsidRDefault="001F6FEB" w:rsidP="00622600">
      <w:pPr>
        <w:spacing w:line="360" w:lineRule="auto"/>
        <w:ind w:right="-12"/>
        <w:jc w:val="center"/>
        <w:rPr>
          <w:sz w:val="24"/>
          <w:szCs w:val="24"/>
        </w:rPr>
      </w:pPr>
      <w:r w:rsidRPr="00622600">
        <w:rPr>
          <w:bCs/>
          <w:sz w:val="24"/>
          <w:szCs w:val="24"/>
        </w:rPr>
        <w:t>Fuente:</w:t>
      </w:r>
      <w:r w:rsidRPr="00622600">
        <w:rPr>
          <w:sz w:val="24"/>
          <w:szCs w:val="24"/>
        </w:rPr>
        <w:t xml:space="preserve"> Elaboración propia</w:t>
      </w:r>
    </w:p>
    <w:p w14:paraId="7F6ED79E" w14:textId="77777777" w:rsidR="00E76FBF" w:rsidRDefault="00E76FBF" w:rsidP="00223D2F">
      <w:pPr>
        <w:pStyle w:val="Textoindependiente"/>
        <w:spacing w:line="360" w:lineRule="auto"/>
        <w:ind w:left="720" w:right="-12"/>
        <w:jc w:val="center"/>
        <w:rPr>
          <w:b/>
          <w:bCs/>
          <w:sz w:val="32"/>
          <w:szCs w:val="32"/>
        </w:rPr>
      </w:pPr>
    </w:p>
    <w:p w14:paraId="7A830E1C" w14:textId="269A1044" w:rsidR="00EF632D" w:rsidRPr="00622600" w:rsidRDefault="00EF632D" w:rsidP="00622600">
      <w:pPr>
        <w:pStyle w:val="Textoindependiente"/>
        <w:spacing w:line="360" w:lineRule="auto"/>
        <w:ind w:right="-12"/>
        <w:jc w:val="center"/>
        <w:rPr>
          <w:b/>
          <w:bCs/>
          <w:sz w:val="28"/>
          <w:szCs w:val="28"/>
        </w:rPr>
      </w:pPr>
      <w:r w:rsidRPr="00622600">
        <w:rPr>
          <w:b/>
          <w:bCs/>
          <w:sz w:val="28"/>
          <w:szCs w:val="28"/>
        </w:rPr>
        <w:t>Calidad educativa</w:t>
      </w:r>
    </w:p>
    <w:p w14:paraId="631353E2" w14:textId="30C37000" w:rsidR="00C92721" w:rsidRPr="004F4684" w:rsidRDefault="00A521E3" w:rsidP="00D91EFE">
      <w:pPr>
        <w:pStyle w:val="Textoindependiente"/>
        <w:spacing w:line="360" w:lineRule="auto"/>
        <w:ind w:right="-12" w:firstLine="567"/>
        <w:jc w:val="both"/>
      </w:pPr>
      <w:r w:rsidRPr="004F4684">
        <w:t>La irrupción de la pandemia y sus consecuencias en el ámbito educativo generó mejoras significativas en la calidad de los procesos de enseñanza-aprendizaje gracias a la incorporación de herramientas tecnológicas. Esta mejora es percibida por el 93.7</w:t>
      </w:r>
      <w:r w:rsidR="00A15FBD">
        <w:t xml:space="preserve"> </w:t>
      </w:r>
      <w:r w:rsidRPr="004F4684">
        <w:t>% de los estudiantes encuestados (</w:t>
      </w:r>
      <w:r w:rsidR="00A15FBD">
        <w:t>f</w:t>
      </w:r>
      <w:r w:rsidRPr="004F4684">
        <w:t xml:space="preserve">igura 4). Los aspectos en los que estos cambios son más evidentes incluyen el uso de bases de datos y bibliotecas virtuales, plataformas virtuales, recursos educativos en línea, así como la creación de materiales virtuales y el acceso a recursos en red. Estos cambios, identificados por los estudiantes, sugieren una transformación radical y profunda en la práctica docente, </w:t>
      </w:r>
      <w:r w:rsidR="00A15FBD">
        <w:t>y destacan</w:t>
      </w:r>
      <w:r w:rsidRPr="004F4684">
        <w:t xml:space="preserve"> la eficacia de la tecnología como catalizador para la mejora continua de la calidad educativa.</w:t>
      </w:r>
    </w:p>
    <w:p w14:paraId="69123F4D" w14:textId="77777777" w:rsidR="00C92721" w:rsidRPr="004F4684" w:rsidRDefault="00C92721" w:rsidP="00D91EFE">
      <w:pPr>
        <w:pStyle w:val="Textoindependiente"/>
        <w:spacing w:line="360" w:lineRule="auto"/>
        <w:ind w:left="102" w:right="-12" w:firstLine="618"/>
        <w:jc w:val="both"/>
      </w:pPr>
    </w:p>
    <w:p w14:paraId="4F8B02E7" w14:textId="4DBC91D3" w:rsidR="00EF632D" w:rsidRPr="004F4684" w:rsidRDefault="00EF632D" w:rsidP="00D91EFE">
      <w:pPr>
        <w:pStyle w:val="3Ttulotabla"/>
        <w:spacing w:before="0" w:after="0" w:line="360" w:lineRule="auto"/>
        <w:ind w:right="-12"/>
        <w:jc w:val="center"/>
        <w:rPr>
          <w:rFonts w:ascii="Times New Roman" w:hAnsi="Times New Roman"/>
          <w:sz w:val="24"/>
          <w:szCs w:val="24"/>
        </w:rPr>
      </w:pPr>
      <w:r w:rsidRPr="004F4684">
        <w:rPr>
          <w:rFonts w:ascii="Times New Roman" w:hAnsi="Times New Roman"/>
          <w:b/>
          <w:bCs/>
          <w:sz w:val="24"/>
          <w:szCs w:val="24"/>
        </w:rPr>
        <w:lastRenderedPageBreak/>
        <w:t xml:space="preserve">Figura </w:t>
      </w:r>
      <w:r w:rsidR="004823C0" w:rsidRPr="004F4684">
        <w:rPr>
          <w:rFonts w:ascii="Times New Roman" w:hAnsi="Times New Roman"/>
          <w:b/>
          <w:bCs/>
          <w:sz w:val="24"/>
          <w:szCs w:val="24"/>
        </w:rPr>
        <w:t>4</w:t>
      </w:r>
      <w:r w:rsidRPr="004F4684">
        <w:rPr>
          <w:rFonts w:ascii="Times New Roman" w:hAnsi="Times New Roman"/>
          <w:b/>
          <w:bCs/>
          <w:sz w:val="24"/>
          <w:szCs w:val="24"/>
        </w:rPr>
        <w:t xml:space="preserve">. </w:t>
      </w:r>
      <w:r w:rsidRPr="004F4684">
        <w:rPr>
          <w:rFonts w:ascii="Times New Roman" w:hAnsi="Times New Roman"/>
          <w:sz w:val="24"/>
          <w:szCs w:val="24"/>
        </w:rPr>
        <w:t>Las TIC mejoran la calidad de los procesos de enseñanza</w:t>
      </w:r>
    </w:p>
    <w:p w14:paraId="1ADBA3B3" w14:textId="0BD607E9" w:rsidR="00EF632D" w:rsidRPr="004F4684" w:rsidRDefault="00223D2F" w:rsidP="00D91EFE">
      <w:pPr>
        <w:pStyle w:val="Textoindependiente"/>
        <w:spacing w:line="360" w:lineRule="auto"/>
        <w:ind w:right="-12"/>
        <w:jc w:val="center"/>
        <w:rPr>
          <w:color w:val="C00000"/>
        </w:rPr>
      </w:pPr>
      <w:r>
        <w:rPr>
          <w:noProof/>
          <w:color w:val="C00000"/>
          <w:lang w:val="es-CO" w:eastAsia="es-CO"/>
        </w:rPr>
        <w:drawing>
          <wp:inline distT="0" distB="0" distL="0" distR="0" wp14:anchorId="2CFA3EED" wp14:editId="581171F7">
            <wp:extent cx="4572000" cy="2740429"/>
            <wp:effectExtent l="0" t="0" r="0" b="3175"/>
            <wp:docPr id="1416848196"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48196" name="Imagen 4" descr="Gráfico, Gráfico de barras&#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2740429"/>
                    </a:xfrm>
                    <a:prstGeom prst="rect">
                      <a:avLst/>
                    </a:prstGeom>
                  </pic:spPr>
                </pic:pic>
              </a:graphicData>
            </a:graphic>
          </wp:inline>
        </w:drawing>
      </w:r>
    </w:p>
    <w:p w14:paraId="0BEF34E6" w14:textId="77777777" w:rsidR="001F6FEB" w:rsidRPr="00622600" w:rsidRDefault="001F6FEB" w:rsidP="00D91EFE">
      <w:pPr>
        <w:ind w:right="-12"/>
        <w:jc w:val="center"/>
        <w:rPr>
          <w:sz w:val="24"/>
          <w:szCs w:val="24"/>
        </w:rPr>
      </w:pPr>
      <w:r w:rsidRPr="00622600">
        <w:rPr>
          <w:bCs/>
          <w:sz w:val="24"/>
          <w:szCs w:val="24"/>
        </w:rPr>
        <w:t>Fuente:</w:t>
      </w:r>
      <w:r w:rsidRPr="00622600">
        <w:rPr>
          <w:sz w:val="24"/>
          <w:szCs w:val="24"/>
        </w:rPr>
        <w:t xml:space="preserve"> Elaboración propia</w:t>
      </w:r>
    </w:p>
    <w:p w14:paraId="08B8E82F" w14:textId="77777777" w:rsidR="00CA23C0" w:rsidRPr="004F4684" w:rsidRDefault="00CA23C0" w:rsidP="00D91EFE">
      <w:pPr>
        <w:spacing w:line="360" w:lineRule="auto"/>
        <w:ind w:right="-12"/>
        <w:rPr>
          <w:sz w:val="24"/>
          <w:szCs w:val="24"/>
        </w:rPr>
      </w:pPr>
    </w:p>
    <w:p w14:paraId="0DCEC93C" w14:textId="763CFC4C" w:rsidR="00EF632D" w:rsidRPr="00622600" w:rsidRDefault="00EF632D" w:rsidP="00622600">
      <w:pPr>
        <w:pStyle w:val="Textoindependiente"/>
        <w:spacing w:line="360" w:lineRule="auto"/>
        <w:ind w:right="-12"/>
        <w:jc w:val="center"/>
        <w:rPr>
          <w:b/>
          <w:bCs/>
          <w:sz w:val="28"/>
          <w:szCs w:val="28"/>
        </w:rPr>
      </w:pPr>
      <w:r w:rsidRPr="00622600">
        <w:rPr>
          <w:b/>
          <w:bCs/>
          <w:sz w:val="28"/>
          <w:szCs w:val="28"/>
        </w:rPr>
        <w:t xml:space="preserve">Incorporación </w:t>
      </w:r>
      <w:r w:rsidR="00A15FBD" w:rsidRPr="00622600">
        <w:rPr>
          <w:b/>
          <w:bCs/>
          <w:sz w:val="28"/>
          <w:szCs w:val="28"/>
        </w:rPr>
        <w:t>t</w:t>
      </w:r>
      <w:r w:rsidR="00542AAE" w:rsidRPr="00622600">
        <w:rPr>
          <w:b/>
          <w:bCs/>
          <w:sz w:val="28"/>
          <w:szCs w:val="28"/>
        </w:rPr>
        <w:t>ecnológica</w:t>
      </w:r>
    </w:p>
    <w:p w14:paraId="0206B63F" w14:textId="3C5BD9BE" w:rsidR="00E00251" w:rsidRPr="004F4684" w:rsidRDefault="00E00251" w:rsidP="00D91EFE">
      <w:pPr>
        <w:pStyle w:val="Textoindependiente"/>
        <w:spacing w:line="360" w:lineRule="auto"/>
        <w:ind w:right="-12" w:firstLine="567"/>
        <w:jc w:val="both"/>
      </w:pPr>
      <w:r w:rsidRPr="004F4684">
        <w:t xml:space="preserve">La percepción de los estudiantes acerca de la importancia de la incorporación de las TIC en sus actividades académicas revela una clara inclinación hacia la aceptación y aprovechamiento de estas herramientas. </w:t>
      </w:r>
      <w:r w:rsidR="00A15FBD">
        <w:t>El</w:t>
      </w:r>
      <w:r w:rsidRPr="004F4684">
        <w:t xml:space="preserve"> 44.6</w:t>
      </w:r>
      <w:r w:rsidR="00A15FBD">
        <w:t xml:space="preserve"> </w:t>
      </w:r>
      <w:r w:rsidRPr="004F4684">
        <w:t>% de los participantes expresó acuerdo, mientras que un destacado 47.6</w:t>
      </w:r>
      <w:r w:rsidR="00A15FBD">
        <w:t xml:space="preserve"> </w:t>
      </w:r>
      <w:r w:rsidRPr="004F4684">
        <w:t xml:space="preserve">% indicó estar muy de acuerdo, </w:t>
      </w:r>
      <w:r w:rsidR="00A15FBD">
        <w:t>lo que evidencia</w:t>
      </w:r>
      <w:r w:rsidRPr="004F4684">
        <w:t xml:space="preserve"> la marcada influencia de la pandemia en la adopción de prácticas relacionadas con la tecnología e innovación educativa (</w:t>
      </w:r>
      <w:r w:rsidR="00A15FBD">
        <w:t>f</w:t>
      </w:r>
      <w:r w:rsidRPr="004F4684">
        <w:t xml:space="preserve">igura 5). En sintonía con estos resultados, </w:t>
      </w:r>
      <w:r w:rsidR="00A15FBD">
        <w:t>el</w:t>
      </w:r>
      <w:r w:rsidRPr="004F4684">
        <w:t xml:space="preserve"> 90.4</w:t>
      </w:r>
      <w:r w:rsidR="00A15FBD">
        <w:t xml:space="preserve"> </w:t>
      </w:r>
      <w:r w:rsidRPr="004F4684">
        <w:t>% de los encuestados afirmó que las clases se ven favorecidas a medida que se implementan las TIC (</w:t>
      </w:r>
      <w:r w:rsidR="00A15FBD">
        <w:t>f</w:t>
      </w:r>
      <w:r w:rsidRPr="004F4684">
        <w:t xml:space="preserve">igura 6). Estos datos subrayan la importancia percibida de la tecnología como un recurso vital para mejorar y enriquecer la experiencia académica, </w:t>
      </w:r>
      <w:r w:rsidR="00A15FBD">
        <w:t>lo que resalta</w:t>
      </w:r>
      <w:r w:rsidRPr="004F4684">
        <w:t xml:space="preserve"> su papel clave en el actual entorno educativo.</w:t>
      </w:r>
    </w:p>
    <w:p w14:paraId="0EDC1596" w14:textId="77777777" w:rsidR="00E00251" w:rsidRPr="004F4684" w:rsidRDefault="00E00251" w:rsidP="00D91EFE">
      <w:pPr>
        <w:pStyle w:val="Textoindependiente"/>
        <w:spacing w:line="360" w:lineRule="auto"/>
        <w:ind w:left="102" w:right="-12" w:firstLine="618"/>
        <w:jc w:val="both"/>
      </w:pPr>
    </w:p>
    <w:p w14:paraId="377B8A0E" w14:textId="04A2C8E0" w:rsidR="004823C0" w:rsidRPr="004F4684" w:rsidRDefault="004823C0" w:rsidP="00D91EFE">
      <w:pPr>
        <w:pStyle w:val="3Ttulotabla"/>
        <w:spacing w:before="0" w:after="0" w:line="360" w:lineRule="auto"/>
        <w:ind w:right="-12"/>
        <w:jc w:val="center"/>
        <w:rPr>
          <w:rFonts w:ascii="Times New Roman" w:hAnsi="Times New Roman"/>
          <w:sz w:val="24"/>
          <w:szCs w:val="24"/>
        </w:rPr>
      </w:pPr>
      <w:r w:rsidRPr="004F4684">
        <w:rPr>
          <w:rFonts w:ascii="Times New Roman" w:hAnsi="Times New Roman"/>
          <w:b/>
          <w:bCs/>
          <w:sz w:val="24"/>
          <w:szCs w:val="24"/>
        </w:rPr>
        <w:lastRenderedPageBreak/>
        <w:t>Figura 5.</w:t>
      </w:r>
      <w:r w:rsidR="003D0883" w:rsidRPr="004F4684">
        <w:rPr>
          <w:rFonts w:ascii="Times New Roman" w:hAnsi="Times New Roman"/>
          <w:b/>
          <w:bCs/>
          <w:sz w:val="24"/>
          <w:szCs w:val="24"/>
        </w:rPr>
        <w:t xml:space="preserve"> </w:t>
      </w:r>
      <w:r w:rsidR="003D0883" w:rsidRPr="004F4684">
        <w:rPr>
          <w:rFonts w:ascii="Times New Roman" w:hAnsi="Times New Roman"/>
          <w:sz w:val="24"/>
          <w:szCs w:val="24"/>
        </w:rPr>
        <w:t xml:space="preserve">La incorporación </w:t>
      </w:r>
      <w:r w:rsidR="00AE5330" w:rsidRPr="004F4684">
        <w:rPr>
          <w:rFonts w:ascii="Times New Roman" w:hAnsi="Times New Roman"/>
          <w:sz w:val="24"/>
          <w:szCs w:val="24"/>
        </w:rPr>
        <w:t xml:space="preserve">de </w:t>
      </w:r>
      <w:r w:rsidR="003D0883" w:rsidRPr="004F4684">
        <w:rPr>
          <w:rFonts w:ascii="Times New Roman" w:hAnsi="Times New Roman"/>
          <w:sz w:val="24"/>
          <w:szCs w:val="24"/>
        </w:rPr>
        <w:t xml:space="preserve">las TIC en </w:t>
      </w:r>
      <w:r w:rsidR="00AE5330" w:rsidRPr="004F4684">
        <w:rPr>
          <w:rFonts w:ascii="Times New Roman" w:hAnsi="Times New Roman"/>
          <w:sz w:val="24"/>
          <w:szCs w:val="24"/>
        </w:rPr>
        <w:t>el contexto educativo</w:t>
      </w:r>
      <w:r w:rsidR="00A15FBD">
        <w:rPr>
          <w:rFonts w:ascii="Times New Roman" w:hAnsi="Times New Roman"/>
          <w:sz w:val="24"/>
          <w:szCs w:val="24"/>
        </w:rPr>
        <w:t>: un factor clave</w:t>
      </w:r>
    </w:p>
    <w:p w14:paraId="602F9381" w14:textId="73FB2B17" w:rsidR="004823C0" w:rsidRPr="004F4684" w:rsidRDefault="00223D2F" w:rsidP="00D91EFE">
      <w:pPr>
        <w:pStyle w:val="Textoindependiente"/>
        <w:spacing w:line="360" w:lineRule="auto"/>
        <w:ind w:right="-12"/>
        <w:jc w:val="center"/>
        <w:rPr>
          <w:color w:val="C00000"/>
        </w:rPr>
      </w:pPr>
      <w:r>
        <w:rPr>
          <w:noProof/>
          <w:color w:val="C00000"/>
          <w:lang w:val="es-CO" w:eastAsia="es-CO"/>
        </w:rPr>
        <w:drawing>
          <wp:inline distT="0" distB="0" distL="0" distR="0" wp14:anchorId="05B10BCB" wp14:editId="6D97151A">
            <wp:extent cx="4572000" cy="2740429"/>
            <wp:effectExtent l="0" t="0" r="0" b="3175"/>
            <wp:docPr id="1937682600"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82600" name="Imagen 5" descr="Gráfico, Gráfico de barras&#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2740429"/>
                    </a:xfrm>
                    <a:prstGeom prst="rect">
                      <a:avLst/>
                    </a:prstGeom>
                  </pic:spPr>
                </pic:pic>
              </a:graphicData>
            </a:graphic>
          </wp:inline>
        </w:drawing>
      </w:r>
    </w:p>
    <w:p w14:paraId="72CD00A4" w14:textId="77777777" w:rsidR="001F6FEB" w:rsidRPr="00622600" w:rsidRDefault="001F6FEB" w:rsidP="00D91EFE">
      <w:pPr>
        <w:ind w:right="-12"/>
        <w:jc w:val="center"/>
        <w:rPr>
          <w:sz w:val="24"/>
          <w:szCs w:val="24"/>
        </w:rPr>
      </w:pPr>
      <w:r w:rsidRPr="00622600">
        <w:rPr>
          <w:bCs/>
          <w:sz w:val="24"/>
          <w:szCs w:val="24"/>
        </w:rPr>
        <w:t>Fuente:</w:t>
      </w:r>
      <w:r w:rsidRPr="00622600">
        <w:rPr>
          <w:sz w:val="24"/>
          <w:szCs w:val="24"/>
        </w:rPr>
        <w:t xml:space="preserve"> Elaboración propia</w:t>
      </w:r>
    </w:p>
    <w:p w14:paraId="43F47AAF" w14:textId="77777777" w:rsidR="00051135" w:rsidRPr="004F4684" w:rsidRDefault="00051135" w:rsidP="00D91EFE">
      <w:pPr>
        <w:spacing w:line="360" w:lineRule="auto"/>
        <w:ind w:right="-12"/>
        <w:rPr>
          <w:sz w:val="24"/>
          <w:szCs w:val="24"/>
        </w:rPr>
      </w:pPr>
    </w:p>
    <w:p w14:paraId="7A04AB85" w14:textId="75D1673F" w:rsidR="00051135" w:rsidRPr="004F4684" w:rsidRDefault="00051135" w:rsidP="00D91EFE">
      <w:pPr>
        <w:pStyle w:val="3Ttulotabla"/>
        <w:spacing w:before="0" w:after="0" w:line="360" w:lineRule="auto"/>
        <w:ind w:right="-12"/>
        <w:jc w:val="center"/>
        <w:rPr>
          <w:rFonts w:ascii="Times New Roman" w:hAnsi="Times New Roman"/>
          <w:sz w:val="24"/>
          <w:szCs w:val="24"/>
        </w:rPr>
      </w:pPr>
      <w:r w:rsidRPr="004F4684">
        <w:rPr>
          <w:rFonts w:ascii="Times New Roman" w:hAnsi="Times New Roman"/>
          <w:b/>
          <w:bCs/>
          <w:sz w:val="24"/>
          <w:szCs w:val="24"/>
        </w:rPr>
        <w:t xml:space="preserve">Figura 6. </w:t>
      </w:r>
      <w:r w:rsidRPr="004F4684">
        <w:rPr>
          <w:rFonts w:ascii="Times New Roman" w:hAnsi="Times New Roman"/>
          <w:sz w:val="24"/>
          <w:szCs w:val="24"/>
        </w:rPr>
        <w:t>La incorporación las TIC en las cl</w:t>
      </w:r>
      <w:r w:rsidR="00A15FBD">
        <w:rPr>
          <w:rFonts w:ascii="Times New Roman" w:hAnsi="Times New Roman"/>
          <w:sz w:val="24"/>
          <w:szCs w:val="24"/>
        </w:rPr>
        <w:t>ases como un proceso de mejora</w:t>
      </w:r>
    </w:p>
    <w:p w14:paraId="2B383CF7" w14:textId="381477FC" w:rsidR="00051135" w:rsidRPr="004F4684" w:rsidRDefault="00E76FBF" w:rsidP="00D91EFE">
      <w:pPr>
        <w:pStyle w:val="Textoindependiente"/>
        <w:spacing w:line="360" w:lineRule="auto"/>
        <w:ind w:right="-12"/>
        <w:jc w:val="center"/>
        <w:rPr>
          <w:color w:val="C00000"/>
        </w:rPr>
      </w:pPr>
      <w:r>
        <w:rPr>
          <w:noProof/>
          <w:color w:val="C00000"/>
          <w:lang w:val="es-CO" w:eastAsia="es-CO"/>
        </w:rPr>
        <w:drawing>
          <wp:inline distT="0" distB="0" distL="0" distR="0" wp14:anchorId="044BD6E4" wp14:editId="4E6841AD">
            <wp:extent cx="4572000" cy="2740429"/>
            <wp:effectExtent l="0" t="0" r="0" b="3175"/>
            <wp:docPr id="457891644"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91644" name="Imagen 6" descr="Gráfico, Gráfico de barras&#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0" cy="2740429"/>
                    </a:xfrm>
                    <a:prstGeom prst="rect">
                      <a:avLst/>
                    </a:prstGeom>
                  </pic:spPr>
                </pic:pic>
              </a:graphicData>
            </a:graphic>
          </wp:inline>
        </w:drawing>
      </w:r>
    </w:p>
    <w:p w14:paraId="3D9E9069" w14:textId="77777777" w:rsidR="001F6FEB" w:rsidRPr="00622600" w:rsidRDefault="001F6FEB" w:rsidP="00D91EFE">
      <w:pPr>
        <w:ind w:right="-12"/>
        <w:jc w:val="center"/>
        <w:rPr>
          <w:sz w:val="24"/>
          <w:szCs w:val="24"/>
        </w:rPr>
      </w:pPr>
      <w:r w:rsidRPr="00622600">
        <w:rPr>
          <w:bCs/>
          <w:sz w:val="24"/>
          <w:szCs w:val="24"/>
        </w:rPr>
        <w:t>Fuente:</w:t>
      </w:r>
      <w:r w:rsidRPr="00622600">
        <w:rPr>
          <w:sz w:val="24"/>
          <w:szCs w:val="24"/>
        </w:rPr>
        <w:t xml:space="preserve"> Elaboración propia</w:t>
      </w:r>
    </w:p>
    <w:p w14:paraId="03BC6B8C" w14:textId="77777777" w:rsidR="00CE7182" w:rsidRPr="004F4684" w:rsidRDefault="00CE7182" w:rsidP="00D91EFE">
      <w:pPr>
        <w:pStyle w:val="Textoindependiente"/>
        <w:spacing w:line="360" w:lineRule="auto"/>
        <w:ind w:right="-12"/>
        <w:jc w:val="center"/>
        <w:rPr>
          <w:b/>
          <w:bCs/>
          <w:iCs/>
          <w:sz w:val="28"/>
          <w:szCs w:val="28"/>
        </w:rPr>
      </w:pPr>
    </w:p>
    <w:p w14:paraId="13188599" w14:textId="7AE0E679" w:rsidR="00B12B44" w:rsidRPr="00622600" w:rsidRDefault="007B0952" w:rsidP="00622600">
      <w:pPr>
        <w:pStyle w:val="Textoindependiente"/>
        <w:spacing w:line="360" w:lineRule="auto"/>
        <w:ind w:right="-12"/>
        <w:jc w:val="center"/>
        <w:rPr>
          <w:b/>
          <w:bCs/>
          <w:sz w:val="28"/>
          <w:szCs w:val="28"/>
        </w:rPr>
      </w:pPr>
      <w:r w:rsidRPr="00622600">
        <w:rPr>
          <w:b/>
          <w:bCs/>
          <w:sz w:val="28"/>
          <w:szCs w:val="28"/>
        </w:rPr>
        <w:t>Apoyo</w:t>
      </w:r>
      <w:r w:rsidR="00B12B44" w:rsidRPr="00622600">
        <w:rPr>
          <w:b/>
          <w:bCs/>
          <w:sz w:val="28"/>
          <w:szCs w:val="28"/>
        </w:rPr>
        <w:t xml:space="preserve"> académico</w:t>
      </w:r>
    </w:p>
    <w:p w14:paraId="476992CF" w14:textId="179B34BA" w:rsidR="00EB5A32" w:rsidRPr="004F4684" w:rsidRDefault="00EB5A32" w:rsidP="00D91EFE">
      <w:pPr>
        <w:pStyle w:val="Textoindependiente"/>
        <w:spacing w:line="360" w:lineRule="auto"/>
        <w:ind w:right="-12" w:firstLine="567"/>
        <w:jc w:val="both"/>
      </w:pPr>
      <w:r w:rsidRPr="004F4684">
        <w:t>La buena aceptación de los estudiantes hacia la incorporación de herramientas digitales durante el confinamiento es un aspecto digno de destacar. Un significativo 46.7</w:t>
      </w:r>
      <w:r w:rsidR="00A15FBD">
        <w:t xml:space="preserve"> </w:t>
      </w:r>
      <w:r w:rsidRPr="004F4684">
        <w:t>% expresó su acuerdo, mientras que un considerable 46.4</w:t>
      </w:r>
      <w:r w:rsidR="00A15FBD">
        <w:t xml:space="preserve"> </w:t>
      </w:r>
      <w:r w:rsidRPr="004F4684">
        <w:t xml:space="preserve">% indicó estar muy de acuerdo con que la inclusión de las TIC facilita el desenvolvimiento de las clases. Este respaldo acentúa la percepción positiva de los alumnos hacia el esfuerzo docente por actualizar su práctica diaria mediante el </w:t>
      </w:r>
      <w:r w:rsidRPr="004F4684">
        <w:lastRenderedPageBreak/>
        <w:t>uso de estas herramientas (</w:t>
      </w:r>
      <w:r w:rsidR="00A15FBD">
        <w:t>f</w:t>
      </w:r>
      <w:r w:rsidRPr="004F4684">
        <w:t>igura 7). La innegable contribución de las TIC para mejorar la eficacia del proceso de aprendizaje se refleja en el hecho de que estas tecnologías propician que las clases se vuelvan más interesantes e interactivas, lo que se traduce en una experiencia educativa más enriquecedora para los estudiantes. Este resultado resalta la importancia vital de la tecnología como apoyo académico y su capacidad para mejorar la calidad de la enseñanza en un entorno virtual.</w:t>
      </w:r>
    </w:p>
    <w:p w14:paraId="093CAB2A" w14:textId="77777777" w:rsidR="00EB5A32" w:rsidRPr="004F4684" w:rsidRDefault="00EB5A32" w:rsidP="00D91EFE">
      <w:pPr>
        <w:pStyle w:val="3Ttulotabla"/>
        <w:spacing w:before="0" w:after="0" w:line="360" w:lineRule="auto"/>
        <w:ind w:right="-12"/>
        <w:jc w:val="center"/>
        <w:rPr>
          <w:rFonts w:ascii="Times New Roman" w:hAnsi="Times New Roman"/>
          <w:b/>
          <w:bCs/>
          <w:sz w:val="24"/>
          <w:szCs w:val="24"/>
        </w:rPr>
      </w:pPr>
    </w:p>
    <w:p w14:paraId="1884A99C" w14:textId="695C5357" w:rsidR="00E84BC9" w:rsidRPr="004F4684" w:rsidRDefault="00E84BC9" w:rsidP="00D91EFE">
      <w:pPr>
        <w:pStyle w:val="3Ttulotabla"/>
        <w:spacing w:before="0" w:after="0" w:line="360" w:lineRule="auto"/>
        <w:ind w:right="-12"/>
        <w:jc w:val="center"/>
        <w:rPr>
          <w:rFonts w:ascii="Times New Roman" w:hAnsi="Times New Roman"/>
          <w:sz w:val="24"/>
          <w:szCs w:val="24"/>
        </w:rPr>
      </w:pPr>
      <w:r w:rsidRPr="004F4684">
        <w:rPr>
          <w:rFonts w:ascii="Times New Roman" w:hAnsi="Times New Roman"/>
          <w:b/>
          <w:bCs/>
          <w:sz w:val="24"/>
          <w:szCs w:val="24"/>
        </w:rPr>
        <w:t xml:space="preserve">Figura 7. </w:t>
      </w:r>
      <w:r w:rsidRPr="004F4684">
        <w:rPr>
          <w:rFonts w:ascii="Times New Roman" w:hAnsi="Times New Roman"/>
          <w:sz w:val="24"/>
          <w:szCs w:val="24"/>
        </w:rPr>
        <w:t xml:space="preserve">Las TIC facilitan el </w:t>
      </w:r>
      <w:r w:rsidR="00A15FBD">
        <w:rPr>
          <w:rFonts w:ascii="Times New Roman" w:hAnsi="Times New Roman"/>
          <w:sz w:val="24"/>
          <w:szCs w:val="24"/>
        </w:rPr>
        <w:t>proceso de enseñanza</w:t>
      </w:r>
    </w:p>
    <w:p w14:paraId="1C553E7C" w14:textId="5395DEF6" w:rsidR="00E84BC9" w:rsidRPr="004F4684" w:rsidRDefault="00E76FBF" w:rsidP="00D91EFE">
      <w:pPr>
        <w:pStyle w:val="Textoindependiente"/>
        <w:spacing w:line="360" w:lineRule="auto"/>
        <w:ind w:right="-12"/>
        <w:jc w:val="center"/>
        <w:rPr>
          <w:color w:val="C00000"/>
        </w:rPr>
      </w:pPr>
      <w:r>
        <w:rPr>
          <w:noProof/>
          <w:color w:val="C00000"/>
          <w:lang w:val="es-CO" w:eastAsia="es-CO"/>
        </w:rPr>
        <w:drawing>
          <wp:inline distT="0" distB="0" distL="0" distR="0" wp14:anchorId="37976347" wp14:editId="1207C048">
            <wp:extent cx="4572000" cy="2740429"/>
            <wp:effectExtent l="0" t="0" r="0" b="3175"/>
            <wp:docPr id="404191439" name="Imagen 7"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91439" name="Imagen 7" descr="Gráfico, Gráfico de barras&#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0" cy="2740429"/>
                    </a:xfrm>
                    <a:prstGeom prst="rect">
                      <a:avLst/>
                    </a:prstGeom>
                  </pic:spPr>
                </pic:pic>
              </a:graphicData>
            </a:graphic>
          </wp:inline>
        </w:drawing>
      </w:r>
    </w:p>
    <w:p w14:paraId="0716D74D" w14:textId="77777777" w:rsidR="001F6FEB" w:rsidRPr="00622600" w:rsidRDefault="001F6FEB" w:rsidP="00D91EFE">
      <w:pPr>
        <w:ind w:right="-12"/>
        <w:jc w:val="center"/>
        <w:rPr>
          <w:sz w:val="24"/>
          <w:szCs w:val="24"/>
        </w:rPr>
      </w:pPr>
      <w:r w:rsidRPr="00622600">
        <w:rPr>
          <w:bCs/>
          <w:sz w:val="24"/>
          <w:szCs w:val="24"/>
        </w:rPr>
        <w:t>Fuente:</w:t>
      </w:r>
      <w:r w:rsidRPr="00622600">
        <w:rPr>
          <w:sz w:val="24"/>
          <w:szCs w:val="24"/>
        </w:rPr>
        <w:t xml:space="preserve"> Elaboración propia</w:t>
      </w:r>
    </w:p>
    <w:p w14:paraId="7DA52CC0" w14:textId="77777777" w:rsidR="009206E6" w:rsidRPr="004F4684" w:rsidRDefault="009206E6" w:rsidP="00D91EFE">
      <w:pPr>
        <w:pStyle w:val="Textoindependiente"/>
        <w:spacing w:line="360" w:lineRule="auto"/>
        <w:ind w:right="-12"/>
        <w:jc w:val="center"/>
      </w:pPr>
    </w:p>
    <w:p w14:paraId="11719061" w14:textId="39B9CFC8" w:rsidR="00B12B44" w:rsidRPr="00622600" w:rsidRDefault="00EE7A04" w:rsidP="00622600">
      <w:pPr>
        <w:pStyle w:val="Textoindependiente"/>
        <w:spacing w:line="360" w:lineRule="auto"/>
        <w:ind w:right="-12"/>
        <w:jc w:val="center"/>
        <w:rPr>
          <w:b/>
          <w:bCs/>
          <w:sz w:val="28"/>
          <w:szCs w:val="28"/>
        </w:rPr>
      </w:pPr>
      <w:r w:rsidRPr="00622600">
        <w:rPr>
          <w:b/>
          <w:bCs/>
          <w:sz w:val="28"/>
          <w:szCs w:val="28"/>
        </w:rPr>
        <w:t>H</w:t>
      </w:r>
      <w:r w:rsidR="00B12B44" w:rsidRPr="00622600">
        <w:rPr>
          <w:b/>
          <w:bCs/>
          <w:sz w:val="28"/>
          <w:szCs w:val="28"/>
        </w:rPr>
        <w:t>abilida</w:t>
      </w:r>
      <w:r w:rsidRPr="00622600">
        <w:rPr>
          <w:b/>
          <w:bCs/>
          <w:sz w:val="28"/>
          <w:szCs w:val="28"/>
        </w:rPr>
        <w:t xml:space="preserve">des </w:t>
      </w:r>
      <w:r w:rsidR="00542AAE" w:rsidRPr="00622600">
        <w:rPr>
          <w:b/>
          <w:bCs/>
          <w:sz w:val="28"/>
          <w:szCs w:val="28"/>
        </w:rPr>
        <w:t>digitales</w:t>
      </w:r>
    </w:p>
    <w:p w14:paraId="343E3829" w14:textId="2A0C7B00" w:rsidR="00730EF0" w:rsidRPr="004F4684" w:rsidRDefault="00D75B78" w:rsidP="00D91EFE">
      <w:pPr>
        <w:pStyle w:val="Textoindependiente"/>
        <w:spacing w:line="360" w:lineRule="auto"/>
        <w:ind w:right="-12" w:firstLine="567"/>
        <w:jc w:val="both"/>
      </w:pPr>
      <w:r w:rsidRPr="004F4684">
        <w:t>En cuanto al papel del docente en la consecución del desarrollo de habilidades, capacidades y conocimientos en TIC durante la transición a la modalidad educativa en línea, la opinión de los estudiantes resulta ser muy favorable. Un sólido 48.8</w:t>
      </w:r>
      <w:r w:rsidR="00A15FBD">
        <w:t xml:space="preserve"> </w:t>
      </w:r>
      <w:r w:rsidRPr="004F4684">
        <w:t>% de los participantes indicó estar de acuerdo, mientras que un notable 42.2</w:t>
      </w:r>
      <w:r w:rsidR="00A15FBD">
        <w:t xml:space="preserve"> </w:t>
      </w:r>
      <w:r w:rsidRPr="004F4684">
        <w:t>% expresó estar muy de acuerdo en que estas herramientas son fundamentales en el proceso de formación del universitario, contribuyendo así a la adquisición de aprendizajes significativos (</w:t>
      </w:r>
      <w:r w:rsidR="00A15FBD">
        <w:t>f</w:t>
      </w:r>
      <w:r w:rsidRPr="004F4684">
        <w:t>igura 8). Este respaldo destaca la percepción positiva de los estudiantes hacia el papel esencial del docente como facilitador de la adquisición de competencias digitales. El reconocimiento de las TIC como elementos clave en el proceso formativo subraya la importancia de la integración efectiva de estas tecnologías por parte de los educadores para potenciar el desarrollo académico y profesional de los estudiantes en un entorno educativo digital.</w:t>
      </w:r>
    </w:p>
    <w:p w14:paraId="7BBC4115" w14:textId="77777777" w:rsidR="00730EF0" w:rsidRPr="004F4684" w:rsidRDefault="00730EF0" w:rsidP="00D91EFE">
      <w:pPr>
        <w:pStyle w:val="Textoindependiente"/>
        <w:spacing w:line="360" w:lineRule="auto"/>
        <w:ind w:left="102" w:right="-12" w:firstLine="618"/>
        <w:jc w:val="both"/>
      </w:pPr>
    </w:p>
    <w:p w14:paraId="64C55C7C" w14:textId="52D81DBF" w:rsidR="001A1AA4" w:rsidRPr="004F4684" w:rsidRDefault="001A1AA4" w:rsidP="00D91EFE">
      <w:pPr>
        <w:pStyle w:val="3Ttulotabla"/>
        <w:spacing w:before="0" w:after="0" w:line="360" w:lineRule="auto"/>
        <w:ind w:right="-12"/>
        <w:jc w:val="center"/>
        <w:rPr>
          <w:rFonts w:ascii="Times New Roman" w:hAnsi="Times New Roman"/>
          <w:sz w:val="24"/>
          <w:szCs w:val="24"/>
        </w:rPr>
      </w:pPr>
      <w:r w:rsidRPr="004F4684">
        <w:rPr>
          <w:rFonts w:ascii="Times New Roman" w:hAnsi="Times New Roman"/>
          <w:b/>
          <w:bCs/>
          <w:sz w:val="24"/>
          <w:szCs w:val="24"/>
        </w:rPr>
        <w:lastRenderedPageBreak/>
        <w:t xml:space="preserve">Figura 8. </w:t>
      </w:r>
      <w:r w:rsidRPr="004F4684">
        <w:rPr>
          <w:rFonts w:ascii="Times New Roman" w:hAnsi="Times New Roman"/>
          <w:sz w:val="24"/>
          <w:szCs w:val="24"/>
        </w:rPr>
        <w:t>Las TIC contribuyen a desarrollar habilidades y cap</w:t>
      </w:r>
      <w:r w:rsidR="00A15FBD">
        <w:rPr>
          <w:rFonts w:ascii="Times New Roman" w:hAnsi="Times New Roman"/>
          <w:sz w:val="24"/>
          <w:szCs w:val="24"/>
        </w:rPr>
        <w:t>acidades</w:t>
      </w:r>
    </w:p>
    <w:p w14:paraId="1CCE2E97" w14:textId="78E8FE12" w:rsidR="001A1AA4" w:rsidRPr="004F4684" w:rsidRDefault="00E76FBF" w:rsidP="00D91EFE">
      <w:pPr>
        <w:pStyle w:val="Textoindependiente"/>
        <w:spacing w:line="360" w:lineRule="auto"/>
        <w:ind w:right="-12"/>
        <w:jc w:val="center"/>
        <w:rPr>
          <w:color w:val="C00000"/>
        </w:rPr>
      </w:pPr>
      <w:r>
        <w:rPr>
          <w:noProof/>
          <w:color w:val="C00000"/>
          <w:lang w:val="es-CO" w:eastAsia="es-CO"/>
        </w:rPr>
        <w:drawing>
          <wp:inline distT="0" distB="0" distL="0" distR="0" wp14:anchorId="1D67E5B6" wp14:editId="3331A15A">
            <wp:extent cx="4572000" cy="2740429"/>
            <wp:effectExtent l="0" t="0" r="0" b="3175"/>
            <wp:docPr id="1195087593" name="Imagen 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87593" name="Imagen 8" descr="Gráfico, Gráfico de barras&#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0" cy="2740429"/>
                    </a:xfrm>
                    <a:prstGeom prst="rect">
                      <a:avLst/>
                    </a:prstGeom>
                  </pic:spPr>
                </pic:pic>
              </a:graphicData>
            </a:graphic>
          </wp:inline>
        </w:drawing>
      </w:r>
    </w:p>
    <w:p w14:paraId="124E5F92" w14:textId="77777777" w:rsidR="001F6FEB" w:rsidRPr="00622600" w:rsidRDefault="001F6FEB" w:rsidP="00D91EFE">
      <w:pPr>
        <w:ind w:right="-12"/>
        <w:jc w:val="center"/>
        <w:rPr>
          <w:sz w:val="24"/>
          <w:szCs w:val="24"/>
        </w:rPr>
      </w:pPr>
      <w:r w:rsidRPr="00622600">
        <w:rPr>
          <w:bCs/>
          <w:sz w:val="24"/>
          <w:szCs w:val="24"/>
        </w:rPr>
        <w:t>Fuente:</w:t>
      </w:r>
      <w:r w:rsidRPr="00622600">
        <w:rPr>
          <w:sz w:val="24"/>
          <w:szCs w:val="24"/>
        </w:rPr>
        <w:t xml:space="preserve"> Elaboración propia</w:t>
      </w:r>
    </w:p>
    <w:p w14:paraId="18998176" w14:textId="77777777" w:rsidR="009206E6" w:rsidRPr="004F4684" w:rsidRDefault="009206E6" w:rsidP="00D91EFE">
      <w:pPr>
        <w:spacing w:line="360" w:lineRule="auto"/>
        <w:ind w:right="-12"/>
        <w:rPr>
          <w:sz w:val="24"/>
          <w:szCs w:val="24"/>
        </w:rPr>
      </w:pPr>
    </w:p>
    <w:p w14:paraId="6C65B678" w14:textId="44709E33" w:rsidR="00B12B44" w:rsidRPr="00622600" w:rsidRDefault="001A1AA4" w:rsidP="00622600">
      <w:pPr>
        <w:pStyle w:val="Textoindependiente"/>
        <w:spacing w:line="360" w:lineRule="auto"/>
        <w:ind w:right="-12"/>
        <w:jc w:val="center"/>
        <w:rPr>
          <w:b/>
          <w:bCs/>
          <w:sz w:val="28"/>
          <w:szCs w:val="28"/>
        </w:rPr>
      </w:pPr>
      <w:r w:rsidRPr="00622600">
        <w:rPr>
          <w:b/>
          <w:bCs/>
          <w:sz w:val="28"/>
          <w:szCs w:val="28"/>
        </w:rPr>
        <w:t>Flexibilidad académica</w:t>
      </w:r>
    </w:p>
    <w:p w14:paraId="58286EDF" w14:textId="1731E0BB" w:rsidR="00AF6391" w:rsidRPr="004F4684" w:rsidRDefault="00AF6391" w:rsidP="00D91EFE">
      <w:pPr>
        <w:pStyle w:val="Textoindependiente"/>
        <w:spacing w:line="360" w:lineRule="auto"/>
        <w:ind w:right="-12" w:firstLine="567"/>
        <w:jc w:val="both"/>
      </w:pPr>
      <w:r w:rsidRPr="004F4684">
        <w:t>Durante la pandemia, una característica esencial en las actividades académicas fue la flexibilidad proporcionada por las TIC en términos de espacio y tiempo. Estas herramientas, disponibles y de fácil acceso, permitieron a los estudiantes interactuar desde la comodidad de sus hogares, lugares de trabajo e incluso en espacios públicos. Este enfoque flexible recibió una aprobación significativa, ya que un sólido 94.3</w:t>
      </w:r>
      <w:r w:rsidR="00A15FBD">
        <w:t xml:space="preserve"> </w:t>
      </w:r>
      <w:r w:rsidRPr="004F4684">
        <w:t>% de los participantes expresó una actitud positiva hacia esta adaptabilidad (</w:t>
      </w:r>
      <w:r w:rsidR="00A15FBD">
        <w:t>f</w:t>
      </w:r>
      <w:r w:rsidRPr="004F4684">
        <w:t xml:space="preserve">igura 9). Este alto nivel de aceptación subraya la importancia de la flexibilidad académica brindada por las TIC durante el periodo de enseñanza a distancia, </w:t>
      </w:r>
      <w:r w:rsidR="00A15FBD">
        <w:t>lo que refleja</w:t>
      </w:r>
      <w:r w:rsidRPr="004F4684">
        <w:t xml:space="preserve"> su capacidad para ajustarse a diversos contextos y necesidades individuales. La flexibilidad en la entrega de contenido y la participación en actividades educativas a través de plataformas digitales emergió como un factor clave para el éxito de la educación en línea durante la crisis sanitaria.</w:t>
      </w:r>
    </w:p>
    <w:p w14:paraId="22323214" w14:textId="77777777" w:rsidR="00AF6391" w:rsidRPr="004F4684" w:rsidRDefault="00AF6391" w:rsidP="00D91EFE">
      <w:pPr>
        <w:pStyle w:val="Textoindependiente"/>
        <w:spacing w:line="360" w:lineRule="auto"/>
        <w:ind w:right="-12" w:firstLine="567"/>
        <w:jc w:val="both"/>
      </w:pPr>
    </w:p>
    <w:p w14:paraId="05C928A5" w14:textId="2C6DE840" w:rsidR="00FC12E8" w:rsidRPr="004F4684" w:rsidRDefault="00FC12E8" w:rsidP="00D91EFE">
      <w:pPr>
        <w:pStyle w:val="3Ttulotabla"/>
        <w:spacing w:before="0" w:after="0" w:line="360" w:lineRule="auto"/>
        <w:ind w:right="-12"/>
        <w:jc w:val="center"/>
        <w:rPr>
          <w:rFonts w:ascii="Times New Roman" w:hAnsi="Times New Roman"/>
          <w:sz w:val="24"/>
          <w:szCs w:val="24"/>
        </w:rPr>
      </w:pPr>
      <w:r w:rsidRPr="004F4684">
        <w:rPr>
          <w:rFonts w:ascii="Times New Roman" w:hAnsi="Times New Roman"/>
          <w:b/>
          <w:bCs/>
          <w:sz w:val="24"/>
          <w:szCs w:val="24"/>
        </w:rPr>
        <w:lastRenderedPageBreak/>
        <w:t xml:space="preserve">Figura 9. </w:t>
      </w:r>
      <w:r w:rsidRPr="004F4684">
        <w:rPr>
          <w:rFonts w:ascii="Times New Roman" w:hAnsi="Times New Roman"/>
          <w:sz w:val="24"/>
          <w:szCs w:val="24"/>
        </w:rPr>
        <w:t>Las TIC ofrecen ad</w:t>
      </w:r>
      <w:r w:rsidR="00A15FBD">
        <w:rPr>
          <w:rFonts w:ascii="Times New Roman" w:hAnsi="Times New Roman"/>
          <w:sz w:val="24"/>
          <w:szCs w:val="24"/>
        </w:rPr>
        <w:t>aptabilidad en espacio y tiempo</w:t>
      </w:r>
    </w:p>
    <w:p w14:paraId="6C55F04A" w14:textId="4CB85B49" w:rsidR="00FC12E8" w:rsidRPr="004F4684" w:rsidRDefault="00E76FBF" w:rsidP="00D91EFE">
      <w:pPr>
        <w:pStyle w:val="Textoindependiente"/>
        <w:spacing w:line="360" w:lineRule="auto"/>
        <w:ind w:right="-12"/>
        <w:jc w:val="center"/>
        <w:rPr>
          <w:color w:val="C00000"/>
        </w:rPr>
      </w:pPr>
      <w:r>
        <w:rPr>
          <w:noProof/>
          <w:color w:val="C00000"/>
          <w:lang w:val="es-CO" w:eastAsia="es-CO"/>
        </w:rPr>
        <w:drawing>
          <wp:inline distT="0" distB="0" distL="0" distR="0" wp14:anchorId="5792EC17" wp14:editId="5A52BD36">
            <wp:extent cx="4572000" cy="2740429"/>
            <wp:effectExtent l="0" t="0" r="0" b="3175"/>
            <wp:docPr id="1401020817"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20817" name="Imagen 9" descr="Gráfico, Gráfico de barras&#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72000" cy="2740429"/>
                    </a:xfrm>
                    <a:prstGeom prst="rect">
                      <a:avLst/>
                    </a:prstGeom>
                  </pic:spPr>
                </pic:pic>
              </a:graphicData>
            </a:graphic>
          </wp:inline>
        </w:drawing>
      </w:r>
    </w:p>
    <w:p w14:paraId="63B51929" w14:textId="77777777" w:rsidR="001F6FEB" w:rsidRPr="00622600" w:rsidRDefault="001F6FEB" w:rsidP="00D91EFE">
      <w:pPr>
        <w:ind w:right="-12"/>
        <w:jc w:val="center"/>
        <w:rPr>
          <w:sz w:val="24"/>
          <w:szCs w:val="24"/>
        </w:rPr>
      </w:pPr>
      <w:r w:rsidRPr="00622600">
        <w:rPr>
          <w:bCs/>
          <w:sz w:val="24"/>
          <w:szCs w:val="24"/>
        </w:rPr>
        <w:t>Fuente:</w:t>
      </w:r>
      <w:r w:rsidRPr="00622600">
        <w:rPr>
          <w:sz w:val="24"/>
          <w:szCs w:val="24"/>
        </w:rPr>
        <w:t xml:space="preserve"> Elaboración propia</w:t>
      </w:r>
    </w:p>
    <w:p w14:paraId="5DE3EC62" w14:textId="77777777" w:rsidR="00F752DB" w:rsidRDefault="00F752DB" w:rsidP="00D91EFE">
      <w:pPr>
        <w:ind w:right="-12"/>
      </w:pPr>
    </w:p>
    <w:p w14:paraId="055D5CC4" w14:textId="77777777" w:rsidR="009206E6" w:rsidRPr="004F4684" w:rsidRDefault="009206E6" w:rsidP="00D91EFE">
      <w:pPr>
        <w:ind w:right="-12"/>
      </w:pPr>
    </w:p>
    <w:p w14:paraId="1CBBC23E" w14:textId="51C20E8D" w:rsidR="00DC35D9" w:rsidRPr="004F4684" w:rsidRDefault="00F530C2" w:rsidP="00D91EFE">
      <w:pPr>
        <w:pStyle w:val="Textoindependiente"/>
        <w:spacing w:line="360" w:lineRule="auto"/>
        <w:ind w:right="-12"/>
        <w:jc w:val="center"/>
        <w:rPr>
          <w:b/>
          <w:bCs/>
          <w:sz w:val="32"/>
          <w:szCs w:val="32"/>
        </w:rPr>
      </w:pPr>
      <w:r w:rsidRPr="004F4684">
        <w:rPr>
          <w:b/>
          <w:bCs/>
          <w:sz w:val="32"/>
          <w:szCs w:val="32"/>
        </w:rPr>
        <w:t>D</w:t>
      </w:r>
      <w:r w:rsidR="004A6A64" w:rsidRPr="004F4684">
        <w:rPr>
          <w:b/>
          <w:bCs/>
          <w:sz w:val="32"/>
          <w:szCs w:val="32"/>
        </w:rPr>
        <w:t>iscusión</w:t>
      </w:r>
    </w:p>
    <w:p w14:paraId="1E81B738" w14:textId="6F416CEE" w:rsidR="00AD021D" w:rsidRPr="004F4684" w:rsidRDefault="00AD021D" w:rsidP="00D91EFE">
      <w:pPr>
        <w:pStyle w:val="Textoindependiente"/>
        <w:spacing w:line="360" w:lineRule="auto"/>
        <w:ind w:right="-12" w:firstLine="567"/>
        <w:jc w:val="both"/>
      </w:pPr>
      <w:r w:rsidRPr="004F4684">
        <w:t xml:space="preserve">Uno de los hallazgos más destacados radica en la percepción positiva de los alumnos sobre cómo las tecnologías </w:t>
      </w:r>
      <w:r w:rsidRPr="00A36DD8">
        <w:t xml:space="preserve">impulsaron su participación académica, un resultado que guarda similitud con la investigación realizada por </w:t>
      </w:r>
      <w:proofErr w:type="spellStart"/>
      <w:r w:rsidRPr="00A36DD8">
        <w:t>Guàrdia</w:t>
      </w:r>
      <w:proofErr w:type="spellEnd"/>
      <w:r w:rsidRPr="00A36DD8">
        <w:t xml:space="preserve"> </w:t>
      </w:r>
      <w:r w:rsidRPr="00A36DD8">
        <w:rPr>
          <w:i/>
        </w:rPr>
        <w:t>et al</w:t>
      </w:r>
      <w:r w:rsidRPr="00A36DD8">
        <w:t>.</w:t>
      </w:r>
      <w:r w:rsidRPr="004F4684">
        <w:t xml:space="preserve"> (2017). En ambos estudios, se evidencia que las TIC desempeñan un papel crucial al fomentar la participación, el compromiso y la autorregulación entre los estudiantes. Este alineamiento de resultados refuerza la idea de que la integración efectiva de las TIC en entornos educativos puede tener un impacto positivo y consistente en el involucramiento activo de los estudiantes en sus procesos de aprendizaje. La relación entre la adopción de tecnologías y la mejora en la participación académica subraya la importancia de considerar estrategias tecnológicas efectivas para optimizar la experiencia educativa.</w:t>
      </w:r>
    </w:p>
    <w:p w14:paraId="20CF18AE" w14:textId="6D7B74B2" w:rsidR="00AD021D" w:rsidRPr="004F4684" w:rsidRDefault="00AD021D" w:rsidP="00D91EFE">
      <w:pPr>
        <w:pStyle w:val="Textoindependiente"/>
        <w:spacing w:line="360" w:lineRule="auto"/>
        <w:ind w:right="-12" w:firstLine="567"/>
        <w:jc w:val="both"/>
      </w:pPr>
      <w:r w:rsidRPr="004F4684">
        <w:t xml:space="preserve">En cuanto al </w:t>
      </w:r>
      <w:r w:rsidRPr="00A36DD8">
        <w:t xml:space="preserve">impacto del uso de herramientas tecnológicas en el mejoramiento de la calidad de los procesos de enseñanza-aprendizaje, la perspectiva de los estudiantes se alinea con los hallazgos de </w:t>
      </w:r>
      <w:proofErr w:type="spellStart"/>
      <w:r w:rsidRPr="00A36DD8">
        <w:t>Naffi</w:t>
      </w:r>
      <w:proofErr w:type="spellEnd"/>
      <w:r w:rsidRPr="00A36DD8">
        <w:t xml:space="preserve"> (2020). En su investigación, </w:t>
      </w:r>
      <w:proofErr w:type="spellStart"/>
      <w:r w:rsidRPr="00A36DD8">
        <w:t>Naffi</w:t>
      </w:r>
      <w:proofErr w:type="spellEnd"/>
      <w:r w:rsidRPr="00A36DD8">
        <w:t xml:space="preserve"> destaca la importancia de construir objetivos, competencias y capacidades en entornos educativos que se caractericen por su calidad. Este paralelismo entre los resultados refuerza la noción</w:t>
      </w:r>
      <w:r w:rsidRPr="004F4684">
        <w:t xml:space="preserve"> de que la integración efectiva de herramientas tecnológicas no solo se traduce en una modernización de los métodos de enseñanza, sino que también contribuye significativamente a la mejora sustancial de la calidad educativa. La atención a la calidad en estos contextos digitales se convierte, según la percepción de los estudiantes, en un factor clave para el logro de los objetivos académicos y el desarrollo </w:t>
      </w:r>
      <w:r w:rsidRPr="004F4684">
        <w:lastRenderedPageBreak/>
        <w:t>de competencias relevantes.</w:t>
      </w:r>
    </w:p>
    <w:p w14:paraId="66223D38" w14:textId="70E1D13A" w:rsidR="00AD021D" w:rsidRPr="00A36DD8" w:rsidRDefault="00AD021D" w:rsidP="00D91EFE">
      <w:pPr>
        <w:pStyle w:val="Textoindependiente"/>
        <w:spacing w:line="360" w:lineRule="auto"/>
        <w:ind w:right="-12" w:firstLine="567"/>
        <w:jc w:val="both"/>
      </w:pPr>
      <w:r w:rsidRPr="004F4684">
        <w:t xml:space="preserve">En lo que respecta a la dimensión de la incorporación tecnológica, se observó una marcada aceptación </w:t>
      </w:r>
      <w:r w:rsidRPr="00A36DD8">
        <w:t>por parte de los estudiantes, evidenciada por la necesidad imperativa de integrar las TIC en los procesos educativos durante el confinamiento pasado. Este fenómeno encuentra respaldo en el estudio de Parra (2012), quien señala que uno de los ámbitos más influidos por la tecnología es la escuela. Específicamente, en el contexto de la educación superior, se dio una sinergia notable entre los estudiantes y las tecnologías. Este fenómeno se atribuye en gran medida a la existencia previa de plataformas educativas y a la edad propicia de los universitarios, que se encuentra en el rango ideal para involucrarse y practicar con las herramientas tecnológicas necesarias para su futuro desarrollo profesional. Este vínculo preexistente con las plataformas educativas y la familiaridad con las TIC contribuyeron a una adaptación más fluida y exitosa durante el periodo de enseñanza a distancia.</w:t>
      </w:r>
    </w:p>
    <w:p w14:paraId="4DCB1D48" w14:textId="1EA74B7A" w:rsidR="00843D96" w:rsidRPr="004F4684" w:rsidRDefault="00843D96" w:rsidP="00D91EFE">
      <w:pPr>
        <w:pStyle w:val="Textoindependiente"/>
        <w:spacing w:line="360" w:lineRule="auto"/>
        <w:ind w:right="-12" w:firstLine="567"/>
        <w:jc w:val="both"/>
      </w:pPr>
      <w:r w:rsidRPr="00A36DD8">
        <w:t>En lo que respecta al papel de las TIC como apoyo académico, los estudiantes universitarios expresan una perspectiva positiva hacia estas prácticas. En su percepción, reconocen que</w:t>
      </w:r>
      <w:r w:rsidR="00A36DD8">
        <w:t>,</w:t>
      </w:r>
      <w:r w:rsidRPr="00A36DD8">
        <w:t xml:space="preserve"> si bien la tecnología en sí misma no garantiza el aprendizaje, su eficacia se potencia cuando va de la mano de un profesor capacitado y actualizado. Este planteamiento coincide con las ideas expuestas por Moreno-Guerrero </w:t>
      </w:r>
      <w:r w:rsidRPr="00A36DD8">
        <w:rPr>
          <w:i/>
        </w:rPr>
        <w:t>et al</w:t>
      </w:r>
      <w:r w:rsidRPr="00A36DD8">
        <w:t>. (2020), quienes subrayan la importancia de la orientación docente para desarrollar material didáctico innovador haciendo uso de diversas plataformas digitales. Además, el componente de habilidades</w:t>
      </w:r>
      <w:r w:rsidRPr="004F4684">
        <w:t xml:space="preserve"> digitales adquiere una gran relevancia para los estudiantes, ya que lo consideran indispensable en el proceso formativo universitario. Este reconocimiento destaca la importancia de cultivar competencias digitales entre los estudiantes para aprovechar al máximo el potencial educativo de las TIC.</w:t>
      </w:r>
    </w:p>
    <w:p w14:paraId="6ED30F86" w14:textId="3904E72D" w:rsidR="002928C4" w:rsidRDefault="002928C4" w:rsidP="00D91EFE">
      <w:pPr>
        <w:pStyle w:val="Textoindependiente"/>
        <w:spacing w:line="360" w:lineRule="auto"/>
        <w:ind w:right="-12" w:firstLine="567"/>
        <w:jc w:val="both"/>
      </w:pPr>
      <w:r w:rsidRPr="004F4684">
        <w:t>El planteamiento de García Aretio (2021) sobre la importancia de la flexibilidad adecuada resalta la necesidad de adaptabilidad en términos de espacio y tiempo en la educación. Este enfoque flexible se vuelve crucial en la etapa postpandemia, donde podrían surgir escenarios que dificulten la presencia física o incluso episodios esporádicos de aislamiento. La propuesta es incorporar métodos innovadores que combinen tanto modalidades tradicionales como la enseñanza a distancia. Esta estrategia busca ofrecer soluciones a las diversas nece</w:t>
      </w:r>
      <w:r w:rsidR="00A15FBD">
        <w:t>sidades de formación académica y permite</w:t>
      </w:r>
      <w:r w:rsidR="00A36DD8">
        <w:t xml:space="preserve"> </w:t>
      </w:r>
      <w:r w:rsidRPr="004F4684">
        <w:t>a las instituciones educativas afrontar los desafíos cambiantes y proporcionar un entorno de aprendizaje más adaptable y accesible.</w:t>
      </w:r>
    </w:p>
    <w:p w14:paraId="61AE9D24" w14:textId="77777777" w:rsidR="00A15FBD" w:rsidRDefault="00A15FBD" w:rsidP="00D91EFE">
      <w:pPr>
        <w:pStyle w:val="Textoindependiente"/>
        <w:spacing w:line="360" w:lineRule="auto"/>
        <w:ind w:right="-12" w:firstLine="567"/>
        <w:jc w:val="both"/>
      </w:pPr>
    </w:p>
    <w:p w14:paraId="29232FCD" w14:textId="77777777" w:rsidR="00720A10" w:rsidRDefault="00720A10" w:rsidP="00D91EFE">
      <w:pPr>
        <w:pStyle w:val="Textoindependiente"/>
        <w:spacing w:line="360" w:lineRule="auto"/>
        <w:ind w:right="-12" w:firstLine="567"/>
        <w:jc w:val="both"/>
      </w:pPr>
    </w:p>
    <w:p w14:paraId="45D5434D" w14:textId="77777777" w:rsidR="00720A10" w:rsidRPr="004F4684" w:rsidRDefault="00720A10" w:rsidP="00D91EFE">
      <w:pPr>
        <w:pStyle w:val="Textoindependiente"/>
        <w:spacing w:line="360" w:lineRule="auto"/>
        <w:ind w:right="-12" w:firstLine="567"/>
        <w:jc w:val="both"/>
      </w:pPr>
    </w:p>
    <w:p w14:paraId="1852EF5F" w14:textId="47379235" w:rsidR="00132A99" w:rsidRPr="004F4684" w:rsidRDefault="004A6A64" w:rsidP="00D91EFE">
      <w:pPr>
        <w:pStyle w:val="Textoindependiente"/>
        <w:spacing w:line="360" w:lineRule="auto"/>
        <w:ind w:right="-12"/>
        <w:jc w:val="center"/>
        <w:rPr>
          <w:b/>
          <w:bCs/>
          <w:sz w:val="32"/>
          <w:szCs w:val="32"/>
        </w:rPr>
      </w:pPr>
      <w:r w:rsidRPr="004F4684">
        <w:rPr>
          <w:b/>
          <w:bCs/>
          <w:sz w:val="32"/>
          <w:szCs w:val="32"/>
        </w:rPr>
        <w:lastRenderedPageBreak/>
        <w:t>Conclusiones</w:t>
      </w:r>
    </w:p>
    <w:p w14:paraId="62844D90" w14:textId="6CC9CBF3" w:rsidR="001B78AE" w:rsidRPr="004F4684" w:rsidRDefault="001B78AE" w:rsidP="00D91EFE">
      <w:pPr>
        <w:pStyle w:val="Textoindependiente"/>
        <w:spacing w:line="360" w:lineRule="auto"/>
        <w:ind w:right="-12" w:firstLine="567"/>
        <w:jc w:val="both"/>
      </w:pPr>
      <w:r w:rsidRPr="004F4684">
        <w:t xml:space="preserve">A manera de conclusión se mencionan algunos de los hallazgos más relevantes de este estudio, en donde se identificaron los principales retos y oportunidades que surgieron con la adopción de herramientas digitales en un modelo educativo en línea, así como sus repercusiones en la educación superior. </w:t>
      </w:r>
    </w:p>
    <w:p w14:paraId="56725BD8" w14:textId="7F5F9FFA" w:rsidR="00917849" w:rsidRPr="004F4684" w:rsidRDefault="001B78AE" w:rsidP="00D91EFE">
      <w:pPr>
        <w:pStyle w:val="Textoindependiente"/>
        <w:spacing w:line="360" w:lineRule="auto"/>
        <w:ind w:right="-12" w:firstLine="567"/>
        <w:jc w:val="both"/>
      </w:pPr>
      <w:r w:rsidRPr="004F4684">
        <w:t>Se puede señalar</w:t>
      </w:r>
      <w:r w:rsidR="00A15FBD">
        <w:t>,</w:t>
      </w:r>
      <w:r w:rsidRPr="004F4684">
        <w:t xml:space="preserve"> como primer punto, que l</w:t>
      </w:r>
      <w:r w:rsidR="00917849" w:rsidRPr="004F4684">
        <w:t>a transición a la modalidad virtual derivada de la pandemia ha tenido un impacto significativo en la participación académica y la calidad educativa. La disparidad en las condiciones de equipamiento y conocimientos en las distintas plataf</w:t>
      </w:r>
      <w:r w:rsidR="00A15FBD">
        <w:t>ormas, así como la conectividad</w:t>
      </w:r>
      <w:r w:rsidR="00917849" w:rsidRPr="004F4684">
        <w:t xml:space="preserve"> han acentuado el desarrollo del proceso de enseñanza-aprendizaje</w:t>
      </w:r>
      <w:r w:rsidR="00A15FBD">
        <w:t>.</w:t>
      </w:r>
    </w:p>
    <w:p w14:paraId="6971A2A2" w14:textId="12893FF2" w:rsidR="00917849" w:rsidRPr="004F4684" w:rsidRDefault="001B78AE" w:rsidP="00D91EFE">
      <w:pPr>
        <w:pStyle w:val="Textoindependiente"/>
        <w:spacing w:line="360" w:lineRule="auto"/>
        <w:ind w:right="-12" w:firstLine="567"/>
        <w:jc w:val="both"/>
      </w:pPr>
      <w:r w:rsidRPr="004F4684">
        <w:t xml:space="preserve">También es importante </w:t>
      </w:r>
      <w:r w:rsidR="00D05693" w:rsidRPr="004F4684">
        <w:t>destacar que l</w:t>
      </w:r>
      <w:r w:rsidR="00917849" w:rsidRPr="004F4684">
        <w:t xml:space="preserve">os estudiantes universitarios han experimentado desafíos en términos de flexibilidad académica y apoyo debido a las condiciones impuestas por la pandemia. La necesidad de adaptarse a nuevas herramientas y plataformas </w:t>
      </w:r>
      <w:r w:rsidR="00D05693" w:rsidRPr="004F4684">
        <w:t xml:space="preserve">requirió </w:t>
      </w:r>
      <w:r w:rsidR="00917849" w:rsidRPr="004F4684">
        <w:t>un esfuerzo adicional por parte de los estudiantes y el personal educativo</w:t>
      </w:r>
      <w:r w:rsidR="00A15FBD">
        <w:t>.</w:t>
      </w:r>
    </w:p>
    <w:p w14:paraId="2E2F7666" w14:textId="658EA27E" w:rsidR="00917849" w:rsidRPr="004F4684" w:rsidRDefault="00917849" w:rsidP="00D91EFE">
      <w:pPr>
        <w:pStyle w:val="Textoindependiente"/>
        <w:spacing w:line="360" w:lineRule="auto"/>
        <w:ind w:right="-12" w:firstLine="567"/>
        <w:jc w:val="both"/>
      </w:pPr>
      <w:r w:rsidRPr="004F4684">
        <w:t>La imposibilidad de acceder a las tecnologías ha generado repercusiones sociales y económicas, especialmente en grupos vulnerables. La crisis económica derivada de la pandemia ha llevado a la pérdida irreparable del aprendizaje para algunos estudiantes, lo que podría resultar en el abandono de las aulas o la interrupción de los estudios</w:t>
      </w:r>
      <w:r w:rsidR="00D05693" w:rsidRPr="004F4684">
        <w:t>, como han señalado ya diversos estudios.</w:t>
      </w:r>
    </w:p>
    <w:p w14:paraId="6555727F" w14:textId="43CFBA4D" w:rsidR="00917849" w:rsidRPr="004F4684" w:rsidRDefault="00D82134" w:rsidP="00D91EFE">
      <w:pPr>
        <w:pStyle w:val="Textoindependiente"/>
        <w:spacing w:line="360" w:lineRule="auto"/>
        <w:ind w:right="-12" w:firstLine="567"/>
        <w:jc w:val="both"/>
      </w:pPr>
      <w:r>
        <w:t>Además, l</w:t>
      </w:r>
      <w:r w:rsidR="00917849" w:rsidRPr="004F4684">
        <w:t xml:space="preserve">a pandemia ha </w:t>
      </w:r>
      <w:r>
        <w:t>exigido</w:t>
      </w:r>
      <w:r w:rsidR="00917849" w:rsidRPr="004F4684">
        <w:t xml:space="preserve"> capacitación y adaptación por parte de los profesores en el uso de herramientas tecnológicas para la enseñanza en línea. La rápida transición a la educación virtual ha requerido que los docentes desarrollen habilidades tecnológicas para interactuar de manera efectiva con los estudiantes</w:t>
      </w:r>
    </w:p>
    <w:p w14:paraId="1D76C61C" w14:textId="021014FF" w:rsidR="00917849" w:rsidRPr="004F4684" w:rsidRDefault="00917849" w:rsidP="00D91EFE">
      <w:pPr>
        <w:pStyle w:val="Textoindependiente"/>
        <w:spacing w:line="360" w:lineRule="auto"/>
        <w:ind w:right="-12" w:firstLine="567"/>
        <w:jc w:val="both"/>
      </w:pPr>
      <w:r w:rsidRPr="004F4684">
        <w:t>A pesar de los desafíos, las TIC siguen siendo fundamentales para la enseñanza en línea</w:t>
      </w:r>
      <w:r w:rsidR="00D82134">
        <w:t>, pues</w:t>
      </w:r>
      <w:r w:rsidRPr="004F4684">
        <w:t xml:space="preserve"> ofrecen oportunidades para potenciar el desarrollo académico, superar los impedimentos de tiempo y espacio, e incrementar la conectividad y la interacción en el ámbito educativo</w:t>
      </w:r>
      <w:r w:rsidR="00D82134">
        <w:t>.</w:t>
      </w:r>
    </w:p>
    <w:p w14:paraId="02187CCE" w14:textId="751D6B93" w:rsidR="00627A3F" w:rsidRPr="004F4684" w:rsidRDefault="00917849" w:rsidP="00D91EFE">
      <w:pPr>
        <w:pStyle w:val="Textoindependiente"/>
        <w:spacing w:line="360" w:lineRule="auto"/>
        <w:ind w:right="-12" w:firstLine="567"/>
        <w:jc w:val="both"/>
      </w:pPr>
      <w:r w:rsidRPr="004F4684">
        <w:t xml:space="preserve">En resumen, la adopción de las TIC como herramientas de enseñanza en una universidad pública debido a la contingencia sanitaria del </w:t>
      </w:r>
      <w:r w:rsidR="00D82134" w:rsidRPr="004F4684">
        <w:t>covid</w:t>
      </w:r>
      <w:r w:rsidRPr="004F4684">
        <w:t>-19 ha generado impactos significativos en la participación académica, la calidad educativa, la flexibilidad académica y el apoyo a los estudiantes. Además, ha resaltado la importancia de la capacitación y adaptación de los profesores, así como el potencial continuo de las TIC en la educación</w:t>
      </w:r>
      <w:r w:rsidR="00D82134">
        <w:t>.</w:t>
      </w:r>
    </w:p>
    <w:p w14:paraId="4D0AAFB0" w14:textId="77777777" w:rsidR="00627A3F" w:rsidRDefault="00627A3F" w:rsidP="00D91EFE">
      <w:pPr>
        <w:pStyle w:val="NormalWeb"/>
        <w:shd w:val="clear" w:color="auto" w:fill="FFFFFF"/>
        <w:spacing w:before="0" w:beforeAutospacing="0" w:after="0" w:afterAutospacing="0" w:line="360" w:lineRule="auto"/>
        <w:ind w:right="-12"/>
        <w:jc w:val="both"/>
        <w:rPr>
          <w:color w:val="000000"/>
          <w:lang w:val="es-ES"/>
        </w:rPr>
      </w:pPr>
    </w:p>
    <w:p w14:paraId="52EDCE67" w14:textId="77777777" w:rsidR="00720A10" w:rsidRPr="00D82134" w:rsidRDefault="00720A10" w:rsidP="00D91EFE">
      <w:pPr>
        <w:pStyle w:val="NormalWeb"/>
        <w:shd w:val="clear" w:color="auto" w:fill="FFFFFF"/>
        <w:spacing w:before="0" w:beforeAutospacing="0" w:after="0" w:afterAutospacing="0" w:line="360" w:lineRule="auto"/>
        <w:ind w:right="-12"/>
        <w:jc w:val="both"/>
        <w:rPr>
          <w:color w:val="000000"/>
          <w:lang w:val="es-ES"/>
        </w:rPr>
      </w:pPr>
    </w:p>
    <w:p w14:paraId="25FA6337" w14:textId="7C43936B" w:rsidR="00DC35D9" w:rsidRPr="00622600" w:rsidRDefault="001258F6" w:rsidP="00D91EFE">
      <w:pPr>
        <w:pStyle w:val="Textoindependiente"/>
        <w:spacing w:line="360" w:lineRule="auto"/>
        <w:ind w:right="-12"/>
        <w:jc w:val="center"/>
        <w:rPr>
          <w:b/>
          <w:bCs/>
          <w:sz w:val="28"/>
          <w:szCs w:val="28"/>
        </w:rPr>
      </w:pPr>
      <w:r w:rsidRPr="00622600">
        <w:rPr>
          <w:b/>
          <w:bCs/>
          <w:sz w:val="28"/>
          <w:szCs w:val="28"/>
        </w:rPr>
        <w:lastRenderedPageBreak/>
        <w:t>Futuras líneas de investigación</w:t>
      </w:r>
    </w:p>
    <w:p w14:paraId="3C204E36" w14:textId="26F82351" w:rsidR="00D05693" w:rsidRPr="004F4684" w:rsidRDefault="00D05693" w:rsidP="00D91EFE">
      <w:pPr>
        <w:pStyle w:val="Textoindependiente"/>
        <w:spacing w:line="360" w:lineRule="auto"/>
        <w:ind w:right="-12" w:firstLine="567"/>
        <w:jc w:val="both"/>
      </w:pPr>
      <w:r w:rsidRPr="004F4684">
        <w:t xml:space="preserve">Considerando los hallazgos y observaciones presentados en el estudio sobre la adopción de las TIC como herramientas de enseñanza en una universidad pública debido a la contingencia sanitaria del </w:t>
      </w:r>
      <w:r w:rsidR="00D82134" w:rsidRPr="004F4684">
        <w:t>covid</w:t>
      </w:r>
      <w:r w:rsidRPr="004F4684">
        <w:t>-19, se identifican diversas áreas que podrían ser objeto de futuras investigaciones. Estas áreas incluyen</w:t>
      </w:r>
      <w:r w:rsidR="00D82134">
        <w:t xml:space="preserve"> lo siguiente</w:t>
      </w:r>
      <w:r w:rsidRPr="004F4684">
        <w:t>:</w:t>
      </w:r>
    </w:p>
    <w:p w14:paraId="2D4E9C5F" w14:textId="77777777" w:rsidR="00D82134" w:rsidRDefault="00D05693" w:rsidP="00D82134">
      <w:pPr>
        <w:pStyle w:val="Textoindependiente"/>
        <w:numPr>
          <w:ilvl w:val="0"/>
          <w:numId w:val="9"/>
        </w:numPr>
        <w:spacing w:line="360" w:lineRule="auto"/>
        <w:ind w:right="-12"/>
        <w:jc w:val="both"/>
      </w:pPr>
      <w:r w:rsidRPr="004F4684">
        <w:t>Explorar el impacto a largo plazo de la transición a la modalidad virtual en la participación académica, calidad educativa y apoyo a los estudiantes universitarios. Esto podría incluir un seguimiento de los estudiantes a lo largo de su trayectoria académica para evaluar el impacto continuo de la adopción de herramientas digitales en la educación superior.</w:t>
      </w:r>
    </w:p>
    <w:p w14:paraId="6BD5B567" w14:textId="77777777" w:rsidR="00D82134" w:rsidRDefault="00D05693" w:rsidP="00D82134">
      <w:pPr>
        <w:pStyle w:val="Textoindependiente"/>
        <w:numPr>
          <w:ilvl w:val="0"/>
          <w:numId w:val="9"/>
        </w:numPr>
        <w:spacing w:line="360" w:lineRule="auto"/>
        <w:ind w:right="-12"/>
        <w:jc w:val="both"/>
      </w:pPr>
      <w:r w:rsidRPr="004F4684">
        <w:t>Investigar las disparidades en el acceso a las tecnologías y su impacto en la equidad educativa. Esto podría incluir un análisis detallado de las repercusiones sociales y económicas de la imposibilidad de acceder a las tecnologías, especialmente en grupos vulnerables, y cómo estas disparidades afectan el aprendizaje y la retención estudiantil.</w:t>
      </w:r>
    </w:p>
    <w:p w14:paraId="2E792381" w14:textId="009D1547" w:rsidR="00D05693" w:rsidRPr="004F4684" w:rsidRDefault="00D05693" w:rsidP="00D82134">
      <w:pPr>
        <w:pStyle w:val="Textoindependiente"/>
        <w:numPr>
          <w:ilvl w:val="0"/>
          <w:numId w:val="9"/>
        </w:numPr>
        <w:spacing w:line="360" w:lineRule="auto"/>
        <w:ind w:right="-12"/>
        <w:jc w:val="both"/>
      </w:pPr>
      <w:r w:rsidRPr="004F4684">
        <w:t>Explorar estrategias efectivas para la capacitación y adaptación de los profesores en el uso de herramientas tecnológicas para la enseñanza en línea. Esto podría incluir la identificación de las necesidades específicas de capacitación y las mejores prácticas para desarrollar habilidades tecnológicas entre el personal educativo.</w:t>
      </w:r>
    </w:p>
    <w:p w14:paraId="4D5333FA" w14:textId="0A054268" w:rsidR="00D05693" w:rsidRPr="004F4684" w:rsidRDefault="00D05693" w:rsidP="00D91EFE">
      <w:pPr>
        <w:pStyle w:val="Textoindependiente"/>
        <w:spacing w:line="360" w:lineRule="auto"/>
        <w:ind w:right="-12" w:firstLine="567"/>
        <w:jc w:val="both"/>
      </w:pPr>
      <w:r w:rsidRPr="004F4684">
        <w:t>Estas áreas de investigación ofrecen oportunidades para ampliar la comprensión de los efectos de la adopción de las TIC en la educación superior y para desarrollar estrategias efectivas que mejoren la calidad y equidad educativa en entornos virtuales</w:t>
      </w:r>
      <w:r w:rsidR="00DF2072" w:rsidRPr="004F4684">
        <w:t>.</w:t>
      </w:r>
    </w:p>
    <w:p w14:paraId="690FAC4C" w14:textId="77777777" w:rsidR="005F67BC" w:rsidRDefault="005F67BC" w:rsidP="00D91EFE">
      <w:pPr>
        <w:ind w:right="-12"/>
        <w:rPr>
          <w:b/>
          <w:bCs/>
          <w:sz w:val="32"/>
          <w:szCs w:val="32"/>
        </w:rPr>
      </w:pPr>
      <w:r>
        <w:rPr>
          <w:b/>
          <w:bCs/>
          <w:sz w:val="32"/>
          <w:szCs w:val="32"/>
        </w:rPr>
        <w:br w:type="page"/>
      </w:r>
    </w:p>
    <w:p w14:paraId="5D763D5B" w14:textId="37C02C66" w:rsidR="005D02B9" w:rsidRPr="00622600" w:rsidRDefault="00D82134" w:rsidP="00622600">
      <w:pPr>
        <w:pStyle w:val="Textoindependiente"/>
        <w:spacing w:line="360" w:lineRule="auto"/>
        <w:ind w:right="-12"/>
        <w:rPr>
          <w:rFonts w:asciiTheme="minorHAnsi" w:hAnsiTheme="minorHAnsi" w:cstheme="minorHAnsi"/>
          <w:b/>
          <w:bCs/>
          <w:sz w:val="28"/>
          <w:szCs w:val="28"/>
        </w:rPr>
      </w:pPr>
      <w:r w:rsidRPr="00622600">
        <w:rPr>
          <w:rFonts w:asciiTheme="minorHAnsi" w:hAnsiTheme="minorHAnsi" w:cstheme="minorHAnsi"/>
          <w:b/>
          <w:bCs/>
          <w:sz w:val="28"/>
          <w:szCs w:val="28"/>
        </w:rPr>
        <w:lastRenderedPageBreak/>
        <w:t>Referencias</w:t>
      </w:r>
    </w:p>
    <w:sdt>
      <w:sdtPr>
        <w:rPr>
          <w:sz w:val="24"/>
          <w:szCs w:val="24"/>
        </w:rPr>
        <w:id w:val="1306044919"/>
        <w:bibliography/>
      </w:sdtPr>
      <w:sdtContent>
        <w:p w14:paraId="7E188A1C"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Aguilar</w:t>
          </w:r>
          <w:r w:rsidRPr="00A36DD8">
            <w:rPr>
              <w:noProof/>
              <w:sz w:val="24"/>
              <w:szCs w:val="24"/>
            </w:rPr>
            <w:t xml:space="preserve">, F. R. (2020). Del aprendizaje en escenarios presenciales al aprendizaje virtual en tiempos de pandemia. </w:t>
          </w:r>
          <w:r w:rsidRPr="00A36DD8">
            <w:rPr>
              <w:i/>
              <w:iCs/>
              <w:noProof/>
              <w:sz w:val="24"/>
              <w:szCs w:val="24"/>
            </w:rPr>
            <w:t>Estudios Pedagógicos</w:t>
          </w:r>
          <w:r w:rsidRPr="00A36DD8">
            <w:rPr>
              <w:iCs/>
              <w:noProof/>
              <w:sz w:val="24"/>
              <w:szCs w:val="24"/>
            </w:rPr>
            <w:t>,</w:t>
          </w:r>
          <w:r w:rsidRPr="00A36DD8">
            <w:rPr>
              <w:i/>
              <w:iCs/>
              <w:noProof/>
              <w:sz w:val="24"/>
              <w:szCs w:val="24"/>
            </w:rPr>
            <w:t xml:space="preserve"> 46</w:t>
          </w:r>
          <w:r w:rsidRPr="00A36DD8">
            <w:rPr>
              <w:noProof/>
              <w:sz w:val="24"/>
              <w:szCs w:val="24"/>
            </w:rPr>
            <w:t xml:space="preserve">(3), 213-223. http://dx.doi.org/10.4067/S0718-07052020000300213 </w:t>
          </w:r>
        </w:p>
        <w:p w14:paraId="0E773F19" w14:textId="77777777" w:rsidR="00D82134" w:rsidRPr="00A36DD8" w:rsidRDefault="00D82134" w:rsidP="00D82134">
          <w:pPr>
            <w:pStyle w:val="Bibliografa"/>
            <w:spacing w:line="360" w:lineRule="auto"/>
            <w:ind w:left="720" w:right="-11" w:hanging="720"/>
            <w:jc w:val="both"/>
            <w:rPr>
              <w:noProof/>
              <w:sz w:val="24"/>
              <w:szCs w:val="24"/>
              <w:lang w:val="en-US"/>
            </w:rPr>
          </w:pPr>
          <w:r w:rsidRPr="00A36DD8">
            <w:rPr>
              <w:bCs/>
              <w:noProof/>
              <w:sz w:val="24"/>
              <w:szCs w:val="24"/>
            </w:rPr>
            <w:t>Alvarado</w:t>
          </w:r>
          <w:r w:rsidRPr="00A36DD8">
            <w:rPr>
              <w:noProof/>
              <w:sz w:val="24"/>
              <w:szCs w:val="24"/>
            </w:rPr>
            <w:t xml:space="preserve">, E. R., Ochoa Mendieta, M. A., Ronquillo Murrieta, G. V. y Sánchez Soto, M. A. (2019). Importancia y uso de las redes sociales en la educación. </w:t>
          </w:r>
          <w:r w:rsidRPr="00A36DD8">
            <w:rPr>
              <w:i/>
              <w:iCs/>
              <w:noProof/>
              <w:sz w:val="24"/>
              <w:szCs w:val="24"/>
              <w:lang w:val="en-US"/>
            </w:rPr>
            <w:t>Recimundo</w:t>
          </w:r>
          <w:r w:rsidRPr="00A36DD8">
            <w:rPr>
              <w:noProof/>
              <w:sz w:val="24"/>
              <w:szCs w:val="24"/>
              <w:lang w:val="en-US"/>
            </w:rPr>
            <w:t xml:space="preserve">, </w:t>
          </w:r>
          <w:r w:rsidRPr="00A36DD8">
            <w:rPr>
              <w:i/>
              <w:noProof/>
              <w:sz w:val="24"/>
              <w:szCs w:val="24"/>
              <w:lang w:val="en-US"/>
            </w:rPr>
            <w:t>3</w:t>
          </w:r>
          <w:r w:rsidRPr="00A36DD8">
            <w:rPr>
              <w:noProof/>
              <w:sz w:val="24"/>
              <w:szCs w:val="24"/>
              <w:lang w:val="en-US"/>
            </w:rPr>
            <w:t>(2), 882-893. https://doi.org/10.26820/recimundo/3.(2).abril.2019.882-893</w:t>
          </w:r>
        </w:p>
        <w:p w14:paraId="0FBC5D5B" w14:textId="77777777" w:rsidR="00D82134" w:rsidRPr="00A36DD8" w:rsidRDefault="00D82134" w:rsidP="00D82134">
          <w:pPr>
            <w:pStyle w:val="Bibliografa"/>
            <w:spacing w:line="360" w:lineRule="auto"/>
            <w:ind w:left="720" w:right="-11" w:hanging="720"/>
            <w:jc w:val="both"/>
            <w:rPr>
              <w:noProof/>
              <w:sz w:val="24"/>
              <w:szCs w:val="24"/>
              <w:lang w:val="en-US"/>
            </w:rPr>
          </w:pPr>
          <w:r w:rsidRPr="00A36DD8">
            <w:rPr>
              <w:bCs/>
              <w:noProof/>
              <w:sz w:val="24"/>
              <w:szCs w:val="24"/>
              <w:lang w:val="en-US"/>
            </w:rPr>
            <w:t>Brown</w:t>
          </w:r>
          <w:r w:rsidRPr="00A36DD8">
            <w:rPr>
              <w:noProof/>
              <w:sz w:val="24"/>
              <w:szCs w:val="24"/>
              <w:lang w:val="en-US"/>
            </w:rPr>
            <w:t xml:space="preserve">, C. and Salmi, J. (2020). Putting fairness at the heart of higher education. </w:t>
          </w:r>
          <w:r w:rsidRPr="00A36DD8">
            <w:rPr>
              <w:i/>
              <w:noProof/>
              <w:sz w:val="24"/>
              <w:szCs w:val="24"/>
              <w:lang w:val="en-US"/>
            </w:rPr>
            <w:t xml:space="preserve">University World News. </w:t>
          </w:r>
          <w:r w:rsidRPr="00A36DD8">
            <w:rPr>
              <w:i/>
              <w:iCs/>
              <w:noProof/>
              <w:sz w:val="24"/>
              <w:szCs w:val="24"/>
              <w:lang w:val="en-US"/>
            </w:rPr>
            <w:t>The Global Window on Higher Education.</w:t>
          </w:r>
          <w:r w:rsidRPr="00A36DD8">
            <w:rPr>
              <w:noProof/>
              <w:sz w:val="24"/>
              <w:szCs w:val="24"/>
              <w:lang w:val="en-US"/>
            </w:rPr>
            <w:t xml:space="preserve"> https://www.universityworldnews.com/post.php?story=20200417094523729</w:t>
          </w:r>
        </w:p>
        <w:p w14:paraId="4856132C" w14:textId="5E90C225"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Cabero</w:t>
          </w:r>
          <w:r w:rsidRPr="00A36DD8">
            <w:rPr>
              <w:noProof/>
              <w:sz w:val="24"/>
              <w:szCs w:val="24"/>
            </w:rPr>
            <w:t>, J. (2008). Innovación en la formación y desarrollo profesional docente. En</w:t>
          </w:r>
          <w:r w:rsidR="00A24543" w:rsidRPr="00A36DD8">
            <w:rPr>
              <w:noProof/>
              <w:sz w:val="24"/>
              <w:szCs w:val="24"/>
            </w:rPr>
            <w:t xml:space="preserve"> J. Salinas (coord.),</w:t>
          </w:r>
          <w:r w:rsidRPr="00A36DD8">
            <w:rPr>
              <w:noProof/>
              <w:sz w:val="24"/>
              <w:szCs w:val="24"/>
            </w:rPr>
            <w:t xml:space="preserve"> </w:t>
          </w:r>
          <w:r w:rsidRPr="00A36DD8">
            <w:rPr>
              <w:i/>
              <w:noProof/>
              <w:sz w:val="24"/>
              <w:szCs w:val="24"/>
            </w:rPr>
            <w:t xml:space="preserve">Innovación educativa y uso de las TIC </w:t>
          </w:r>
          <w:r w:rsidRPr="00A36DD8">
            <w:rPr>
              <w:sz w:val="24"/>
              <w:szCs w:val="24"/>
            </w:rPr>
            <w:t xml:space="preserve">(pp. </w:t>
          </w:r>
          <w:r w:rsidRPr="00A36DD8">
            <w:rPr>
              <w:noProof/>
              <w:sz w:val="24"/>
              <w:szCs w:val="24"/>
            </w:rPr>
            <w:t>83-99</w:t>
          </w:r>
          <w:r w:rsidRPr="00A36DD8">
            <w:rPr>
              <w:sz w:val="24"/>
              <w:szCs w:val="24"/>
            </w:rPr>
            <w:t>)</w:t>
          </w:r>
          <w:r w:rsidRPr="00A36DD8">
            <w:rPr>
              <w:noProof/>
              <w:sz w:val="24"/>
              <w:szCs w:val="24"/>
            </w:rPr>
            <w:t xml:space="preserve">. </w:t>
          </w:r>
          <w:r w:rsidRPr="00A36DD8">
            <w:rPr>
              <w:iCs/>
              <w:noProof/>
              <w:sz w:val="24"/>
              <w:szCs w:val="24"/>
            </w:rPr>
            <w:t>Universidad Internacional de Andalucía</w:t>
          </w:r>
          <w:r w:rsidRPr="00A36DD8">
            <w:rPr>
              <w:noProof/>
              <w:sz w:val="24"/>
              <w:szCs w:val="24"/>
            </w:rPr>
            <w:t>. https://dspace.unia.es/bitstream/handle/10334/2524/innovacioneduc2008.pdf?sequence=1</w:t>
          </w:r>
        </w:p>
        <w:p w14:paraId="292A51C8"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Castro</w:t>
          </w:r>
          <w:r w:rsidRPr="00A36DD8">
            <w:rPr>
              <w:noProof/>
              <w:sz w:val="24"/>
              <w:szCs w:val="24"/>
            </w:rPr>
            <w:t xml:space="preserve">, J. R., Macías Villarreal, J. C. y González Bandala, D. A. (2022). </w:t>
          </w:r>
          <w:r w:rsidRPr="00A36DD8">
            <w:rPr>
              <w:i/>
              <w:noProof/>
              <w:sz w:val="24"/>
              <w:szCs w:val="24"/>
            </w:rPr>
            <w:t>El impacto de la pandemia COVID-19 en la educación superior. Retos y estrategias</w:t>
          </w:r>
          <w:r w:rsidRPr="00A36DD8">
            <w:rPr>
              <w:i/>
              <w:iCs/>
              <w:noProof/>
              <w:sz w:val="24"/>
              <w:szCs w:val="24"/>
            </w:rPr>
            <w:t>.</w:t>
          </w:r>
          <w:r w:rsidRPr="00A36DD8">
            <w:rPr>
              <w:noProof/>
              <w:sz w:val="24"/>
              <w:szCs w:val="24"/>
            </w:rPr>
            <w:t xml:space="preserve"> </w:t>
          </w:r>
          <w:r w:rsidRPr="00A36DD8">
            <w:rPr>
              <w:iCs/>
              <w:noProof/>
              <w:sz w:val="24"/>
              <w:szCs w:val="24"/>
            </w:rPr>
            <w:t>Editorial Fontamara</w:t>
          </w:r>
          <w:r w:rsidRPr="00A36DD8">
            <w:rPr>
              <w:noProof/>
              <w:sz w:val="24"/>
              <w:szCs w:val="24"/>
            </w:rPr>
            <w:t>. https://libros.uat.edu.mx/index.php/librosuat/catalog/view/272/246/899-1</w:t>
          </w:r>
        </w:p>
        <w:p w14:paraId="5790347B"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CEPAL</w:t>
          </w:r>
          <w:r w:rsidRPr="00A36DD8">
            <w:rPr>
              <w:noProof/>
              <w:sz w:val="24"/>
              <w:szCs w:val="24"/>
            </w:rPr>
            <w:t xml:space="preserve">-UNESCO. (2020). </w:t>
          </w:r>
          <w:r w:rsidRPr="00A36DD8">
            <w:rPr>
              <w:i/>
              <w:noProof/>
              <w:sz w:val="24"/>
              <w:szCs w:val="24"/>
            </w:rPr>
            <w:t>La educación en tiempos de la pandemia de COVID-19.</w:t>
          </w:r>
          <w:r w:rsidRPr="00A36DD8">
            <w:rPr>
              <w:noProof/>
              <w:sz w:val="24"/>
              <w:szCs w:val="24"/>
            </w:rPr>
            <w:t xml:space="preserve"> </w:t>
          </w:r>
          <w:r w:rsidRPr="00A36DD8">
            <w:rPr>
              <w:i/>
              <w:iCs/>
              <w:noProof/>
              <w:sz w:val="24"/>
              <w:szCs w:val="24"/>
            </w:rPr>
            <w:t>Informe COVID-19 CEPAL-UNESCO</w:t>
          </w:r>
          <w:r w:rsidRPr="00A36DD8">
            <w:rPr>
              <w:noProof/>
              <w:sz w:val="24"/>
              <w:szCs w:val="24"/>
            </w:rPr>
            <w:t>. https://repositorio.cepal.org/bitstream/handle/11362/45904/1/S2000510_es.pdf</w:t>
          </w:r>
        </w:p>
        <w:p w14:paraId="523A2FD2" w14:textId="7274FA7A"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Coll</w:t>
          </w:r>
          <w:r w:rsidRPr="00A36DD8">
            <w:rPr>
              <w:noProof/>
              <w:sz w:val="24"/>
              <w:szCs w:val="24"/>
            </w:rPr>
            <w:t xml:space="preserve">, C. (2008). Aprender y enseñar con las TIC: expectativas, realidad y potencialidades. </w:t>
          </w:r>
          <w:r w:rsidRPr="00A36DD8">
            <w:rPr>
              <w:i/>
              <w:iCs/>
              <w:noProof/>
              <w:sz w:val="24"/>
              <w:szCs w:val="24"/>
            </w:rPr>
            <w:t>Boletín de la Institución Libre de Enseñanza</w:t>
          </w:r>
          <w:r w:rsidR="00A24543" w:rsidRPr="00A36DD8">
            <w:rPr>
              <w:iCs/>
              <w:noProof/>
              <w:sz w:val="24"/>
              <w:szCs w:val="24"/>
            </w:rPr>
            <w:t xml:space="preserve">, </w:t>
          </w:r>
          <w:r w:rsidRPr="00A36DD8">
            <w:rPr>
              <w:noProof/>
              <w:sz w:val="24"/>
              <w:szCs w:val="24"/>
            </w:rPr>
            <w:t>(72). https://www.educ.ar/recursos/70819/aprender-y-ensenar-con-las-tic-expectativas-realidad-y-potencialidades</w:t>
          </w:r>
        </w:p>
        <w:p w14:paraId="1D495CAA"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García</w:t>
          </w:r>
          <w:r w:rsidRPr="00A36DD8">
            <w:rPr>
              <w:noProof/>
              <w:sz w:val="24"/>
              <w:szCs w:val="24"/>
            </w:rPr>
            <w:t xml:space="preserve"> Aretio, L. (2021). COVID-19 y educación a distancia digital: preconfinamiento, confinamiento y posconfinamiento. </w:t>
          </w:r>
          <w:r w:rsidRPr="00A36DD8">
            <w:rPr>
              <w:i/>
              <w:iCs/>
              <w:noProof/>
              <w:sz w:val="24"/>
              <w:szCs w:val="24"/>
            </w:rPr>
            <w:t>RIED. Revista Iberoamericana de Educación a Distancia, 24</w:t>
          </w:r>
          <w:r w:rsidRPr="00A36DD8">
            <w:rPr>
              <w:noProof/>
              <w:sz w:val="24"/>
              <w:szCs w:val="24"/>
            </w:rPr>
            <w:t>(1), 09-32. https://doi.org/10.5944/ried.24.1.28080</w:t>
          </w:r>
        </w:p>
        <w:p w14:paraId="2274A347"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lang w:val="en-US"/>
            </w:rPr>
            <w:t>Guàrdia</w:t>
          </w:r>
          <w:r w:rsidRPr="00A36DD8">
            <w:rPr>
              <w:noProof/>
              <w:sz w:val="24"/>
              <w:szCs w:val="24"/>
              <w:lang w:val="en-US"/>
            </w:rPr>
            <w:t xml:space="preserve">, L., Crisp, G. and Alsina, I. (2017). Trends and challenges of e-assessment to enhance student learning in higher education. </w:t>
          </w:r>
          <w:r w:rsidRPr="00A36DD8">
            <w:rPr>
              <w:i/>
              <w:iCs/>
              <w:noProof/>
              <w:sz w:val="24"/>
              <w:szCs w:val="24"/>
            </w:rPr>
            <w:t>IGI Global</w:t>
          </w:r>
          <w:r w:rsidRPr="00A36DD8">
            <w:rPr>
              <w:noProof/>
              <w:sz w:val="24"/>
              <w:szCs w:val="24"/>
            </w:rPr>
            <w:t>, 36-56. https://doi.org/10.4018/978-1-5225-0531-0.CH003</w:t>
          </w:r>
        </w:p>
        <w:p w14:paraId="6FA89323"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Hernández</w:t>
          </w:r>
          <w:r w:rsidRPr="00A36DD8">
            <w:rPr>
              <w:noProof/>
              <w:sz w:val="24"/>
              <w:szCs w:val="24"/>
            </w:rPr>
            <w:t xml:space="preserve">-Sampieri, R., Fernández-Collado, C. y Baptista, L. (2014). </w:t>
          </w:r>
          <w:r w:rsidRPr="00A36DD8">
            <w:rPr>
              <w:i/>
              <w:noProof/>
              <w:sz w:val="24"/>
              <w:szCs w:val="24"/>
            </w:rPr>
            <w:t>Metodología de la investigación</w:t>
          </w:r>
          <w:r w:rsidRPr="00A36DD8">
            <w:rPr>
              <w:noProof/>
              <w:sz w:val="24"/>
              <w:szCs w:val="24"/>
            </w:rPr>
            <w:t xml:space="preserve"> (6.</w:t>
          </w:r>
          <w:r w:rsidRPr="00A36DD8">
            <w:rPr>
              <w:noProof/>
              <w:sz w:val="24"/>
              <w:szCs w:val="24"/>
              <w:vertAlign w:val="superscript"/>
            </w:rPr>
            <w:t>a</w:t>
          </w:r>
          <w:r w:rsidRPr="00A36DD8">
            <w:rPr>
              <w:noProof/>
              <w:sz w:val="24"/>
              <w:szCs w:val="24"/>
            </w:rPr>
            <w:t xml:space="preserve"> ed.). </w:t>
          </w:r>
          <w:r w:rsidRPr="00A36DD8">
            <w:rPr>
              <w:iCs/>
              <w:noProof/>
              <w:sz w:val="24"/>
              <w:szCs w:val="24"/>
            </w:rPr>
            <w:t>McGraw-Hill.</w:t>
          </w:r>
        </w:p>
        <w:p w14:paraId="31219655"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lastRenderedPageBreak/>
            <w:t>IESALC</w:t>
          </w:r>
          <w:r w:rsidRPr="00A36DD8">
            <w:rPr>
              <w:noProof/>
              <w:sz w:val="24"/>
              <w:szCs w:val="24"/>
            </w:rPr>
            <w:t xml:space="preserve">-UNESCO. (2020). </w:t>
          </w:r>
          <w:r w:rsidRPr="00A36DD8">
            <w:rPr>
              <w:i/>
              <w:noProof/>
              <w:sz w:val="24"/>
              <w:szCs w:val="24"/>
            </w:rPr>
            <w:t>COVID-19 y educación superior. De los efectos inmediatos al día después. Análisis de impacto, respuestas políticas y recomendaciones</w:t>
          </w:r>
          <w:r w:rsidRPr="00A36DD8">
            <w:rPr>
              <w:noProof/>
              <w:sz w:val="24"/>
              <w:szCs w:val="24"/>
            </w:rPr>
            <w:t xml:space="preserve">. </w:t>
          </w:r>
          <w:r w:rsidRPr="00A36DD8">
            <w:rPr>
              <w:iCs/>
              <w:noProof/>
              <w:sz w:val="24"/>
              <w:szCs w:val="24"/>
            </w:rPr>
            <w:t>Documentos de trabajo</w:t>
          </w:r>
          <w:r w:rsidRPr="00A36DD8">
            <w:rPr>
              <w:noProof/>
              <w:sz w:val="24"/>
              <w:szCs w:val="24"/>
            </w:rPr>
            <w:t>. https://www.iesalc.unesco.org/wp-content/uploads/2020/04/COVID-19-070420-ES-2-1.pdf</w:t>
          </w:r>
        </w:p>
        <w:p w14:paraId="70911504"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Lara</w:t>
          </w:r>
          <w:r w:rsidRPr="00A36DD8">
            <w:rPr>
              <w:noProof/>
              <w:sz w:val="24"/>
              <w:szCs w:val="24"/>
            </w:rPr>
            <w:t xml:space="preserve">, L. (2002). Análisis de los recursos interactivos en las aulas virtuales. </w:t>
          </w:r>
          <w:r w:rsidRPr="00A36DD8">
            <w:rPr>
              <w:i/>
              <w:iCs/>
              <w:noProof/>
              <w:sz w:val="24"/>
              <w:szCs w:val="24"/>
            </w:rPr>
            <w:t>Integración sin Barreras en el Siglo XXI</w:t>
          </w:r>
          <w:r w:rsidRPr="00A36DD8">
            <w:rPr>
              <w:noProof/>
              <w:sz w:val="24"/>
              <w:szCs w:val="24"/>
            </w:rPr>
            <w:t>. http://www.quadernsdigitals.net/datos/hemeroteca/r_43/nr_479/a_6424/6424.pdf</w:t>
          </w:r>
        </w:p>
        <w:p w14:paraId="08E02801" w14:textId="2610F99B"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Lloyd</w:t>
          </w:r>
          <w:r w:rsidRPr="00A36DD8">
            <w:rPr>
              <w:noProof/>
              <w:sz w:val="24"/>
              <w:szCs w:val="24"/>
            </w:rPr>
            <w:t xml:space="preserve">, M. (2020). Desigualdades educativas y la brecha digital. </w:t>
          </w:r>
          <w:r w:rsidR="00A24543" w:rsidRPr="00A36DD8">
            <w:rPr>
              <w:noProof/>
              <w:sz w:val="24"/>
              <w:szCs w:val="24"/>
            </w:rPr>
            <w:t xml:space="preserve">En J. Girón (ed.), </w:t>
          </w:r>
          <w:r w:rsidRPr="00A36DD8">
            <w:rPr>
              <w:i/>
              <w:iCs/>
              <w:noProof/>
              <w:sz w:val="24"/>
              <w:szCs w:val="24"/>
            </w:rPr>
            <w:t>Educación y pandemia. Una visión académica</w:t>
          </w:r>
          <w:r w:rsidRPr="00A36DD8">
            <w:rPr>
              <w:noProof/>
              <w:sz w:val="24"/>
              <w:szCs w:val="24"/>
            </w:rPr>
            <w:t xml:space="preserve"> </w:t>
          </w:r>
          <w:r w:rsidR="00A24543" w:rsidRPr="00A36DD8">
            <w:rPr>
              <w:noProof/>
              <w:sz w:val="24"/>
              <w:szCs w:val="24"/>
            </w:rPr>
            <w:t xml:space="preserve">(pp. </w:t>
          </w:r>
          <w:r w:rsidRPr="00A36DD8">
            <w:rPr>
              <w:noProof/>
              <w:sz w:val="24"/>
              <w:szCs w:val="24"/>
            </w:rPr>
            <w:t>115-121</w:t>
          </w:r>
          <w:r w:rsidR="00A24543" w:rsidRPr="00A36DD8">
            <w:rPr>
              <w:noProof/>
              <w:sz w:val="24"/>
              <w:szCs w:val="24"/>
            </w:rPr>
            <w:t>)</w:t>
          </w:r>
          <w:r w:rsidRPr="00A36DD8">
            <w:rPr>
              <w:noProof/>
              <w:sz w:val="24"/>
              <w:szCs w:val="24"/>
            </w:rPr>
            <w:t xml:space="preserve">. </w:t>
          </w:r>
          <w:r w:rsidR="00A24543" w:rsidRPr="00A36DD8">
            <w:rPr>
              <w:noProof/>
              <w:sz w:val="24"/>
              <w:szCs w:val="24"/>
            </w:rPr>
            <w:t xml:space="preserve">UNAM. </w:t>
          </w:r>
          <w:r w:rsidRPr="00A36DD8">
            <w:rPr>
              <w:noProof/>
              <w:sz w:val="24"/>
              <w:szCs w:val="24"/>
            </w:rPr>
            <w:t>https://www.iisue.unam.mx/investigacion/textos/educacion_pandemia.pdf</w:t>
          </w:r>
        </w:p>
        <w:p w14:paraId="1A6B510F"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Mirete</w:t>
          </w:r>
          <w:r w:rsidRPr="00A36DD8">
            <w:rPr>
              <w:noProof/>
              <w:sz w:val="24"/>
              <w:szCs w:val="24"/>
            </w:rPr>
            <w:t xml:space="preserve"> Ruiz, A., García-Sanchez, F., y Hernandez Pina, F. (2015). Cuestionario para el estudio de la actitud, el conocimiento y el uso de TIC (ACUTIC) en Educación Superior. Estudio de fiabilidad y validez. </w:t>
          </w:r>
          <w:r w:rsidRPr="00A36DD8">
            <w:rPr>
              <w:i/>
              <w:iCs/>
              <w:noProof/>
              <w:sz w:val="24"/>
              <w:szCs w:val="24"/>
            </w:rPr>
            <w:t>Revista Universitaria de Formacion de Profesorado, 29</w:t>
          </w:r>
          <w:r w:rsidRPr="00A36DD8">
            <w:rPr>
              <w:noProof/>
              <w:sz w:val="24"/>
              <w:szCs w:val="24"/>
            </w:rPr>
            <w:t>(2), 75-89. https://www.redalyc.org/pdf/274/27443659006.pdf</w:t>
          </w:r>
        </w:p>
        <w:p w14:paraId="221163C0"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Molina</w:t>
          </w:r>
          <w:r w:rsidRPr="00A36DD8">
            <w:rPr>
              <w:noProof/>
              <w:sz w:val="24"/>
              <w:szCs w:val="24"/>
            </w:rPr>
            <w:t xml:space="preserve">-Montalvo, H. I., Macías Villarreal, J. C. y Hernández Fonseca, M. del R. (2023). Evaluando el uso de la plataforma Microsoft Teams en los procesos de enseñanza y aprendizaje durante la pandemia de COVID-19 en una universidad pública. Una perspectiva de los estudiantes. </w:t>
          </w:r>
          <w:r w:rsidRPr="00A36DD8">
            <w:rPr>
              <w:i/>
              <w:iCs/>
              <w:noProof/>
              <w:sz w:val="24"/>
              <w:szCs w:val="24"/>
            </w:rPr>
            <w:t>IE Revista de Investigación Educativa de la REDIECH</w:t>
          </w:r>
          <w:r w:rsidRPr="00A36DD8">
            <w:rPr>
              <w:noProof/>
              <w:sz w:val="24"/>
              <w:szCs w:val="24"/>
            </w:rPr>
            <w:t>, 14, e1633. https://doi.org/10.33010/ie_rie_rediech.v14i0.1633</w:t>
          </w:r>
        </w:p>
        <w:p w14:paraId="102C722D"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Moreno</w:t>
          </w:r>
          <w:r w:rsidRPr="00A36DD8">
            <w:rPr>
              <w:noProof/>
              <w:sz w:val="24"/>
              <w:szCs w:val="24"/>
            </w:rPr>
            <w:t xml:space="preserve">-Guerrero, A. J., López, J., Pozo, S. y Fuentes, A. (2020). Influencia del contexto en el uso de dispositivos TIC en la Formación Profesional Básica. </w:t>
          </w:r>
          <w:r w:rsidRPr="00A36DD8">
            <w:rPr>
              <w:i/>
              <w:iCs/>
              <w:noProof/>
              <w:sz w:val="24"/>
              <w:szCs w:val="24"/>
            </w:rPr>
            <w:t>EDMETIC, Revista de Educación Mediática y TIC, 9</w:t>
          </w:r>
          <w:r w:rsidRPr="00A36DD8">
            <w:rPr>
              <w:noProof/>
              <w:sz w:val="24"/>
              <w:szCs w:val="24"/>
            </w:rPr>
            <w:t>(1), 149-169. https://doi.org/10.21071/edmetic.v9i1.12195</w:t>
          </w:r>
        </w:p>
        <w:p w14:paraId="1424EF62" w14:textId="77777777" w:rsidR="00D82134" w:rsidRPr="00A36DD8" w:rsidRDefault="00D82134" w:rsidP="00D82134">
          <w:pPr>
            <w:pStyle w:val="Bibliografa"/>
            <w:spacing w:line="360" w:lineRule="auto"/>
            <w:ind w:left="720" w:right="-11" w:hanging="720"/>
            <w:jc w:val="both"/>
            <w:rPr>
              <w:noProof/>
              <w:sz w:val="24"/>
              <w:szCs w:val="24"/>
              <w:lang w:val="en-US"/>
            </w:rPr>
          </w:pPr>
          <w:r w:rsidRPr="00A36DD8">
            <w:rPr>
              <w:bCs/>
              <w:noProof/>
              <w:sz w:val="24"/>
              <w:szCs w:val="24"/>
              <w:lang w:val="en-US"/>
            </w:rPr>
            <w:t>Naffi</w:t>
          </w:r>
          <w:r w:rsidRPr="00A36DD8">
            <w:rPr>
              <w:noProof/>
              <w:sz w:val="24"/>
              <w:szCs w:val="24"/>
              <w:lang w:val="en-US"/>
            </w:rPr>
            <w:t xml:space="preserve">, N. (2020). Disruption in and by Centres for Teaching and Learning During the COVID-19 Pandemic: Leading the Future of Higher. </w:t>
          </w:r>
          <w:r w:rsidRPr="00A36DD8">
            <w:rPr>
              <w:i/>
              <w:iCs/>
              <w:noProof/>
              <w:sz w:val="24"/>
              <w:szCs w:val="24"/>
              <w:lang w:val="en-US"/>
            </w:rPr>
            <w:t>L’Observatoire Internationale sur les Impacts Sociétaux de l’IA et du Numerique and the Government of Québec</w:t>
          </w:r>
          <w:r w:rsidRPr="00A36DD8">
            <w:rPr>
              <w:noProof/>
              <w:sz w:val="24"/>
              <w:szCs w:val="24"/>
              <w:lang w:val="en-US"/>
            </w:rPr>
            <w:t>. https://cutt.ly/6fQZibh</w:t>
          </w:r>
        </w:p>
        <w:p w14:paraId="68003D91" w14:textId="77777777" w:rsidR="00D82134" w:rsidRPr="00A36DD8" w:rsidRDefault="00D82134" w:rsidP="00D82134">
          <w:pPr>
            <w:pStyle w:val="Bibliografa"/>
            <w:spacing w:line="360" w:lineRule="auto"/>
            <w:ind w:left="720" w:right="-11" w:hanging="720"/>
            <w:jc w:val="both"/>
            <w:rPr>
              <w:noProof/>
              <w:sz w:val="24"/>
              <w:szCs w:val="24"/>
              <w:lang w:val="en-US"/>
            </w:rPr>
          </w:pPr>
          <w:r w:rsidRPr="00A36DD8">
            <w:rPr>
              <w:sz w:val="24"/>
              <w:szCs w:val="24"/>
            </w:rPr>
            <w:t>Organización de las Naciones Unidas</w:t>
          </w:r>
          <w:r w:rsidRPr="00A36DD8">
            <w:rPr>
              <w:bCs/>
              <w:noProof/>
              <w:sz w:val="24"/>
              <w:szCs w:val="24"/>
              <w:lang w:val="es-CO"/>
            </w:rPr>
            <w:t xml:space="preserve"> (ONU)</w:t>
          </w:r>
          <w:r w:rsidRPr="00A36DD8">
            <w:rPr>
              <w:noProof/>
              <w:sz w:val="24"/>
              <w:szCs w:val="24"/>
              <w:lang w:val="es-CO"/>
            </w:rPr>
            <w:t xml:space="preserve"> (2020). </w:t>
          </w:r>
          <w:r w:rsidRPr="00A36DD8">
            <w:rPr>
              <w:i/>
              <w:noProof/>
              <w:sz w:val="24"/>
              <w:szCs w:val="24"/>
              <w:lang w:val="en-US"/>
            </w:rPr>
            <w:t>Policy Brief: Education during COVID-19 and beyond.</w:t>
          </w:r>
          <w:r w:rsidRPr="00A36DD8">
            <w:rPr>
              <w:noProof/>
              <w:sz w:val="24"/>
              <w:szCs w:val="24"/>
              <w:lang w:val="en-US"/>
            </w:rPr>
            <w:t xml:space="preserve"> </w:t>
          </w:r>
          <w:r w:rsidRPr="00A36DD8">
            <w:rPr>
              <w:iCs/>
              <w:noProof/>
              <w:sz w:val="24"/>
              <w:szCs w:val="24"/>
              <w:lang w:val="en-US"/>
            </w:rPr>
            <w:t>United Nations</w:t>
          </w:r>
          <w:r w:rsidRPr="00A36DD8">
            <w:rPr>
              <w:noProof/>
              <w:sz w:val="24"/>
              <w:szCs w:val="24"/>
              <w:lang w:val="en-US"/>
            </w:rPr>
            <w:t>. https://www.un.org/development/desa/dspd/wp-content/uploads/sites/22/2020/08/sg_policy_brief_covid-19_and_education_august_2020.pdf</w:t>
          </w:r>
        </w:p>
        <w:p w14:paraId="6C46E201"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Otero</w:t>
          </w:r>
          <w:r w:rsidRPr="00A36DD8">
            <w:rPr>
              <w:noProof/>
              <w:sz w:val="24"/>
              <w:szCs w:val="24"/>
            </w:rPr>
            <w:t xml:space="preserve">, L. C. (2020). Herramientas digitales para la comunicación, la tele-docencia y la tele-orientación educativa en tiempos de COVID-19. </w:t>
          </w:r>
          <w:r w:rsidRPr="00A36DD8">
            <w:rPr>
              <w:i/>
              <w:iCs/>
              <w:noProof/>
              <w:sz w:val="24"/>
              <w:szCs w:val="24"/>
            </w:rPr>
            <w:t>AOSMA, 1</w:t>
          </w:r>
          <w:r w:rsidRPr="00A36DD8">
            <w:rPr>
              <w:noProof/>
              <w:sz w:val="24"/>
              <w:szCs w:val="24"/>
            </w:rPr>
            <w:t>, 92-111. http://aosma.es/wordpress/wp-content/uploads/2020/04/00_AOSMA_ESPECIAL.pdf</w:t>
          </w:r>
        </w:p>
        <w:p w14:paraId="765923A4" w14:textId="77777777" w:rsidR="00D82134" w:rsidRPr="00A36DD8" w:rsidRDefault="00D82134" w:rsidP="00D82134">
          <w:pPr>
            <w:pStyle w:val="Bibliografa"/>
            <w:spacing w:line="360" w:lineRule="auto"/>
            <w:ind w:left="720" w:right="-11" w:hanging="720"/>
            <w:jc w:val="both"/>
            <w:rPr>
              <w:noProof/>
              <w:sz w:val="24"/>
              <w:szCs w:val="24"/>
              <w:lang w:val="en-US"/>
            </w:rPr>
          </w:pPr>
          <w:r w:rsidRPr="00A36DD8">
            <w:rPr>
              <w:bCs/>
              <w:noProof/>
              <w:sz w:val="24"/>
              <w:szCs w:val="24"/>
            </w:rPr>
            <w:lastRenderedPageBreak/>
            <w:t>Otzen</w:t>
          </w:r>
          <w:r w:rsidRPr="00A36DD8">
            <w:rPr>
              <w:noProof/>
              <w:sz w:val="24"/>
              <w:szCs w:val="24"/>
            </w:rPr>
            <w:t xml:space="preserve">, T. y Manterola, C. (2017). Técnicas de muestreo sobre una población a estudio. </w:t>
          </w:r>
          <w:r w:rsidRPr="00A36DD8">
            <w:rPr>
              <w:i/>
              <w:iCs/>
              <w:noProof/>
              <w:sz w:val="24"/>
              <w:szCs w:val="24"/>
              <w:lang w:val="en-US"/>
            </w:rPr>
            <w:t>International Journal of Morphology, 35</w:t>
          </w:r>
          <w:r w:rsidRPr="00A36DD8">
            <w:rPr>
              <w:noProof/>
              <w:sz w:val="24"/>
              <w:szCs w:val="24"/>
              <w:lang w:val="en-US"/>
            </w:rPr>
            <w:t>(1), 227-232. https://dx.doi.org/10.4067/S0717-95022017000100037</w:t>
          </w:r>
        </w:p>
        <w:p w14:paraId="54B93E57"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lang w:val="en-US"/>
            </w:rPr>
            <w:t>Parra</w:t>
          </w:r>
          <w:r w:rsidRPr="00A36DD8">
            <w:rPr>
              <w:noProof/>
              <w:sz w:val="24"/>
              <w:szCs w:val="24"/>
              <w:lang w:val="en-US"/>
            </w:rPr>
            <w:t xml:space="preserve">, C. (2012). </w:t>
          </w:r>
          <w:r w:rsidRPr="00A36DD8">
            <w:rPr>
              <w:noProof/>
              <w:sz w:val="24"/>
              <w:szCs w:val="24"/>
            </w:rPr>
            <w:t xml:space="preserve">TIC, conocimiento, educación y competencias tecnológicas en la formación de maestros. </w:t>
          </w:r>
          <w:r w:rsidRPr="00A36DD8">
            <w:rPr>
              <w:i/>
              <w:iCs/>
              <w:noProof/>
              <w:sz w:val="24"/>
              <w:szCs w:val="24"/>
            </w:rPr>
            <w:t>Nómadas, 36</w:t>
          </w:r>
          <w:r w:rsidRPr="00A36DD8">
            <w:rPr>
              <w:noProof/>
              <w:sz w:val="24"/>
              <w:szCs w:val="24"/>
            </w:rPr>
            <w:t>, 145-159.</w:t>
          </w:r>
        </w:p>
        <w:p w14:paraId="619981DF"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Ritchey</w:t>
          </w:r>
          <w:r w:rsidRPr="00A36DD8">
            <w:rPr>
              <w:noProof/>
              <w:sz w:val="24"/>
              <w:szCs w:val="24"/>
            </w:rPr>
            <w:t xml:space="preserve">, F. (2006). </w:t>
          </w:r>
          <w:r w:rsidRPr="00A36DD8">
            <w:rPr>
              <w:i/>
              <w:noProof/>
              <w:sz w:val="24"/>
              <w:szCs w:val="24"/>
            </w:rPr>
            <w:t>Estadística para las ciencias sociales</w:t>
          </w:r>
          <w:r w:rsidRPr="00A36DD8">
            <w:rPr>
              <w:noProof/>
              <w:sz w:val="24"/>
              <w:szCs w:val="24"/>
            </w:rPr>
            <w:t xml:space="preserve"> (2.</w:t>
          </w:r>
          <w:r w:rsidRPr="00A36DD8">
            <w:rPr>
              <w:noProof/>
              <w:sz w:val="24"/>
              <w:szCs w:val="24"/>
              <w:vertAlign w:val="superscript"/>
            </w:rPr>
            <w:t>a</w:t>
          </w:r>
          <w:r w:rsidRPr="00A36DD8">
            <w:rPr>
              <w:noProof/>
              <w:sz w:val="24"/>
              <w:szCs w:val="24"/>
            </w:rPr>
            <w:t xml:space="preserve"> ed.). </w:t>
          </w:r>
          <w:r w:rsidRPr="00A36DD8">
            <w:rPr>
              <w:iCs/>
              <w:noProof/>
              <w:sz w:val="24"/>
              <w:szCs w:val="24"/>
            </w:rPr>
            <w:t>McGrawHill</w:t>
          </w:r>
          <w:r w:rsidRPr="00A36DD8">
            <w:rPr>
              <w:noProof/>
              <w:sz w:val="24"/>
              <w:szCs w:val="24"/>
            </w:rPr>
            <w:t>.</w:t>
          </w:r>
        </w:p>
        <w:p w14:paraId="591821ED" w14:textId="77777777" w:rsidR="00D82134" w:rsidRPr="00A36DD8" w:rsidRDefault="00D82134" w:rsidP="00D82134">
          <w:pPr>
            <w:pStyle w:val="Bibliografa"/>
            <w:spacing w:line="360" w:lineRule="auto"/>
            <w:ind w:left="720" w:right="-11" w:hanging="720"/>
            <w:jc w:val="both"/>
            <w:rPr>
              <w:noProof/>
              <w:sz w:val="24"/>
              <w:szCs w:val="24"/>
            </w:rPr>
          </w:pPr>
          <w:r w:rsidRPr="00A36DD8">
            <w:rPr>
              <w:bCs/>
              <w:noProof/>
              <w:sz w:val="24"/>
              <w:szCs w:val="24"/>
            </w:rPr>
            <w:t>Ruiz</w:t>
          </w:r>
          <w:r w:rsidRPr="00A36DD8">
            <w:rPr>
              <w:noProof/>
              <w:sz w:val="24"/>
              <w:szCs w:val="24"/>
            </w:rPr>
            <w:t xml:space="preserve">, C. (2002). </w:t>
          </w:r>
          <w:r w:rsidRPr="00A36DD8">
            <w:rPr>
              <w:i/>
              <w:noProof/>
              <w:sz w:val="24"/>
              <w:szCs w:val="24"/>
            </w:rPr>
            <w:t>Instrumentos de investigación educativa. Procedimientos para su diseño y validación</w:t>
          </w:r>
          <w:r w:rsidRPr="00A36DD8">
            <w:rPr>
              <w:i/>
              <w:iCs/>
              <w:noProof/>
              <w:sz w:val="24"/>
              <w:szCs w:val="24"/>
            </w:rPr>
            <w:t>.</w:t>
          </w:r>
          <w:r w:rsidRPr="00A36DD8">
            <w:rPr>
              <w:noProof/>
              <w:sz w:val="24"/>
              <w:szCs w:val="24"/>
            </w:rPr>
            <w:t xml:space="preserve"> </w:t>
          </w:r>
          <w:r w:rsidRPr="00A36DD8">
            <w:rPr>
              <w:iCs/>
              <w:noProof/>
              <w:sz w:val="24"/>
              <w:szCs w:val="24"/>
            </w:rPr>
            <w:t>CIDEG</w:t>
          </w:r>
          <w:r w:rsidRPr="00A36DD8">
            <w:rPr>
              <w:noProof/>
              <w:sz w:val="24"/>
              <w:szCs w:val="24"/>
            </w:rPr>
            <w:t>.</w:t>
          </w:r>
        </w:p>
        <w:p w14:paraId="0DDA59BE" w14:textId="1FF5E8CE" w:rsidR="00D82134" w:rsidRPr="00A36DD8" w:rsidRDefault="00D82134" w:rsidP="00D82134">
          <w:pPr>
            <w:pStyle w:val="Bibliografa"/>
            <w:spacing w:line="360" w:lineRule="auto"/>
            <w:ind w:left="720" w:right="-11" w:hanging="720"/>
            <w:jc w:val="both"/>
            <w:rPr>
              <w:noProof/>
              <w:sz w:val="24"/>
              <w:szCs w:val="24"/>
              <w:lang w:val="es-CO"/>
            </w:rPr>
          </w:pPr>
          <w:r w:rsidRPr="00A36DD8">
            <w:rPr>
              <w:bCs/>
              <w:noProof/>
              <w:sz w:val="24"/>
              <w:szCs w:val="24"/>
              <w:lang w:val="es-MX"/>
            </w:rPr>
            <w:t>Tennuto</w:t>
          </w:r>
          <w:r w:rsidRPr="00A36DD8">
            <w:rPr>
              <w:noProof/>
              <w:sz w:val="24"/>
              <w:szCs w:val="24"/>
              <w:lang w:val="es-MX"/>
            </w:rPr>
            <w:t xml:space="preserve">, A., Klinoff , M. y Boan , A. (2003). </w:t>
          </w:r>
          <w:r w:rsidRPr="00A36DD8">
            <w:rPr>
              <w:i/>
              <w:noProof/>
              <w:sz w:val="24"/>
              <w:szCs w:val="24"/>
            </w:rPr>
            <w:t xml:space="preserve">Escuela para </w:t>
          </w:r>
          <w:r w:rsidR="00A24543" w:rsidRPr="00A36DD8">
            <w:rPr>
              <w:i/>
              <w:noProof/>
              <w:sz w:val="24"/>
              <w:szCs w:val="24"/>
            </w:rPr>
            <w:t>m</w:t>
          </w:r>
          <w:r w:rsidRPr="00A36DD8">
            <w:rPr>
              <w:i/>
              <w:noProof/>
              <w:sz w:val="24"/>
              <w:szCs w:val="24"/>
            </w:rPr>
            <w:t xml:space="preserve">aestros. </w:t>
          </w:r>
          <w:r w:rsidRPr="00A36DD8">
            <w:rPr>
              <w:i/>
              <w:iCs/>
              <w:noProof/>
              <w:sz w:val="24"/>
              <w:szCs w:val="24"/>
            </w:rPr>
            <w:t xml:space="preserve">Enciclopedia de </w:t>
          </w:r>
          <w:r w:rsidR="00A24543" w:rsidRPr="00A36DD8">
            <w:rPr>
              <w:i/>
              <w:iCs/>
              <w:noProof/>
              <w:sz w:val="24"/>
              <w:szCs w:val="24"/>
            </w:rPr>
            <w:t>pedagogía práctica</w:t>
          </w:r>
          <w:r w:rsidRPr="00A36DD8">
            <w:rPr>
              <w:iCs/>
              <w:noProof/>
              <w:sz w:val="24"/>
              <w:szCs w:val="24"/>
            </w:rPr>
            <w:t xml:space="preserve">. </w:t>
          </w:r>
          <w:r w:rsidRPr="00A36DD8">
            <w:rPr>
              <w:iCs/>
              <w:noProof/>
              <w:sz w:val="24"/>
              <w:szCs w:val="24"/>
              <w:lang w:val="es-CO"/>
            </w:rPr>
            <w:t>Círculo Latino Austral. Lexus.</w:t>
          </w:r>
          <w:r w:rsidRPr="00A36DD8">
            <w:rPr>
              <w:noProof/>
              <w:sz w:val="24"/>
              <w:szCs w:val="24"/>
              <w:lang w:val="es-CO"/>
            </w:rPr>
            <w:t xml:space="preserve"> </w:t>
          </w:r>
        </w:p>
        <w:p w14:paraId="0CB17CEF" w14:textId="7A8FE2B9" w:rsidR="00D82134" w:rsidRPr="00A36DD8" w:rsidRDefault="00D82134" w:rsidP="00D82134">
          <w:pPr>
            <w:pStyle w:val="Bibliografa"/>
            <w:spacing w:line="360" w:lineRule="auto"/>
            <w:ind w:left="720" w:right="-11" w:hanging="720"/>
            <w:jc w:val="both"/>
            <w:rPr>
              <w:sz w:val="24"/>
              <w:szCs w:val="24"/>
              <w:lang w:val="en-US"/>
            </w:rPr>
          </w:pPr>
          <w:r w:rsidRPr="00A36DD8">
            <w:rPr>
              <w:bCs/>
              <w:noProof/>
              <w:sz w:val="24"/>
              <w:szCs w:val="24"/>
              <w:lang w:val="es-CO"/>
            </w:rPr>
            <w:t>Tinio</w:t>
          </w:r>
          <w:r w:rsidRPr="00A36DD8">
            <w:rPr>
              <w:noProof/>
              <w:sz w:val="24"/>
              <w:szCs w:val="24"/>
              <w:lang w:val="es-CO"/>
            </w:rPr>
            <w:t xml:space="preserve">, V. L. (2003). </w:t>
          </w:r>
          <w:r w:rsidRPr="00A36DD8">
            <w:rPr>
              <w:noProof/>
              <w:sz w:val="24"/>
              <w:szCs w:val="24"/>
              <w:lang w:val="en-US"/>
            </w:rPr>
            <w:t xml:space="preserve">ICT in education. </w:t>
          </w:r>
          <w:r w:rsidRPr="00A36DD8">
            <w:rPr>
              <w:i/>
              <w:iCs/>
              <w:noProof/>
              <w:sz w:val="24"/>
              <w:szCs w:val="24"/>
              <w:lang w:val="en-US"/>
            </w:rPr>
            <w:t>E-Primers for information economy, society and policy</w:t>
          </w:r>
          <w:r w:rsidRPr="00A36DD8">
            <w:rPr>
              <w:noProof/>
              <w:sz w:val="24"/>
              <w:szCs w:val="24"/>
              <w:lang w:val="en-US"/>
            </w:rPr>
            <w:t>. https://digitallibrary.un.org/record/524544</w:t>
          </w:r>
        </w:p>
      </w:sdtContent>
    </w:sdt>
    <w:p w14:paraId="10128510" w14:textId="77777777" w:rsidR="00D82134" w:rsidRPr="00150075" w:rsidRDefault="00D82134" w:rsidP="00D82134">
      <w:pPr>
        <w:pStyle w:val="Bibliografa"/>
        <w:spacing w:line="360" w:lineRule="auto"/>
        <w:ind w:left="720" w:right="-11" w:hanging="720"/>
        <w:jc w:val="both"/>
        <w:rPr>
          <w:noProof/>
          <w:sz w:val="24"/>
          <w:szCs w:val="24"/>
          <w:lang w:val="en-US"/>
        </w:rPr>
      </w:pPr>
      <w:r w:rsidRPr="00A36DD8">
        <w:rPr>
          <w:bCs/>
          <w:noProof/>
          <w:sz w:val="24"/>
          <w:szCs w:val="24"/>
          <w:lang w:val="es-MX"/>
        </w:rPr>
        <w:t>Zuluaga</w:t>
      </w:r>
      <w:r w:rsidRPr="00A36DD8">
        <w:rPr>
          <w:noProof/>
          <w:sz w:val="24"/>
          <w:szCs w:val="24"/>
          <w:lang w:val="es-MX"/>
        </w:rPr>
        <w:t xml:space="preserve">-Gómez, M. y Valencia-Ortiz, N. L. (2021). Educación en facultades de medicina del mundo durante el periodo de contingencia por SARS-COV-2. </w:t>
      </w:r>
      <w:r w:rsidRPr="00A36DD8">
        <w:rPr>
          <w:i/>
          <w:iCs/>
          <w:noProof/>
          <w:sz w:val="24"/>
          <w:szCs w:val="24"/>
          <w:lang w:val="en-US"/>
        </w:rPr>
        <w:t>MedUNAB</w:t>
      </w:r>
      <w:r w:rsidRPr="00A36DD8">
        <w:rPr>
          <w:noProof/>
          <w:sz w:val="24"/>
          <w:szCs w:val="24"/>
          <w:lang w:val="en-US"/>
        </w:rPr>
        <w:t xml:space="preserve">, </w:t>
      </w:r>
      <w:r w:rsidRPr="00A36DD8">
        <w:rPr>
          <w:i/>
          <w:noProof/>
          <w:sz w:val="24"/>
          <w:szCs w:val="24"/>
          <w:lang w:val="en-US"/>
        </w:rPr>
        <w:t>24</w:t>
      </w:r>
      <w:r w:rsidRPr="00A36DD8">
        <w:rPr>
          <w:noProof/>
          <w:sz w:val="24"/>
          <w:szCs w:val="24"/>
          <w:lang w:val="en-US"/>
        </w:rPr>
        <w:t>(1), 92-99. https://doi.org/10.29375/01237047.3942</w:t>
      </w:r>
      <w:r w:rsidRPr="00150075">
        <w:rPr>
          <w:noProof/>
          <w:sz w:val="24"/>
          <w:szCs w:val="24"/>
          <w:lang w:val="en-US"/>
        </w:rPr>
        <w:t xml:space="preserve"> </w:t>
      </w:r>
    </w:p>
    <w:p w14:paraId="31877F0B" w14:textId="77777777" w:rsidR="00D82134" w:rsidRPr="00150075" w:rsidRDefault="00D82134" w:rsidP="00D82134">
      <w:pPr>
        <w:jc w:val="both"/>
      </w:pPr>
    </w:p>
    <w:p w14:paraId="77366DA0" w14:textId="77777777" w:rsidR="00D82134" w:rsidRDefault="00D82134" w:rsidP="00D91EFE">
      <w:pPr>
        <w:pStyle w:val="Textoindependiente"/>
        <w:spacing w:line="360" w:lineRule="auto"/>
        <w:ind w:right="-12"/>
        <w:jc w:val="center"/>
        <w:rPr>
          <w:b/>
          <w:bCs/>
          <w:sz w:val="32"/>
          <w:szCs w:val="32"/>
        </w:rPr>
      </w:pPr>
    </w:p>
    <w:p w14:paraId="7CCE5DC0" w14:textId="77777777" w:rsidR="005B25D9" w:rsidRDefault="005B25D9" w:rsidP="00D91EFE">
      <w:pPr>
        <w:pStyle w:val="Textoindependiente"/>
        <w:spacing w:line="360" w:lineRule="auto"/>
        <w:ind w:right="-12"/>
        <w:jc w:val="center"/>
        <w:rPr>
          <w:b/>
          <w:bCs/>
          <w:sz w:val="32"/>
          <w:szCs w:val="32"/>
        </w:rPr>
      </w:pPr>
    </w:p>
    <w:p w14:paraId="67186626" w14:textId="77777777" w:rsidR="005B25D9" w:rsidRDefault="005B25D9" w:rsidP="00D91EFE">
      <w:pPr>
        <w:pStyle w:val="Textoindependiente"/>
        <w:spacing w:line="360" w:lineRule="auto"/>
        <w:ind w:right="-12"/>
        <w:jc w:val="center"/>
        <w:rPr>
          <w:b/>
          <w:bCs/>
          <w:sz w:val="32"/>
          <w:szCs w:val="32"/>
        </w:rPr>
      </w:pPr>
    </w:p>
    <w:p w14:paraId="43C020AB" w14:textId="77777777" w:rsidR="005B25D9" w:rsidRDefault="005B25D9" w:rsidP="00D91EFE">
      <w:pPr>
        <w:pStyle w:val="Textoindependiente"/>
        <w:spacing w:line="360" w:lineRule="auto"/>
        <w:ind w:right="-12"/>
        <w:jc w:val="center"/>
        <w:rPr>
          <w:b/>
          <w:bCs/>
          <w:sz w:val="32"/>
          <w:szCs w:val="32"/>
        </w:rPr>
      </w:pPr>
    </w:p>
    <w:p w14:paraId="1A3885E9" w14:textId="77777777" w:rsidR="005B25D9" w:rsidRDefault="005B25D9" w:rsidP="00D91EFE">
      <w:pPr>
        <w:pStyle w:val="Textoindependiente"/>
        <w:spacing w:line="360" w:lineRule="auto"/>
        <w:ind w:right="-12"/>
        <w:jc w:val="center"/>
        <w:rPr>
          <w:b/>
          <w:bCs/>
          <w:sz w:val="32"/>
          <w:szCs w:val="32"/>
        </w:rPr>
      </w:pPr>
    </w:p>
    <w:p w14:paraId="1826ECA7" w14:textId="77777777" w:rsidR="005B25D9" w:rsidRDefault="005B25D9" w:rsidP="00D91EFE">
      <w:pPr>
        <w:pStyle w:val="Textoindependiente"/>
        <w:spacing w:line="360" w:lineRule="auto"/>
        <w:ind w:right="-12"/>
        <w:jc w:val="center"/>
        <w:rPr>
          <w:b/>
          <w:bCs/>
          <w:sz w:val="32"/>
          <w:szCs w:val="32"/>
        </w:rPr>
      </w:pPr>
    </w:p>
    <w:p w14:paraId="59958AF2" w14:textId="77777777" w:rsidR="005B25D9" w:rsidRDefault="005B25D9" w:rsidP="00D91EFE">
      <w:pPr>
        <w:pStyle w:val="Textoindependiente"/>
        <w:spacing w:line="360" w:lineRule="auto"/>
        <w:ind w:right="-12"/>
        <w:jc w:val="center"/>
        <w:rPr>
          <w:b/>
          <w:bCs/>
          <w:sz w:val="32"/>
          <w:szCs w:val="32"/>
        </w:rPr>
      </w:pPr>
    </w:p>
    <w:p w14:paraId="7CD39BAA" w14:textId="77777777" w:rsidR="005B25D9" w:rsidRDefault="005B25D9" w:rsidP="00D91EFE">
      <w:pPr>
        <w:pStyle w:val="Textoindependiente"/>
        <w:spacing w:line="360" w:lineRule="auto"/>
        <w:ind w:right="-12"/>
        <w:jc w:val="center"/>
        <w:rPr>
          <w:b/>
          <w:bCs/>
          <w:sz w:val="32"/>
          <w:szCs w:val="32"/>
        </w:rPr>
      </w:pPr>
    </w:p>
    <w:p w14:paraId="0F9E2C91" w14:textId="77777777" w:rsidR="005B25D9" w:rsidRDefault="005B25D9" w:rsidP="00D91EFE">
      <w:pPr>
        <w:pStyle w:val="Textoindependiente"/>
        <w:spacing w:line="360" w:lineRule="auto"/>
        <w:ind w:right="-12"/>
        <w:jc w:val="center"/>
        <w:rPr>
          <w:b/>
          <w:bCs/>
          <w:sz w:val="32"/>
          <w:szCs w:val="32"/>
        </w:rPr>
      </w:pPr>
    </w:p>
    <w:p w14:paraId="723BB8D3" w14:textId="77777777" w:rsidR="005B25D9" w:rsidRDefault="005B25D9" w:rsidP="00D91EFE">
      <w:pPr>
        <w:pStyle w:val="Textoindependiente"/>
        <w:spacing w:line="360" w:lineRule="auto"/>
        <w:ind w:right="-12"/>
        <w:jc w:val="center"/>
        <w:rPr>
          <w:b/>
          <w:bCs/>
          <w:sz w:val="32"/>
          <w:szCs w:val="32"/>
        </w:rPr>
      </w:pPr>
    </w:p>
    <w:p w14:paraId="2AB4D42C" w14:textId="77777777" w:rsidR="005B25D9" w:rsidRDefault="005B25D9" w:rsidP="00D91EFE">
      <w:pPr>
        <w:pStyle w:val="Textoindependiente"/>
        <w:spacing w:line="360" w:lineRule="auto"/>
        <w:ind w:right="-12"/>
        <w:jc w:val="center"/>
        <w:rPr>
          <w:b/>
          <w:bCs/>
          <w:sz w:val="32"/>
          <w:szCs w:val="32"/>
        </w:rPr>
      </w:pPr>
    </w:p>
    <w:p w14:paraId="03902A3B" w14:textId="77777777" w:rsidR="005B25D9" w:rsidRDefault="005B25D9" w:rsidP="00D91EFE">
      <w:pPr>
        <w:pStyle w:val="Textoindependiente"/>
        <w:spacing w:line="360" w:lineRule="auto"/>
        <w:ind w:right="-12"/>
        <w:jc w:val="center"/>
        <w:rPr>
          <w:b/>
          <w:bCs/>
          <w:sz w:val="32"/>
          <w:szCs w:val="32"/>
        </w:rPr>
      </w:pPr>
    </w:p>
    <w:p w14:paraId="372D473F" w14:textId="77777777" w:rsidR="005B25D9" w:rsidRDefault="005B25D9" w:rsidP="00D91EFE">
      <w:pPr>
        <w:pStyle w:val="Textoindependiente"/>
        <w:spacing w:line="360" w:lineRule="auto"/>
        <w:ind w:right="-12"/>
        <w:jc w:val="center"/>
        <w:rPr>
          <w:b/>
          <w:bCs/>
          <w:sz w:val="32"/>
          <w:szCs w:val="32"/>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B25D9" w:rsidRPr="005B25D9" w14:paraId="65D55EC8" w14:textId="77777777" w:rsidTr="005B25D9">
        <w:trPr>
          <w:jc w:val="center"/>
        </w:trPr>
        <w:tc>
          <w:tcPr>
            <w:tcW w:w="3045" w:type="dxa"/>
            <w:shd w:val="clear" w:color="auto" w:fill="auto"/>
            <w:tcMar>
              <w:top w:w="100" w:type="dxa"/>
              <w:left w:w="100" w:type="dxa"/>
              <w:bottom w:w="100" w:type="dxa"/>
              <w:right w:w="100" w:type="dxa"/>
            </w:tcMar>
          </w:tcPr>
          <w:p w14:paraId="2FBAE243" w14:textId="77777777" w:rsidR="005B25D9" w:rsidRPr="005B25D9" w:rsidRDefault="005B25D9" w:rsidP="007704CA">
            <w:pPr>
              <w:pStyle w:val="Ttulo3"/>
              <w:spacing w:before="0"/>
              <w:rPr>
                <w:rFonts w:ascii="Times New Roman" w:hAnsi="Times New Roman" w:cs="Times New Roman"/>
                <w:color w:val="auto"/>
                <w:lang w:val="es-MX"/>
              </w:rPr>
            </w:pPr>
            <w:r w:rsidRPr="005B25D9">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2F86EA40" w14:textId="42AB58D7" w:rsidR="005B25D9" w:rsidRPr="005B25D9" w:rsidRDefault="005B25D9" w:rsidP="007704CA">
            <w:pPr>
              <w:pStyle w:val="Ttulo3"/>
              <w:spacing w:before="0"/>
              <w:rPr>
                <w:rFonts w:ascii="Times New Roman" w:hAnsi="Times New Roman" w:cs="Times New Roman"/>
                <w:color w:val="auto"/>
                <w:lang w:val="es-MX"/>
              </w:rPr>
            </w:pPr>
            <w:bookmarkStart w:id="0" w:name="_btsjgdfgjwkr" w:colFirst="0" w:colLast="0"/>
            <w:bookmarkEnd w:id="0"/>
            <w:r w:rsidRPr="005B25D9">
              <w:rPr>
                <w:rFonts w:ascii="Times New Roman" w:hAnsi="Times New Roman" w:cs="Times New Roman"/>
                <w:color w:val="auto"/>
                <w:lang w:val="es-MX"/>
              </w:rPr>
              <w:t>Autor (es)</w:t>
            </w:r>
          </w:p>
        </w:tc>
      </w:tr>
      <w:tr w:rsidR="005B25D9" w:rsidRPr="005B25D9" w14:paraId="50E07186" w14:textId="77777777" w:rsidTr="005B25D9">
        <w:trPr>
          <w:jc w:val="center"/>
        </w:trPr>
        <w:tc>
          <w:tcPr>
            <w:tcW w:w="3045" w:type="dxa"/>
            <w:shd w:val="clear" w:color="auto" w:fill="auto"/>
            <w:tcMar>
              <w:top w:w="100" w:type="dxa"/>
              <w:left w:w="100" w:type="dxa"/>
              <w:bottom w:w="100" w:type="dxa"/>
              <w:right w:w="100" w:type="dxa"/>
            </w:tcMar>
          </w:tcPr>
          <w:p w14:paraId="45A20E13" w14:textId="77777777" w:rsidR="005B25D9" w:rsidRPr="005B25D9" w:rsidRDefault="005B25D9" w:rsidP="007704CA">
            <w:pPr>
              <w:rPr>
                <w:sz w:val="24"/>
                <w:szCs w:val="24"/>
                <w:lang w:val="es-MX"/>
              </w:rPr>
            </w:pPr>
            <w:r w:rsidRPr="005B25D9">
              <w:rPr>
                <w:sz w:val="24"/>
                <w:szCs w:val="24"/>
                <w:lang w:val="es-MX"/>
              </w:rPr>
              <w:t>Conceptualización</w:t>
            </w:r>
          </w:p>
        </w:tc>
        <w:tc>
          <w:tcPr>
            <w:tcW w:w="6315" w:type="dxa"/>
            <w:shd w:val="clear" w:color="auto" w:fill="auto"/>
            <w:tcMar>
              <w:top w:w="100" w:type="dxa"/>
              <w:left w:w="100" w:type="dxa"/>
              <w:bottom w:w="100" w:type="dxa"/>
              <w:right w:w="100" w:type="dxa"/>
            </w:tcMar>
          </w:tcPr>
          <w:p w14:paraId="7502CC8F" w14:textId="77777777" w:rsidR="005B25D9" w:rsidRPr="005B25D9" w:rsidRDefault="005B25D9" w:rsidP="007704CA">
            <w:pPr>
              <w:rPr>
                <w:sz w:val="24"/>
                <w:szCs w:val="24"/>
              </w:rPr>
            </w:pPr>
            <w:r w:rsidRPr="005B25D9">
              <w:rPr>
                <w:sz w:val="24"/>
                <w:szCs w:val="24"/>
              </w:rPr>
              <w:t>Julio César Macías Villarreal (principal)</w:t>
            </w:r>
          </w:p>
          <w:p w14:paraId="3701888E" w14:textId="18687B1E" w:rsidR="005B25D9" w:rsidRPr="005B25D9" w:rsidRDefault="005B25D9" w:rsidP="005B25D9">
            <w:pPr>
              <w:ind w:left="-17"/>
              <w:rPr>
                <w:sz w:val="24"/>
                <w:szCs w:val="24"/>
              </w:rPr>
            </w:pPr>
            <w:r w:rsidRPr="005B25D9">
              <w:rPr>
                <w:sz w:val="24"/>
                <w:szCs w:val="24"/>
              </w:rPr>
              <w:t>Hugo Isaías Molina-Montalvo (apoya)</w:t>
            </w:r>
          </w:p>
        </w:tc>
      </w:tr>
      <w:tr w:rsidR="005B25D9" w:rsidRPr="005B25D9" w14:paraId="642E929E" w14:textId="77777777" w:rsidTr="005B25D9">
        <w:trPr>
          <w:jc w:val="center"/>
        </w:trPr>
        <w:tc>
          <w:tcPr>
            <w:tcW w:w="3045" w:type="dxa"/>
            <w:shd w:val="clear" w:color="auto" w:fill="auto"/>
            <w:tcMar>
              <w:top w:w="100" w:type="dxa"/>
              <w:left w:w="100" w:type="dxa"/>
              <w:bottom w:w="100" w:type="dxa"/>
              <w:right w:w="100" w:type="dxa"/>
            </w:tcMar>
          </w:tcPr>
          <w:p w14:paraId="4D6FF586" w14:textId="77777777" w:rsidR="005B25D9" w:rsidRPr="005B25D9" w:rsidRDefault="005B25D9" w:rsidP="007704CA">
            <w:pPr>
              <w:rPr>
                <w:sz w:val="24"/>
                <w:szCs w:val="24"/>
                <w:lang w:val="es-MX"/>
              </w:rPr>
            </w:pPr>
            <w:r w:rsidRPr="005B25D9">
              <w:rPr>
                <w:sz w:val="24"/>
                <w:szCs w:val="24"/>
                <w:lang w:val="es-MX"/>
              </w:rPr>
              <w:t>Metodología</w:t>
            </w:r>
          </w:p>
        </w:tc>
        <w:tc>
          <w:tcPr>
            <w:tcW w:w="6315" w:type="dxa"/>
            <w:shd w:val="clear" w:color="auto" w:fill="auto"/>
            <w:tcMar>
              <w:top w:w="100" w:type="dxa"/>
              <w:left w:w="100" w:type="dxa"/>
              <w:bottom w:w="100" w:type="dxa"/>
              <w:right w:w="100" w:type="dxa"/>
            </w:tcMar>
          </w:tcPr>
          <w:p w14:paraId="5B2AF955" w14:textId="77777777" w:rsidR="005B25D9" w:rsidRPr="005B25D9" w:rsidRDefault="005B25D9" w:rsidP="007704CA">
            <w:pPr>
              <w:ind w:left="-17"/>
              <w:rPr>
                <w:sz w:val="24"/>
                <w:szCs w:val="24"/>
              </w:rPr>
            </w:pPr>
            <w:r w:rsidRPr="005B25D9">
              <w:rPr>
                <w:sz w:val="24"/>
                <w:szCs w:val="24"/>
              </w:rPr>
              <w:t>Julio César Macías Villarreal (apoya)</w:t>
            </w:r>
          </w:p>
          <w:p w14:paraId="1AAC220D" w14:textId="77777777" w:rsidR="005B25D9" w:rsidRPr="005B25D9" w:rsidRDefault="005B25D9" w:rsidP="007704CA">
            <w:pPr>
              <w:ind w:left="-17"/>
              <w:rPr>
                <w:sz w:val="24"/>
                <w:szCs w:val="24"/>
              </w:rPr>
            </w:pPr>
            <w:r w:rsidRPr="005B25D9">
              <w:rPr>
                <w:sz w:val="24"/>
                <w:szCs w:val="24"/>
              </w:rPr>
              <w:t>Hugo Isaías Molina-Montalvo (principal)</w:t>
            </w:r>
          </w:p>
          <w:p w14:paraId="7FCFDBC2" w14:textId="7B47FE25" w:rsidR="005B25D9" w:rsidRPr="005B25D9" w:rsidRDefault="005B25D9" w:rsidP="005B25D9">
            <w:pPr>
              <w:ind w:left="-17"/>
              <w:rPr>
                <w:sz w:val="24"/>
                <w:szCs w:val="24"/>
              </w:rPr>
            </w:pPr>
            <w:r w:rsidRPr="005B25D9">
              <w:rPr>
                <w:sz w:val="24"/>
                <w:szCs w:val="24"/>
              </w:rPr>
              <w:t>José Refugio Castro López (apoya)</w:t>
            </w:r>
          </w:p>
        </w:tc>
      </w:tr>
      <w:tr w:rsidR="005B25D9" w:rsidRPr="005B25D9" w14:paraId="5C82D6FD" w14:textId="77777777" w:rsidTr="005B25D9">
        <w:trPr>
          <w:jc w:val="center"/>
        </w:trPr>
        <w:tc>
          <w:tcPr>
            <w:tcW w:w="3045" w:type="dxa"/>
            <w:shd w:val="clear" w:color="auto" w:fill="auto"/>
            <w:tcMar>
              <w:top w:w="100" w:type="dxa"/>
              <w:left w:w="100" w:type="dxa"/>
              <w:bottom w:w="100" w:type="dxa"/>
              <w:right w:w="100" w:type="dxa"/>
            </w:tcMar>
          </w:tcPr>
          <w:p w14:paraId="69BB9C06" w14:textId="77777777" w:rsidR="005B25D9" w:rsidRPr="005B25D9" w:rsidRDefault="005B25D9" w:rsidP="007704CA">
            <w:pPr>
              <w:rPr>
                <w:sz w:val="24"/>
                <w:szCs w:val="24"/>
                <w:lang w:val="es-MX"/>
              </w:rPr>
            </w:pPr>
            <w:r w:rsidRPr="005B25D9">
              <w:rPr>
                <w:sz w:val="24"/>
                <w:szCs w:val="24"/>
                <w:lang w:val="es-MX"/>
              </w:rPr>
              <w:t>Software</w:t>
            </w:r>
          </w:p>
        </w:tc>
        <w:tc>
          <w:tcPr>
            <w:tcW w:w="6315" w:type="dxa"/>
            <w:shd w:val="clear" w:color="auto" w:fill="auto"/>
            <w:tcMar>
              <w:top w:w="100" w:type="dxa"/>
              <w:left w:w="100" w:type="dxa"/>
              <w:bottom w:w="100" w:type="dxa"/>
              <w:right w:w="100" w:type="dxa"/>
            </w:tcMar>
          </w:tcPr>
          <w:p w14:paraId="69722F06" w14:textId="13EDBFE4" w:rsidR="005B25D9" w:rsidRPr="005B25D9" w:rsidRDefault="005B25D9" w:rsidP="005B25D9">
            <w:pPr>
              <w:ind w:left="-17"/>
              <w:rPr>
                <w:sz w:val="24"/>
                <w:szCs w:val="24"/>
              </w:rPr>
            </w:pPr>
            <w:r w:rsidRPr="005B25D9">
              <w:rPr>
                <w:sz w:val="24"/>
                <w:szCs w:val="24"/>
                <w:lang w:val="es-MX"/>
              </w:rPr>
              <w:t>N/A</w:t>
            </w:r>
          </w:p>
        </w:tc>
      </w:tr>
      <w:tr w:rsidR="005B25D9" w:rsidRPr="005B25D9" w14:paraId="0738E5D1" w14:textId="77777777" w:rsidTr="005B25D9">
        <w:trPr>
          <w:jc w:val="center"/>
        </w:trPr>
        <w:tc>
          <w:tcPr>
            <w:tcW w:w="3045" w:type="dxa"/>
            <w:shd w:val="clear" w:color="auto" w:fill="auto"/>
            <w:tcMar>
              <w:top w:w="100" w:type="dxa"/>
              <w:left w:w="100" w:type="dxa"/>
              <w:bottom w:w="100" w:type="dxa"/>
              <w:right w:w="100" w:type="dxa"/>
            </w:tcMar>
          </w:tcPr>
          <w:p w14:paraId="227E91A3" w14:textId="77777777" w:rsidR="005B25D9" w:rsidRPr="005B25D9" w:rsidRDefault="005B25D9" w:rsidP="007704CA">
            <w:pPr>
              <w:rPr>
                <w:sz w:val="24"/>
                <w:szCs w:val="24"/>
                <w:lang w:val="es-MX"/>
              </w:rPr>
            </w:pPr>
            <w:r w:rsidRPr="005B25D9">
              <w:rPr>
                <w:sz w:val="24"/>
                <w:szCs w:val="24"/>
                <w:lang w:val="es-MX"/>
              </w:rPr>
              <w:t>Validación</w:t>
            </w:r>
          </w:p>
        </w:tc>
        <w:tc>
          <w:tcPr>
            <w:tcW w:w="6315" w:type="dxa"/>
            <w:shd w:val="clear" w:color="auto" w:fill="auto"/>
            <w:tcMar>
              <w:top w:w="100" w:type="dxa"/>
              <w:left w:w="100" w:type="dxa"/>
              <w:bottom w:w="100" w:type="dxa"/>
              <w:right w:w="100" w:type="dxa"/>
            </w:tcMar>
          </w:tcPr>
          <w:p w14:paraId="6CA5D901" w14:textId="77777777" w:rsidR="005B25D9" w:rsidRPr="005B25D9" w:rsidRDefault="005B25D9" w:rsidP="007704CA">
            <w:pPr>
              <w:ind w:left="-17"/>
              <w:rPr>
                <w:sz w:val="24"/>
                <w:szCs w:val="24"/>
              </w:rPr>
            </w:pPr>
            <w:r w:rsidRPr="005B25D9">
              <w:rPr>
                <w:sz w:val="24"/>
                <w:szCs w:val="24"/>
              </w:rPr>
              <w:t>Julio César Macías Villarreal (igual)</w:t>
            </w:r>
          </w:p>
          <w:p w14:paraId="3182DD72" w14:textId="77777777" w:rsidR="005B25D9" w:rsidRPr="005B25D9" w:rsidRDefault="005B25D9" w:rsidP="007704CA">
            <w:pPr>
              <w:ind w:left="-17"/>
              <w:rPr>
                <w:sz w:val="24"/>
                <w:szCs w:val="24"/>
              </w:rPr>
            </w:pPr>
            <w:r w:rsidRPr="005B25D9">
              <w:rPr>
                <w:sz w:val="24"/>
                <w:szCs w:val="24"/>
              </w:rPr>
              <w:t>Hugo Isaías Molina-Montalvo (igual)</w:t>
            </w:r>
          </w:p>
          <w:p w14:paraId="4505B68C" w14:textId="2A1AE64E" w:rsidR="005B25D9" w:rsidRPr="005B25D9" w:rsidRDefault="005B25D9" w:rsidP="005B25D9">
            <w:pPr>
              <w:ind w:left="-17"/>
              <w:rPr>
                <w:sz w:val="24"/>
                <w:szCs w:val="24"/>
              </w:rPr>
            </w:pPr>
            <w:r w:rsidRPr="005B25D9">
              <w:rPr>
                <w:sz w:val="24"/>
                <w:szCs w:val="24"/>
              </w:rPr>
              <w:t>José Refugio Castro López (igual)</w:t>
            </w:r>
          </w:p>
        </w:tc>
      </w:tr>
      <w:tr w:rsidR="005B25D9" w:rsidRPr="005B25D9" w14:paraId="2EA21150" w14:textId="77777777" w:rsidTr="005B25D9">
        <w:trPr>
          <w:jc w:val="center"/>
        </w:trPr>
        <w:tc>
          <w:tcPr>
            <w:tcW w:w="3045" w:type="dxa"/>
            <w:shd w:val="clear" w:color="auto" w:fill="auto"/>
            <w:tcMar>
              <w:top w:w="100" w:type="dxa"/>
              <w:left w:w="100" w:type="dxa"/>
              <w:bottom w:w="100" w:type="dxa"/>
              <w:right w:w="100" w:type="dxa"/>
            </w:tcMar>
          </w:tcPr>
          <w:p w14:paraId="2CD524F2" w14:textId="77777777" w:rsidR="005B25D9" w:rsidRPr="005B25D9" w:rsidRDefault="005B25D9" w:rsidP="007704CA">
            <w:pPr>
              <w:rPr>
                <w:sz w:val="24"/>
                <w:szCs w:val="24"/>
                <w:lang w:val="es-MX"/>
              </w:rPr>
            </w:pPr>
            <w:r w:rsidRPr="005B25D9">
              <w:rPr>
                <w:sz w:val="24"/>
                <w:szCs w:val="24"/>
                <w:lang w:val="es-MX"/>
              </w:rPr>
              <w:t>Análisis Formal</w:t>
            </w:r>
          </w:p>
        </w:tc>
        <w:tc>
          <w:tcPr>
            <w:tcW w:w="6315" w:type="dxa"/>
            <w:shd w:val="clear" w:color="auto" w:fill="auto"/>
            <w:tcMar>
              <w:top w:w="100" w:type="dxa"/>
              <w:left w:w="100" w:type="dxa"/>
              <w:bottom w:w="100" w:type="dxa"/>
              <w:right w:w="100" w:type="dxa"/>
            </w:tcMar>
          </w:tcPr>
          <w:p w14:paraId="07F71D3A" w14:textId="77777777" w:rsidR="005B25D9" w:rsidRPr="005B25D9" w:rsidRDefault="005B25D9" w:rsidP="007704CA">
            <w:pPr>
              <w:ind w:left="-17"/>
              <w:rPr>
                <w:sz w:val="24"/>
                <w:szCs w:val="24"/>
              </w:rPr>
            </w:pPr>
            <w:r w:rsidRPr="005B25D9">
              <w:rPr>
                <w:sz w:val="24"/>
                <w:szCs w:val="24"/>
              </w:rPr>
              <w:t xml:space="preserve">Julio César Macías Villarreal (principal) </w:t>
            </w:r>
          </w:p>
          <w:p w14:paraId="2E28EE39" w14:textId="77777777" w:rsidR="005B25D9" w:rsidRPr="005B25D9" w:rsidRDefault="005B25D9" w:rsidP="007704CA">
            <w:pPr>
              <w:ind w:left="-17"/>
              <w:rPr>
                <w:sz w:val="24"/>
                <w:szCs w:val="24"/>
              </w:rPr>
            </w:pPr>
            <w:r w:rsidRPr="005B25D9">
              <w:rPr>
                <w:sz w:val="24"/>
                <w:szCs w:val="24"/>
              </w:rPr>
              <w:t>Hugo Isaías Molina-Montalvo (apoya)</w:t>
            </w:r>
          </w:p>
          <w:p w14:paraId="234524D0" w14:textId="183EB7DF" w:rsidR="005B25D9" w:rsidRPr="005B25D9" w:rsidRDefault="005B25D9" w:rsidP="005B25D9">
            <w:pPr>
              <w:ind w:left="-17"/>
              <w:rPr>
                <w:sz w:val="24"/>
                <w:szCs w:val="24"/>
              </w:rPr>
            </w:pPr>
            <w:r w:rsidRPr="005B25D9">
              <w:rPr>
                <w:sz w:val="24"/>
                <w:szCs w:val="24"/>
              </w:rPr>
              <w:t>José Refugio Castro López (apoya)</w:t>
            </w:r>
          </w:p>
        </w:tc>
      </w:tr>
      <w:tr w:rsidR="005B25D9" w:rsidRPr="005B25D9" w14:paraId="480D229F" w14:textId="77777777" w:rsidTr="005B25D9">
        <w:trPr>
          <w:jc w:val="center"/>
        </w:trPr>
        <w:tc>
          <w:tcPr>
            <w:tcW w:w="3045" w:type="dxa"/>
            <w:shd w:val="clear" w:color="auto" w:fill="auto"/>
            <w:tcMar>
              <w:top w:w="100" w:type="dxa"/>
              <w:left w:w="100" w:type="dxa"/>
              <w:bottom w:w="100" w:type="dxa"/>
              <w:right w:w="100" w:type="dxa"/>
            </w:tcMar>
          </w:tcPr>
          <w:p w14:paraId="1A7EE40F" w14:textId="77777777" w:rsidR="005B25D9" w:rsidRPr="005B25D9" w:rsidRDefault="005B25D9" w:rsidP="007704CA">
            <w:pPr>
              <w:rPr>
                <w:sz w:val="24"/>
                <w:szCs w:val="24"/>
                <w:lang w:val="es-MX"/>
              </w:rPr>
            </w:pPr>
            <w:r w:rsidRPr="005B25D9">
              <w:rPr>
                <w:sz w:val="24"/>
                <w:szCs w:val="24"/>
                <w:lang w:val="es-MX"/>
              </w:rPr>
              <w:t>Investigación</w:t>
            </w:r>
          </w:p>
        </w:tc>
        <w:tc>
          <w:tcPr>
            <w:tcW w:w="6315" w:type="dxa"/>
            <w:shd w:val="clear" w:color="auto" w:fill="auto"/>
            <w:tcMar>
              <w:top w:w="100" w:type="dxa"/>
              <w:left w:w="100" w:type="dxa"/>
              <w:bottom w:w="100" w:type="dxa"/>
              <w:right w:w="100" w:type="dxa"/>
            </w:tcMar>
          </w:tcPr>
          <w:p w14:paraId="10FFDD8E" w14:textId="77777777" w:rsidR="005B25D9" w:rsidRPr="005B25D9" w:rsidRDefault="005B25D9" w:rsidP="007704CA">
            <w:pPr>
              <w:ind w:left="-17"/>
              <w:rPr>
                <w:sz w:val="24"/>
                <w:szCs w:val="24"/>
              </w:rPr>
            </w:pPr>
            <w:r w:rsidRPr="005B25D9">
              <w:rPr>
                <w:sz w:val="24"/>
                <w:szCs w:val="24"/>
              </w:rPr>
              <w:t>Julio César Macías Villarreal (igual)</w:t>
            </w:r>
          </w:p>
          <w:p w14:paraId="42E35CB7" w14:textId="77777777" w:rsidR="005B25D9" w:rsidRPr="005B25D9" w:rsidRDefault="005B25D9" w:rsidP="007704CA">
            <w:pPr>
              <w:ind w:left="-17"/>
              <w:rPr>
                <w:sz w:val="24"/>
                <w:szCs w:val="24"/>
              </w:rPr>
            </w:pPr>
            <w:r w:rsidRPr="005B25D9">
              <w:rPr>
                <w:sz w:val="24"/>
                <w:szCs w:val="24"/>
              </w:rPr>
              <w:t>Hugo Isaías Molina-Montalvo (igual)</w:t>
            </w:r>
          </w:p>
          <w:p w14:paraId="73F2E376" w14:textId="3920B5A9" w:rsidR="005B25D9" w:rsidRPr="005B25D9" w:rsidRDefault="005B25D9" w:rsidP="005B25D9">
            <w:pPr>
              <w:ind w:left="-17"/>
              <w:rPr>
                <w:sz w:val="24"/>
                <w:szCs w:val="24"/>
              </w:rPr>
            </w:pPr>
            <w:r w:rsidRPr="005B25D9">
              <w:rPr>
                <w:sz w:val="24"/>
                <w:szCs w:val="24"/>
              </w:rPr>
              <w:t>José Refugio Castro López (igual)</w:t>
            </w:r>
          </w:p>
        </w:tc>
      </w:tr>
      <w:tr w:rsidR="005B25D9" w:rsidRPr="005B25D9" w14:paraId="0B073EA0" w14:textId="77777777" w:rsidTr="005B25D9">
        <w:trPr>
          <w:jc w:val="center"/>
        </w:trPr>
        <w:tc>
          <w:tcPr>
            <w:tcW w:w="3045" w:type="dxa"/>
            <w:shd w:val="clear" w:color="auto" w:fill="auto"/>
            <w:tcMar>
              <w:top w:w="100" w:type="dxa"/>
              <w:left w:w="100" w:type="dxa"/>
              <w:bottom w:w="100" w:type="dxa"/>
              <w:right w:w="100" w:type="dxa"/>
            </w:tcMar>
          </w:tcPr>
          <w:p w14:paraId="3AF6183C" w14:textId="77777777" w:rsidR="005B25D9" w:rsidRPr="005B25D9" w:rsidRDefault="005B25D9" w:rsidP="007704CA">
            <w:pPr>
              <w:rPr>
                <w:sz w:val="24"/>
                <w:szCs w:val="24"/>
                <w:lang w:val="es-MX"/>
              </w:rPr>
            </w:pPr>
            <w:r w:rsidRPr="005B25D9">
              <w:rPr>
                <w:sz w:val="24"/>
                <w:szCs w:val="24"/>
                <w:lang w:val="es-MX"/>
              </w:rPr>
              <w:t>Recursos</w:t>
            </w:r>
          </w:p>
        </w:tc>
        <w:tc>
          <w:tcPr>
            <w:tcW w:w="6315" w:type="dxa"/>
            <w:shd w:val="clear" w:color="auto" w:fill="auto"/>
            <w:tcMar>
              <w:top w:w="100" w:type="dxa"/>
              <w:left w:w="100" w:type="dxa"/>
              <w:bottom w:w="100" w:type="dxa"/>
              <w:right w:w="100" w:type="dxa"/>
            </w:tcMar>
          </w:tcPr>
          <w:p w14:paraId="13930A85" w14:textId="176A1E8D" w:rsidR="005B25D9" w:rsidRPr="005B25D9" w:rsidRDefault="005B25D9" w:rsidP="005B25D9">
            <w:pPr>
              <w:ind w:left="-17"/>
              <w:rPr>
                <w:sz w:val="24"/>
                <w:szCs w:val="24"/>
              </w:rPr>
            </w:pPr>
            <w:r w:rsidRPr="005B25D9">
              <w:rPr>
                <w:sz w:val="24"/>
                <w:szCs w:val="24"/>
                <w:lang w:val="es-MX"/>
              </w:rPr>
              <w:t>N/A</w:t>
            </w:r>
          </w:p>
        </w:tc>
      </w:tr>
      <w:tr w:rsidR="005B25D9" w:rsidRPr="005B25D9" w14:paraId="767CCC69" w14:textId="77777777" w:rsidTr="005B25D9">
        <w:trPr>
          <w:jc w:val="center"/>
        </w:trPr>
        <w:tc>
          <w:tcPr>
            <w:tcW w:w="3045" w:type="dxa"/>
            <w:shd w:val="clear" w:color="auto" w:fill="auto"/>
            <w:tcMar>
              <w:top w:w="100" w:type="dxa"/>
              <w:left w:w="100" w:type="dxa"/>
              <w:bottom w:w="100" w:type="dxa"/>
              <w:right w:w="100" w:type="dxa"/>
            </w:tcMar>
          </w:tcPr>
          <w:p w14:paraId="2FFA3D58" w14:textId="77777777" w:rsidR="005B25D9" w:rsidRPr="005B25D9" w:rsidRDefault="005B25D9" w:rsidP="007704CA">
            <w:pPr>
              <w:rPr>
                <w:sz w:val="24"/>
                <w:szCs w:val="24"/>
                <w:lang w:val="es-MX"/>
              </w:rPr>
            </w:pPr>
            <w:r w:rsidRPr="005B25D9">
              <w:rPr>
                <w:sz w:val="24"/>
                <w:szCs w:val="24"/>
                <w:lang w:val="es-MX"/>
              </w:rPr>
              <w:t>Curación de datos</w:t>
            </w:r>
          </w:p>
        </w:tc>
        <w:tc>
          <w:tcPr>
            <w:tcW w:w="6315" w:type="dxa"/>
            <w:shd w:val="clear" w:color="auto" w:fill="auto"/>
            <w:tcMar>
              <w:top w:w="100" w:type="dxa"/>
              <w:left w:w="100" w:type="dxa"/>
              <w:bottom w:w="100" w:type="dxa"/>
              <w:right w:w="100" w:type="dxa"/>
            </w:tcMar>
          </w:tcPr>
          <w:p w14:paraId="2E101BCE" w14:textId="77777777" w:rsidR="005B25D9" w:rsidRPr="005B25D9" w:rsidRDefault="005B25D9" w:rsidP="007704CA">
            <w:pPr>
              <w:ind w:left="-17"/>
              <w:rPr>
                <w:sz w:val="24"/>
                <w:szCs w:val="24"/>
              </w:rPr>
            </w:pPr>
            <w:r w:rsidRPr="005B25D9">
              <w:rPr>
                <w:sz w:val="24"/>
                <w:szCs w:val="24"/>
              </w:rPr>
              <w:t>Julio César Macías Villarreal (igual)</w:t>
            </w:r>
          </w:p>
          <w:p w14:paraId="3B078893" w14:textId="77777777" w:rsidR="005B25D9" w:rsidRPr="005B25D9" w:rsidRDefault="005B25D9" w:rsidP="007704CA">
            <w:pPr>
              <w:ind w:left="-17"/>
              <w:rPr>
                <w:sz w:val="24"/>
                <w:szCs w:val="24"/>
              </w:rPr>
            </w:pPr>
            <w:r w:rsidRPr="005B25D9">
              <w:rPr>
                <w:sz w:val="24"/>
                <w:szCs w:val="24"/>
              </w:rPr>
              <w:t>Hugo Isaías Molina-Montalvo (igual)</w:t>
            </w:r>
          </w:p>
          <w:p w14:paraId="0448C366" w14:textId="5D22CF87" w:rsidR="005B25D9" w:rsidRPr="005B25D9" w:rsidRDefault="005B25D9" w:rsidP="005B25D9">
            <w:pPr>
              <w:ind w:left="-17"/>
              <w:rPr>
                <w:sz w:val="24"/>
                <w:szCs w:val="24"/>
              </w:rPr>
            </w:pPr>
            <w:r w:rsidRPr="005B25D9">
              <w:rPr>
                <w:sz w:val="24"/>
                <w:szCs w:val="24"/>
              </w:rPr>
              <w:t>José Refugio Castro López (principal)</w:t>
            </w:r>
          </w:p>
        </w:tc>
      </w:tr>
      <w:tr w:rsidR="005B25D9" w:rsidRPr="005B25D9" w14:paraId="4977B939" w14:textId="77777777" w:rsidTr="005B25D9">
        <w:trPr>
          <w:jc w:val="center"/>
        </w:trPr>
        <w:tc>
          <w:tcPr>
            <w:tcW w:w="3045" w:type="dxa"/>
            <w:shd w:val="clear" w:color="auto" w:fill="auto"/>
            <w:tcMar>
              <w:top w:w="100" w:type="dxa"/>
              <w:left w:w="100" w:type="dxa"/>
              <w:bottom w:w="100" w:type="dxa"/>
              <w:right w:w="100" w:type="dxa"/>
            </w:tcMar>
          </w:tcPr>
          <w:p w14:paraId="2CBAC65E" w14:textId="77777777" w:rsidR="005B25D9" w:rsidRPr="005B25D9" w:rsidRDefault="005B25D9" w:rsidP="007704CA">
            <w:pPr>
              <w:rPr>
                <w:sz w:val="24"/>
                <w:szCs w:val="24"/>
                <w:lang w:val="es-MX"/>
              </w:rPr>
            </w:pPr>
            <w:r w:rsidRPr="005B25D9">
              <w:rPr>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1458BF1F" w14:textId="77777777" w:rsidR="005B25D9" w:rsidRPr="005B25D9" w:rsidRDefault="005B25D9" w:rsidP="007704CA">
            <w:pPr>
              <w:ind w:left="-17"/>
              <w:rPr>
                <w:sz w:val="24"/>
                <w:szCs w:val="24"/>
              </w:rPr>
            </w:pPr>
            <w:r w:rsidRPr="005B25D9">
              <w:rPr>
                <w:sz w:val="24"/>
                <w:szCs w:val="24"/>
              </w:rPr>
              <w:t>Julio César Macías Villarreal (principal)</w:t>
            </w:r>
          </w:p>
          <w:p w14:paraId="2BA8B9DE" w14:textId="77777777" w:rsidR="005B25D9" w:rsidRPr="005B25D9" w:rsidRDefault="005B25D9" w:rsidP="007704CA">
            <w:pPr>
              <w:ind w:left="-17"/>
              <w:rPr>
                <w:sz w:val="24"/>
                <w:szCs w:val="24"/>
              </w:rPr>
            </w:pPr>
            <w:r w:rsidRPr="005B25D9">
              <w:rPr>
                <w:sz w:val="24"/>
                <w:szCs w:val="24"/>
              </w:rPr>
              <w:t>Hugo Isaías Molina-Montalvo (apoya)</w:t>
            </w:r>
          </w:p>
          <w:p w14:paraId="2E0D2601" w14:textId="1B8052C0" w:rsidR="005B25D9" w:rsidRPr="005B25D9" w:rsidRDefault="005B25D9" w:rsidP="005B25D9">
            <w:pPr>
              <w:ind w:left="-17"/>
              <w:rPr>
                <w:sz w:val="24"/>
                <w:szCs w:val="24"/>
              </w:rPr>
            </w:pPr>
            <w:r w:rsidRPr="005B25D9">
              <w:rPr>
                <w:sz w:val="24"/>
                <w:szCs w:val="24"/>
              </w:rPr>
              <w:t>José Refugio Castro López (apoya)</w:t>
            </w:r>
          </w:p>
        </w:tc>
      </w:tr>
      <w:tr w:rsidR="005B25D9" w:rsidRPr="005B25D9" w14:paraId="75047C5A" w14:textId="77777777" w:rsidTr="005B25D9">
        <w:trPr>
          <w:jc w:val="center"/>
        </w:trPr>
        <w:tc>
          <w:tcPr>
            <w:tcW w:w="3045" w:type="dxa"/>
            <w:shd w:val="clear" w:color="auto" w:fill="auto"/>
            <w:tcMar>
              <w:top w:w="100" w:type="dxa"/>
              <w:left w:w="100" w:type="dxa"/>
              <w:bottom w:w="100" w:type="dxa"/>
              <w:right w:w="100" w:type="dxa"/>
            </w:tcMar>
          </w:tcPr>
          <w:p w14:paraId="1109ADC8" w14:textId="77777777" w:rsidR="005B25D9" w:rsidRPr="005B25D9" w:rsidRDefault="005B25D9" w:rsidP="007704CA">
            <w:pPr>
              <w:rPr>
                <w:sz w:val="24"/>
                <w:szCs w:val="24"/>
                <w:lang w:val="es-MX"/>
              </w:rPr>
            </w:pPr>
            <w:r w:rsidRPr="005B25D9">
              <w:rPr>
                <w:sz w:val="24"/>
                <w:szCs w:val="24"/>
                <w:lang w:val="es-MX"/>
              </w:rPr>
              <w:t>Escritura - Revisión y edición</w:t>
            </w:r>
          </w:p>
        </w:tc>
        <w:tc>
          <w:tcPr>
            <w:tcW w:w="6315" w:type="dxa"/>
            <w:shd w:val="clear" w:color="auto" w:fill="auto"/>
            <w:tcMar>
              <w:top w:w="100" w:type="dxa"/>
              <w:left w:w="100" w:type="dxa"/>
              <w:bottom w:w="100" w:type="dxa"/>
              <w:right w:w="100" w:type="dxa"/>
            </w:tcMar>
          </w:tcPr>
          <w:p w14:paraId="3B5C7E9D" w14:textId="77777777" w:rsidR="005B25D9" w:rsidRPr="005B25D9" w:rsidRDefault="005B25D9" w:rsidP="007704CA">
            <w:pPr>
              <w:ind w:left="-17"/>
              <w:rPr>
                <w:sz w:val="24"/>
                <w:szCs w:val="24"/>
              </w:rPr>
            </w:pPr>
            <w:r w:rsidRPr="005B25D9">
              <w:rPr>
                <w:sz w:val="24"/>
                <w:szCs w:val="24"/>
              </w:rPr>
              <w:t>Julio César Macías Villarreal (apoya)</w:t>
            </w:r>
          </w:p>
          <w:p w14:paraId="66722646" w14:textId="77777777" w:rsidR="005B25D9" w:rsidRPr="005B25D9" w:rsidRDefault="005B25D9" w:rsidP="007704CA">
            <w:pPr>
              <w:ind w:left="-17"/>
              <w:rPr>
                <w:sz w:val="24"/>
                <w:szCs w:val="24"/>
              </w:rPr>
            </w:pPr>
            <w:r w:rsidRPr="005B25D9">
              <w:rPr>
                <w:sz w:val="24"/>
                <w:szCs w:val="24"/>
              </w:rPr>
              <w:t>Hugo Isaías Molina-Montalvo (apoya)</w:t>
            </w:r>
          </w:p>
          <w:p w14:paraId="7B15239F" w14:textId="24F34806" w:rsidR="005B25D9" w:rsidRPr="005B25D9" w:rsidRDefault="005B25D9" w:rsidP="005B25D9">
            <w:pPr>
              <w:ind w:left="-17"/>
              <w:rPr>
                <w:sz w:val="24"/>
                <w:szCs w:val="24"/>
              </w:rPr>
            </w:pPr>
            <w:r w:rsidRPr="005B25D9">
              <w:rPr>
                <w:sz w:val="24"/>
                <w:szCs w:val="24"/>
              </w:rPr>
              <w:t>José Refugio Castro López (principal)</w:t>
            </w:r>
          </w:p>
        </w:tc>
      </w:tr>
      <w:tr w:rsidR="005B25D9" w:rsidRPr="005B25D9" w14:paraId="1652C39F" w14:textId="77777777" w:rsidTr="005B25D9">
        <w:trPr>
          <w:jc w:val="center"/>
        </w:trPr>
        <w:tc>
          <w:tcPr>
            <w:tcW w:w="3045" w:type="dxa"/>
            <w:shd w:val="clear" w:color="auto" w:fill="auto"/>
            <w:tcMar>
              <w:top w:w="100" w:type="dxa"/>
              <w:left w:w="100" w:type="dxa"/>
              <w:bottom w:w="100" w:type="dxa"/>
              <w:right w:w="100" w:type="dxa"/>
            </w:tcMar>
          </w:tcPr>
          <w:p w14:paraId="4823709F" w14:textId="77777777" w:rsidR="005B25D9" w:rsidRPr="005B25D9" w:rsidRDefault="005B25D9" w:rsidP="007704CA">
            <w:pPr>
              <w:rPr>
                <w:sz w:val="24"/>
                <w:szCs w:val="24"/>
                <w:lang w:val="es-MX"/>
              </w:rPr>
            </w:pPr>
            <w:r w:rsidRPr="005B25D9">
              <w:rPr>
                <w:sz w:val="24"/>
                <w:szCs w:val="24"/>
                <w:lang w:val="es-MX"/>
              </w:rPr>
              <w:t>Visualización</w:t>
            </w:r>
          </w:p>
        </w:tc>
        <w:tc>
          <w:tcPr>
            <w:tcW w:w="6315" w:type="dxa"/>
            <w:shd w:val="clear" w:color="auto" w:fill="auto"/>
            <w:tcMar>
              <w:top w:w="100" w:type="dxa"/>
              <w:left w:w="100" w:type="dxa"/>
              <w:bottom w:w="100" w:type="dxa"/>
              <w:right w:w="100" w:type="dxa"/>
            </w:tcMar>
          </w:tcPr>
          <w:p w14:paraId="12A45B35" w14:textId="77777777" w:rsidR="005B25D9" w:rsidRPr="005B25D9" w:rsidRDefault="005B25D9" w:rsidP="007704CA">
            <w:pPr>
              <w:ind w:left="-17"/>
              <w:rPr>
                <w:sz w:val="24"/>
                <w:szCs w:val="24"/>
              </w:rPr>
            </w:pPr>
            <w:r w:rsidRPr="005B25D9">
              <w:rPr>
                <w:sz w:val="24"/>
                <w:szCs w:val="24"/>
              </w:rPr>
              <w:t>Julio César Macías Villarreal (apoya)</w:t>
            </w:r>
          </w:p>
          <w:p w14:paraId="464BB2C1" w14:textId="77777777" w:rsidR="005B25D9" w:rsidRPr="005B25D9" w:rsidRDefault="005B25D9" w:rsidP="007704CA">
            <w:pPr>
              <w:ind w:left="-17"/>
              <w:rPr>
                <w:sz w:val="24"/>
                <w:szCs w:val="24"/>
              </w:rPr>
            </w:pPr>
            <w:r w:rsidRPr="005B25D9">
              <w:rPr>
                <w:sz w:val="24"/>
                <w:szCs w:val="24"/>
              </w:rPr>
              <w:t>Hugo Isaías Molina-Montalvo (principal)</w:t>
            </w:r>
          </w:p>
          <w:p w14:paraId="10E7591F" w14:textId="241ED178" w:rsidR="005B25D9" w:rsidRPr="005B25D9" w:rsidRDefault="005B25D9" w:rsidP="005B25D9">
            <w:pPr>
              <w:ind w:left="-17"/>
              <w:rPr>
                <w:sz w:val="24"/>
                <w:szCs w:val="24"/>
              </w:rPr>
            </w:pPr>
            <w:r w:rsidRPr="005B25D9">
              <w:rPr>
                <w:sz w:val="24"/>
                <w:szCs w:val="24"/>
              </w:rPr>
              <w:t>José Refugio Castro López (apoya)</w:t>
            </w:r>
          </w:p>
        </w:tc>
      </w:tr>
      <w:tr w:rsidR="005B25D9" w:rsidRPr="005B25D9" w14:paraId="6CA2E854" w14:textId="77777777" w:rsidTr="005B25D9">
        <w:trPr>
          <w:jc w:val="center"/>
        </w:trPr>
        <w:tc>
          <w:tcPr>
            <w:tcW w:w="3045" w:type="dxa"/>
            <w:shd w:val="clear" w:color="auto" w:fill="auto"/>
            <w:tcMar>
              <w:top w:w="100" w:type="dxa"/>
              <w:left w:w="100" w:type="dxa"/>
              <w:bottom w:w="100" w:type="dxa"/>
              <w:right w:w="100" w:type="dxa"/>
            </w:tcMar>
          </w:tcPr>
          <w:p w14:paraId="00275793" w14:textId="77777777" w:rsidR="005B25D9" w:rsidRPr="005B25D9" w:rsidRDefault="005B25D9" w:rsidP="007704CA">
            <w:pPr>
              <w:rPr>
                <w:sz w:val="24"/>
                <w:szCs w:val="24"/>
                <w:lang w:val="es-MX"/>
              </w:rPr>
            </w:pPr>
            <w:r w:rsidRPr="005B25D9">
              <w:rPr>
                <w:sz w:val="24"/>
                <w:szCs w:val="24"/>
                <w:lang w:val="es-MX"/>
              </w:rPr>
              <w:t>Supervisión</w:t>
            </w:r>
          </w:p>
        </w:tc>
        <w:tc>
          <w:tcPr>
            <w:tcW w:w="6315" w:type="dxa"/>
            <w:shd w:val="clear" w:color="auto" w:fill="auto"/>
            <w:tcMar>
              <w:top w:w="100" w:type="dxa"/>
              <w:left w:w="100" w:type="dxa"/>
              <w:bottom w:w="100" w:type="dxa"/>
              <w:right w:w="100" w:type="dxa"/>
            </w:tcMar>
          </w:tcPr>
          <w:p w14:paraId="00574759" w14:textId="77777777" w:rsidR="005B25D9" w:rsidRPr="005B25D9" w:rsidRDefault="005B25D9" w:rsidP="007704CA">
            <w:pPr>
              <w:ind w:left="-17"/>
              <w:rPr>
                <w:sz w:val="24"/>
                <w:szCs w:val="24"/>
              </w:rPr>
            </w:pPr>
            <w:r w:rsidRPr="005B25D9">
              <w:rPr>
                <w:sz w:val="24"/>
                <w:szCs w:val="24"/>
              </w:rPr>
              <w:t>Julio César Macías Villarreal (principal)</w:t>
            </w:r>
          </w:p>
          <w:p w14:paraId="2F58C381" w14:textId="77777777" w:rsidR="005B25D9" w:rsidRPr="005B25D9" w:rsidRDefault="005B25D9" w:rsidP="007704CA">
            <w:pPr>
              <w:ind w:left="-17"/>
              <w:rPr>
                <w:sz w:val="24"/>
                <w:szCs w:val="24"/>
              </w:rPr>
            </w:pPr>
            <w:r w:rsidRPr="005B25D9">
              <w:rPr>
                <w:sz w:val="24"/>
                <w:szCs w:val="24"/>
              </w:rPr>
              <w:t>Hugo Isaías Molina-Montalvo (apoya)</w:t>
            </w:r>
          </w:p>
          <w:p w14:paraId="69BF5814" w14:textId="4D56A06A" w:rsidR="005B25D9" w:rsidRPr="005B25D9" w:rsidRDefault="005B25D9" w:rsidP="005B25D9">
            <w:pPr>
              <w:ind w:left="-17"/>
              <w:rPr>
                <w:sz w:val="24"/>
                <w:szCs w:val="24"/>
              </w:rPr>
            </w:pPr>
            <w:r w:rsidRPr="005B25D9">
              <w:rPr>
                <w:sz w:val="24"/>
                <w:szCs w:val="24"/>
              </w:rPr>
              <w:t>José Refugio Castro López (apoya)</w:t>
            </w:r>
          </w:p>
        </w:tc>
      </w:tr>
      <w:tr w:rsidR="005B25D9" w:rsidRPr="005B25D9" w14:paraId="43C713C4" w14:textId="77777777" w:rsidTr="005B25D9">
        <w:trPr>
          <w:jc w:val="center"/>
        </w:trPr>
        <w:tc>
          <w:tcPr>
            <w:tcW w:w="3045" w:type="dxa"/>
            <w:shd w:val="clear" w:color="auto" w:fill="auto"/>
            <w:tcMar>
              <w:top w:w="100" w:type="dxa"/>
              <w:left w:w="100" w:type="dxa"/>
              <w:bottom w:w="100" w:type="dxa"/>
              <w:right w:w="100" w:type="dxa"/>
            </w:tcMar>
          </w:tcPr>
          <w:p w14:paraId="40B7E264" w14:textId="77777777" w:rsidR="005B25D9" w:rsidRPr="005B25D9" w:rsidRDefault="005B25D9" w:rsidP="007704CA">
            <w:pPr>
              <w:rPr>
                <w:sz w:val="24"/>
                <w:szCs w:val="24"/>
                <w:lang w:val="es-MX"/>
              </w:rPr>
            </w:pPr>
            <w:r w:rsidRPr="005B25D9">
              <w:rPr>
                <w:sz w:val="24"/>
                <w:szCs w:val="24"/>
                <w:lang w:val="es-MX"/>
              </w:rPr>
              <w:t>Administración de Proyectos</w:t>
            </w:r>
          </w:p>
        </w:tc>
        <w:tc>
          <w:tcPr>
            <w:tcW w:w="6315" w:type="dxa"/>
            <w:shd w:val="clear" w:color="auto" w:fill="auto"/>
            <w:tcMar>
              <w:top w:w="100" w:type="dxa"/>
              <w:left w:w="100" w:type="dxa"/>
              <w:bottom w:w="100" w:type="dxa"/>
              <w:right w:w="100" w:type="dxa"/>
            </w:tcMar>
          </w:tcPr>
          <w:p w14:paraId="6974E42D" w14:textId="77777777" w:rsidR="005B25D9" w:rsidRPr="005B25D9" w:rsidRDefault="005B25D9" w:rsidP="007704CA">
            <w:pPr>
              <w:ind w:left="-17"/>
              <w:rPr>
                <w:sz w:val="24"/>
                <w:szCs w:val="24"/>
              </w:rPr>
            </w:pPr>
            <w:r w:rsidRPr="005B25D9">
              <w:rPr>
                <w:sz w:val="24"/>
                <w:szCs w:val="24"/>
              </w:rPr>
              <w:t>Julio César Macías Villarreal (principal)</w:t>
            </w:r>
          </w:p>
          <w:p w14:paraId="446287FC" w14:textId="77777777" w:rsidR="005B25D9" w:rsidRPr="005B25D9" w:rsidRDefault="005B25D9" w:rsidP="007704CA">
            <w:pPr>
              <w:ind w:left="-17"/>
              <w:rPr>
                <w:sz w:val="24"/>
                <w:szCs w:val="24"/>
              </w:rPr>
            </w:pPr>
            <w:r w:rsidRPr="005B25D9">
              <w:rPr>
                <w:sz w:val="24"/>
                <w:szCs w:val="24"/>
              </w:rPr>
              <w:t>Hugo Isaías Molina-Montalvo (apoya)</w:t>
            </w:r>
          </w:p>
          <w:p w14:paraId="28D66400" w14:textId="0F54E8B7" w:rsidR="005B25D9" w:rsidRPr="005B25D9" w:rsidRDefault="005B25D9" w:rsidP="005B25D9">
            <w:pPr>
              <w:ind w:left="-17"/>
              <w:rPr>
                <w:sz w:val="24"/>
                <w:szCs w:val="24"/>
              </w:rPr>
            </w:pPr>
            <w:r w:rsidRPr="005B25D9">
              <w:rPr>
                <w:sz w:val="24"/>
                <w:szCs w:val="24"/>
              </w:rPr>
              <w:t>José Refugio Castro López (apoya)</w:t>
            </w:r>
          </w:p>
        </w:tc>
      </w:tr>
      <w:tr w:rsidR="005B25D9" w:rsidRPr="005B25D9" w14:paraId="7402FC7D" w14:textId="77777777" w:rsidTr="005B25D9">
        <w:trPr>
          <w:jc w:val="center"/>
        </w:trPr>
        <w:tc>
          <w:tcPr>
            <w:tcW w:w="3045" w:type="dxa"/>
            <w:shd w:val="clear" w:color="auto" w:fill="auto"/>
            <w:tcMar>
              <w:top w:w="100" w:type="dxa"/>
              <w:left w:w="100" w:type="dxa"/>
              <w:bottom w:w="100" w:type="dxa"/>
              <w:right w:w="100" w:type="dxa"/>
            </w:tcMar>
          </w:tcPr>
          <w:p w14:paraId="474E0FC8" w14:textId="77777777" w:rsidR="005B25D9" w:rsidRPr="005B25D9" w:rsidRDefault="005B25D9" w:rsidP="007704CA">
            <w:pPr>
              <w:rPr>
                <w:sz w:val="24"/>
                <w:szCs w:val="24"/>
                <w:lang w:val="es-MX"/>
              </w:rPr>
            </w:pPr>
            <w:r w:rsidRPr="005B25D9">
              <w:rPr>
                <w:sz w:val="24"/>
                <w:szCs w:val="24"/>
                <w:lang w:val="es-MX"/>
              </w:rPr>
              <w:t>Adquisición de fondos</w:t>
            </w:r>
          </w:p>
        </w:tc>
        <w:tc>
          <w:tcPr>
            <w:tcW w:w="6315" w:type="dxa"/>
            <w:shd w:val="clear" w:color="auto" w:fill="auto"/>
            <w:tcMar>
              <w:top w:w="100" w:type="dxa"/>
              <w:left w:w="100" w:type="dxa"/>
              <w:bottom w:w="100" w:type="dxa"/>
              <w:right w:w="100" w:type="dxa"/>
            </w:tcMar>
          </w:tcPr>
          <w:p w14:paraId="18C053BC" w14:textId="77777777" w:rsidR="005B25D9" w:rsidRPr="005B25D9" w:rsidRDefault="005B25D9" w:rsidP="007704CA">
            <w:pPr>
              <w:ind w:left="-17"/>
              <w:rPr>
                <w:sz w:val="24"/>
                <w:szCs w:val="24"/>
              </w:rPr>
            </w:pPr>
            <w:r w:rsidRPr="005B25D9">
              <w:rPr>
                <w:sz w:val="24"/>
                <w:szCs w:val="24"/>
              </w:rPr>
              <w:t>Julio César Macías Villarreal (igual)</w:t>
            </w:r>
          </w:p>
          <w:p w14:paraId="2559123D" w14:textId="77777777" w:rsidR="005B25D9" w:rsidRPr="005B25D9" w:rsidRDefault="005B25D9" w:rsidP="007704CA">
            <w:pPr>
              <w:ind w:left="-17"/>
              <w:rPr>
                <w:sz w:val="24"/>
                <w:szCs w:val="24"/>
              </w:rPr>
            </w:pPr>
            <w:r w:rsidRPr="005B25D9">
              <w:rPr>
                <w:sz w:val="24"/>
                <w:szCs w:val="24"/>
              </w:rPr>
              <w:t>Hugo Isaías Molina-Montalvo (igual)</w:t>
            </w:r>
          </w:p>
          <w:p w14:paraId="368A559B" w14:textId="47705EAA" w:rsidR="005B25D9" w:rsidRPr="005B25D9" w:rsidRDefault="005B25D9" w:rsidP="005B25D9">
            <w:pPr>
              <w:ind w:left="-17"/>
              <w:rPr>
                <w:sz w:val="24"/>
                <w:szCs w:val="24"/>
              </w:rPr>
            </w:pPr>
            <w:r w:rsidRPr="005B25D9">
              <w:rPr>
                <w:sz w:val="24"/>
                <w:szCs w:val="24"/>
              </w:rPr>
              <w:t>José Refugio Castro López (igual)</w:t>
            </w:r>
          </w:p>
        </w:tc>
      </w:tr>
    </w:tbl>
    <w:p w14:paraId="620688CC" w14:textId="77777777" w:rsidR="005B25D9" w:rsidRPr="004F4684" w:rsidRDefault="005B25D9" w:rsidP="005B25D9">
      <w:pPr>
        <w:pStyle w:val="Textoindependiente"/>
        <w:spacing w:line="360" w:lineRule="auto"/>
        <w:ind w:right="-12"/>
        <w:rPr>
          <w:b/>
          <w:bCs/>
          <w:sz w:val="32"/>
          <w:szCs w:val="32"/>
        </w:rPr>
      </w:pPr>
    </w:p>
    <w:sectPr w:rsidR="005B25D9" w:rsidRPr="004F4684" w:rsidSect="00622600">
      <w:headerReference w:type="default" r:id="rId20"/>
      <w:footerReference w:type="default" r:id="rId21"/>
      <w:pgSz w:w="12240" w:h="15840"/>
      <w:pgMar w:top="1180" w:right="1580" w:bottom="700" w:left="1600" w:header="142" w:footer="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1FE7D" w14:textId="77777777" w:rsidR="00571020" w:rsidRDefault="00571020">
      <w:r>
        <w:separator/>
      </w:r>
    </w:p>
  </w:endnote>
  <w:endnote w:type="continuationSeparator" w:id="0">
    <w:p w14:paraId="1DC5013C" w14:textId="77777777" w:rsidR="00571020" w:rsidRDefault="0057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SVGA Y+ Akzidenz Grotesk BQ">
    <w:altName w:val="Calibri"/>
    <w:panose1 w:val="00000000000000000000"/>
    <w:charset w:val="00"/>
    <w:family w:val="swiss"/>
    <w:notTrueType/>
    <w:pitch w:val="default"/>
    <w:sig w:usb0="00000003" w:usb1="00000000" w:usb2="00000000" w:usb3="00000000" w:csb0="00000001" w:csb1="00000000"/>
  </w:font>
  <w:font w:name="Baskerville">
    <w:altName w:val="Baskerville Old Fac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B327" w14:textId="38024556" w:rsidR="004823C0" w:rsidRDefault="00622600">
    <w:pPr>
      <w:pStyle w:val="Textoindependiente"/>
      <w:spacing w:line="14" w:lineRule="auto"/>
      <w:rPr>
        <w:sz w:val="14"/>
      </w:rPr>
    </w:pPr>
    <w:r>
      <w:rPr>
        <w:sz w:val="14"/>
      </w:rPr>
      <w:t xml:space="preserve">                      </w:t>
    </w:r>
    <w:r w:rsidRPr="002A3D98">
      <w:rPr>
        <w:noProof/>
        <w:lang w:eastAsia="es-MX"/>
      </w:rPr>
      <w:drawing>
        <wp:inline distT="0" distB="0" distL="0" distR="0" wp14:anchorId="48E37AF2" wp14:editId="59F082A2">
          <wp:extent cx="1600200" cy="419100"/>
          <wp:effectExtent l="0" t="0" r="0" b="0"/>
          <wp:docPr id="391949906" name="Imagen 39194990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sz w:val="14"/>
      </w:rPr>
      <w:t xml:space="preserve">                       </w:t>
    </w:r>
    <w:r w:rsidRPr="00622600">
      <w:rPr>
        <w:rFonts w:asciiTheme="minorHAnsi" w:hAnsiTheme="minorHAnsi" w:cstheme="minorHAnsi"/>
        <w:b/>
        <w:sz w:val="22"/>
        <w:szCs w:val="12"/>
      </w:rPr>
      <w:t xml:space="preserve">Vol. 14, Núm. 28 </w:t>
    </w:r>
    <w:proofErr w:type="gramStart"/>
    <w:r w:rsidRPr="00622600">
      <w:rPr>
        <w:rFonts w:asciiTheme="minorHAnsi" w:hAnsiTheme="minorHAnsi" w:cstheme="minorHAnsi"/>
        <w:b/>
        <w:sz w:val="22"/>
        <w:szCs w:val="12"/>
      </w:rPr>
      <w:t>Enero</w:t>
    </w:r>
    <w:proofErr w:type="gramEnd"/>
    <w:r w:rsidRPr="00622600">
      <w:rPr>
        <w:rFonts w:asciiTheme="minorHAnsi" w:hAnsiTheme="minorHAnsi" w:cstheme="minorHAnsi"/>
        <w:b/>
        <w:sz w:val="22"/>
        <w:szCs w:val="12"/>
      </w:rPr>
      <w:t xml:space="preserve"> – Junio 2024, e</w:t>
    </w:r>
    <w:r w:rsidR="00720A10">
      <w:rPr>
        <w:rFonts w:asciiTheme="minorHAnsi" w:hAnsiTheme="minorHAnsi" w:cstheme="minorHAnsi"/>
        <w:b/>
        <w:sz w:val="22"/>
        <w:szCs w:val="12"/>
      </w:rPr>
      <w:t>59</w:t>
    </w:r>
    <w:r w:rsidR="00774324">
      <w:rPr>
        <w:rFonts w:asciiTheme="minorHAnsi" w:hAnsiTheme="minorHAnsi" w:cstheme="minorHAnsi"/>
        <w:b/>
        <w:sz w:val="22"/>
        <w:szCs w:val="1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4496C" w14:textId="77777777" w:rsidR="00571020" w:rsidRDefault="00571020">
      <w:r>
        <w:separator/>
      </w:r>
    </w:p>
  </w:footnote>
  <w:footnote w:type="continuationSeparator" w:id="0">
    <w:p w14:paraId="6CDCBF14" w14:textId="77777777" w:rsidR="00571020" w:rsidRDefault="0057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5E08" w14:textId="0D0E10B2" w:rsidR="004823C0" w:rsidRDefault="00622600" w:rsidP="00622600">
    <w:pPr>
      <w:pStyle w:val="Textoindependiente"/>
      <w:spacing w:line="14" w:lineRule="auto"/>
      <w:jc w:val="center"/>
      <w:rPr>
        <w:sz w:val="20"/>
      </w:rPr>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sidRPr="002A3D98">
      <w:rPr>
        <w:noProof/>
        <w:lang w:eastAsia="es-MX"/>
      </w:rPr>
      <w:drawing>
        <wp:inline distT="0" distB="0" distL="0" distR="0" wp14:anchorId="1A863BBF" wp14:editId="2AAEDE7D">
          <wp:extent cx="5397500" cy="635000"/>
          <wp:effectExtent l="0" t="0" r="0" b="0"/>
          <wp:docPr id="2145404750" name="Imagen 214540475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D72"/>
    <w:multiLevelType w:val="hybridMultilevel"/>
    <w:tmpl w:val="160C12D2"/>
    <w:lvl w:ilvl="0" w:tplc="05AAA0B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2E763B"/>
    <w:multiLevelType w:val="hybridMultilevel"/>
    <w:tmpl w:val="893667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6F0FBC"/>
    <w:multiLevelType w:val="hybridMultilevel"/>
    <w:tmpl w:val="A8CC3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7F4AC7"/>
    <w:multiLevelType w:val="hybridMultilevel"/>
    <w:tmpl w:val="0D62B786"/>
    <w:lvl w:ilvl="0" w:tplc="72268DE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5D518C1"/>
    <w:multiLevelType w:val="hybridMultilevel"/>
    <w:tmpl w:val="E17A843A"/>
    <w:lvl w:ilvl="0" w:tplc="BA083B28">
      <w:start w:val="1"/>
      <w:numFmt w:val="decimal"/>
      <w:lvlText w:val="%1."/>
      <w:lvlJc w:val="left"/>
      <w:pPr>
        <w:ind w:left="1169" w:hanging="36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5" w15:restartNumberingAfterBreak="0">
    <w:nsid w:val="5AE840C2"/>
    <w:multiLevelType w:val="hybridMultilevel"/>
    <w:tmpl w:val="F80C8EA0"/>
    <w:lvl w:ilvl="0" w:tplc="C4023328">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26765A9"/>
    <w:multiLevelType w:val="hybridMultilevel"/>
    <w:tmpl w:val="BF1ABF32"/>
    <w:lvl w:ilvl="0" w:tplc="9B8CCEA8">
      <w:start w:val="1"/>
      <w:numFmt w:val="decimal"/>
      <w:lvlText w:val="%1)"/>
      <w:lvlJc w:val="left"/>
      <w:pPr>
        <w:ind w:left="102" w:hanging="708"/>
      </w:pPr>
      <w:rPr>
        <w:rFonts w:ascii="Times New Roman" w:eastAsia="Times New Roman" w:hAnsi="Times New Roman" w:cs="Times New Roman" w:hint="default"/>
        <w:i/>
        <w:iCs/>
        <w:w w:val="99"/>
        <w:sz w:val="24"/>
        <w:szCs w:val="24"/>
        <w:lang w:val="es-ES" w:eastAsia="en-US" w:bidi="ar-SA"/>
      </w:rPr>
    </w:lvl>
    <w:lvl w:ilvl="1" w:tplc="7F509616">
      <w:numFmt w:val="bullet"/>
      <w:lvlText w:val="•"/>
      <w:lvlJc w:val="left"/>
      <w:pPr>
        <w:ind w:left="996" w:hanging="708"/>
      </w:pPr>
      <w:rPr>
        <w:rFonts w:hint="default"/>
        <w:lang w:val="es-ES" w:eastAsia="en-US" w:bidi="ar-SA"/>
      </w:rPr>
    </w:lvl>
    <w:lvl w:ilvl="2" w:tplc="47BE9960">
      <w:numFmt w:val="bullet"/>
      <w:lvlText w:val="•"/>
      <w:lvlJc w:val="left"/>
      <w:pPr>
        <w:ind w:left="1892" w:hanging="708"/>
      </w:pPr>
      <w:rPr>
        <w:rFonts w:hint="default"/>
        <w:lang w:val="es-ES" w:eastAsia="en-US" w:bidi="ar-SA"/>
      </w:rPr>
    </w:lvl>
    <w:lvl w:ilvl="3" w:tplc="75747AF2">
      <w:numFmt w:val="bullet"/>
      <w:lvlText w:val="•"/>
      <w:lvlJc w:val="left"/>
      <w:pPr>
        <w:ind w:left="2788" w:hanging="708"/>
      </w:pPr>
      <w:rPr>
        <w:rFonts w:hint="default"/>
        <w:lang w:val="es-ES" w:eastAsia="en-US" w:bidi="ar-SA"/>
      </w:rPr>
    </w:lvl>
    <w:lvl w:ilvl="4" w:tplc="24EA7352">
      <w:numFmt w:val="bullet"/>
      <w:lvlText w:val="•"/>
      <w:lvlJc w:val="left"/>
      <w:pPr>
        <w:ind w:left="3684" w:hanging="708"/>
      </w:pPr>
      <w:rPr>
        <w:rFonts w:hint="default"/>
        <w:lang w:val="es-ES" w:eastAsia="en-US" w:bidi="ar-SA"/>
      </w:rPr>
    </w:lvl>
    <w:lvl w:ilvl="5" w:tplc="7458AEF4">
      <w:numFmt w:val="bullet"/>
      <w:lvlText w:val="•"/>
      <w:lvlJc w:val="left"/>
      <w:pPr>
        <w:ind w:left="4580" w:hanging="708"/>
      </w:pPr>
      <w:rPr>
        <w:rFonts w:hint="default"/>
        <w:lang w:val="es-ES" w:eastAsia="en-US" w:bidi="ar-SA"/>
      </w:rPr>
    </w:lvl>
    <w:lvl w:ilvl="6" w:tplc="61CE71D0">
      <w:numFmt w:val="bullet"/>
      <w:lvlText w:val="•"/>
      <w:lvlJc w:val="left"/>
      <w:pPr>
        <w:ind w:left="5476" w:hanging="708"/>
      </w:pPr>
      <w:rPr>
        <w:rFonts w:hint="default"/>
        <w:lang w:val="es-ES" w:eastAsia="en-US" w:bidi="ar-SA"/>
      </w:rPr>
    </w:lvl>
    <w:lvl w:ilvl="7" w:tplc="9880DEA2">
      <w:numFmt w:val="bullet"/>
      <w:lvlText w:val="•"/>
      <w:lvlJc w:val="left"/>
      <w:pPr>
        <w:ind w:left="6372" w:hanging="708"/>
      </w:pPr>
      <w:rPr>
        <w:rFonts w:hint="default"/>
        <w:lang w:val="es-ES" w:eastAsia="en-US" w:bidi="ar-SA"/>
      </w:rPr>
    </w:lvl>
    <w:lvl w:ilvl="8" w:tplc="867CD9EA">
      <w:numFmt w:val="bullet"/>
      <w:lvlText w:val="•"/>
      <w:lvlJc w:val="left"/>
      <w:pPr>
        <w:ind w:left="7268" w:hanging="708"/>
      </w:pPr>
      <w:rPr>
        <w:rFonts w:hint="default"/>
        <w:lang w:val="es-ES" w:eastAsia="en-US" w:bidi="ar-SA"/>
      </w:rPr>
    </w:lvl>
  </w:abstractNum>
  <w:abstractNum w:abstractNumId="7" w15:restartNumberingAfterBreak="0">
    <w:nsid w:val="71243D16"/>
    <w:multiLevelType w:val="hybridMultilevel"/>
    <w:tmpl w:val="55EA6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E04805"/>
    <w:multiLevelType w:val="hybridMultilevel"/>
    <w:tmpl w:val="0F34A682"/>
    <w:lvl w:ilvl="0" w:tplc="5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6594309">
    <w:abstractNumId w:val="6"/>
  </w:num>
  <w:num w:numId="2" w16cid:durableId="1143740883">
    <w:abstractNumId w:val="7"/>
  </w:num>
  <w:num w:numId="3" w16cid:durableId="557008610">
    <w:abstractNumId w:val="8"/>
  </w:num>
  <w:num w:numId="4" w16cid:durableId="1256984710">
    <w:abstractNumId w:val="0"/>
  </w:num>
  <w:num w:numId="5" w16cid:durableId="31806405">
    <w:abstractNumId w:val="4"/>
  </w:num>
  <w:num w:numId="6" w16cid:durableId="1234125786">
    <w:abstractNumId w:val="3"/>
  </w:num>
  <w:num w:numId="7" w16cid:durableId="387188544">
    <w:abstractNumId w:val="5"/>
  </w:num>
  <w:num w:numId="8" w16cid:durableId="271475700">
    <w:abstractNumId w:val="1"/>
  </w:num>
  <w:num w:numId="9" w16cid:durableId="1557550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D9"/>
    <w:rsid w:val="00025358"/>
    <w:rsid w:val="000306D1"/>
    <w:rsid w:val="0003583B"/>
    <w:rsid w:val="000403C0"/>
    <w:rsid w:val="00040792"/>
    <w:rsid w:val="00044F3D"/>
    <w:rsid w:val="00047D56"/>
    <w:rsid w:val="00047F61"/>
    <w:rsid w:val="00051135"/>
    <w:rsid w:val="00065E21"/>
    <w:rsid w:val="00066F73"/>
    <w:rsid w:val="00067BC1"/>
    <w:rsid w:val="000708D5"/>
    <w:rsid w:val="00072B0E"/>
    <w:rsid w:val="000747B3"/>
    <w:rsid w:val="00075C88"/>
    <w:rsid w:val="00076B21"/>
    <w:rsid w:val="00080393"/>
    <w:rsid w:val="0008359E"/>
    <w:rsid w:val="00084E1A"/>
    <w:rsid w:val="00087931"/>
    <w:rsid w:val="0009790D"/>
    <w:rsid w:val="000A10E6"/>
    <w:rsid w:val="000A1354"/>
    <w:rsid w:val="000A1935"/>
    <w:rsid w:val="000B66A1"/>
    <w:rsid w:val="000C2756"/>
    <w:rsid w:val="000C3AF9"/>
    <w:rsid w:val="000C5C55"/>
    <w:rsid w:val="000D4A71"/>
    <w:rsid w:val="000E30E6"/>
    <w:rsid w:val="000E385D"/>
    <w:rsid w:val="000E3D71"/>
    <w:rsid w:val="000E75F3"/>
    <w:rsid w:val="000F37A2"/>
    <w:rsid w:val="000F4050"/>
    <w:rsid w:val="00100B03"/>
    <w:rsid w:val="00106980"/>
    <w:rsid w:val="00111A78"/>
    <w:rsid w:val="00113FAD"/>
    <w:rsid w:val="001258F6"/>
    <w:rsid w:val="001274B1"/>
    <w:rsid w:val="0013083F"/>
    <w:rsid w:val="00132A99"/>
    <w:rsid w:val="00144E36"/>
    <w:rsid w:val="00151033"/>
    <w:rsid w:val="00160CF7"/>
    <w:rsid w:val="00177419"/>
    <w:rsid w:val="00181923"/>
    <w:rsid w:val="001915D3"/>
    <w:rsid w:val="00194993"/>
    <w:rsid w:val="0019660A"/>
    <w:rsid w:val="001A1AA4"/>
    <w:rsid w:val="001A35D8"/>
    <w:rsid w:val="001A3A78"/>
    <w:rsid w:val="001A58A0"/>
    <w:rsid w:val="001B78AE"/>
    <w:rsid w:val="001C22CE"/>
    <w:rsid w:val="001C29D6"/>
    <w:rsid w:val="001C32DB"/>
    <w:rsid w:val="001D2139"/>
    <w:rsid w:val="001D5B83"/>
    <w:rsid w:val="001E0156"/>
    <w:rsid w:val="001E4602"/>
    <w:rsid w:val="001E61AD"/>
    <w:rsid w:val="001E7A43"/>
    <w:rsid w:val="001F113D"/>
    <w:rsid w:val="001F2586"/>
    <w:rsid w:val="001F6FEB"/>
    <w:rsid w:val="002079B3"/>
    <w:rsid w:val="002105F6"/>
    <w:rsid w:val="00212C64"/>
    <w:rsid w:val="0022030F"/>
    <w:rsid w:val="00223D2F"/>
    <w:rsid w:val="00226FD6"/>
    <w:rsid w:val="00234989"/>
    <w:rsid w:val="00241EDC"/>
    <w:rsid w:val="00246E73"/>
    <w:rsid w:val="0025047F"/>
    <w:rsid w:val="002511D6"/>
    <w:rsid w:val="00252B69"/>
    <w:rsid w:val="002538E2"/>
    <w:rsid w:val="0026405E"/>
    <w:rsid w:val="002715E2"/>
    <w:rsid w:val="00277A86"/>
    <w:rsid w:val="00283602"/>
    <w:rsid w:val="002860D7"/>
    <w:rsid w:val="00290144"/>
    <w:rsid w:val="002904DB"/>
    <w:rsid w:val="002928C4"/>
    <w:rsid w:val="00297E6D"/>
    <w:rsid w:val="002A3605"/>
    <w:rsid w:val="002A6EDC"/>
    <w:rsid w:val="002A74DE"/>
    <w:rsid w:val="002B0D9D"/>
    <w:rsid w:val="002B1A20"/>
    <w:rsid w:val="002B2CD5"/>
    <w:rsid w:val="002B3741"/>
    <w:rsid w:val="002C5B1C"/>
    <w:rsid w:val="002D2D4B"/>
    <w:rsid w:val="002F0C7E"/>
    <w:rsid w:val="00301C58"/>
    <w:rsid w:val="00312472"/>
    <w:rsid w:val="00315586"/>
    <w:rsid w:val="00316F83"/>
    <w:rsid w:val="00334B7A"/>
    <w:rsid w:val="00335EFD"/>
    <w:rsid w:val="0033617C"/>
    <w:rsid w:val="00336E4B"/>
    <w:rsid w:val="00340429"/>
    <w:rsid w:val="00350BB0"/>
    <w:rsid w:val="00351C39"/>
    <w:rsid w:val="00352E50"/>
    <w:rsid w:val="003621FE"/>
    <w:rsid w:val="00366ADC"/>
    <w:rsid w:val="0037327A"/>
    <w:rsid w:val="00375A36"/>
    <w:rsid w:val="00393882"/>
    <w:rsid w:val="003A4D57"/>
    <w:rsid w:val="003A6870"/>
    <w:rsid w:val="003B0DD9"/>
    <w:rsid w:val="003B6061"/>
    <w:rsid w:val="003B66AA"/>
    <w:rsid w:val="003D01DB"/>
    <w:rsid w:val="003D0883"/>
    <w:rsid w:val="003D1174"/>
    <w:rsid w:val="003F4F92"/>
    <w:rsid w:val="003F6FA6"/>
    <w:rsid w:val="00402247"/>
    <w:rsid w:val="0040415E"/>
    <w:rsid w:val="0040614E"/>
    <w:rsid w:val="00410083"/>
    <w:rsid w:val="00412200"/>
    <w:rsid w:val="00415905"/>
    <w:rsid w:val="004214AB"/>
    <w:rsid w:val="00425468"/>
    <w:rsid w:val="00431400"/>
    <w:rsid w:val="00435FB6"/>
    <w:rsid w:val="004502E7"/>
    <w:rsid w:val="00451A40"/>
    <w:rsid w:val="00464529"/>
    <w:rsid w:val="0046647D"/>
    <w:rsid w:val="004664DD"/>
    <w:rsid w:val="00467423"/>
    <w:rsid w:val="00471C04"/>
    <w:rsid w:val="004737D7"/>
    <w:rsid w:val="004823C0"/>
    <w:rsid w:val="004823E0"/>
    <w:rsid w:val="004824E8"/>
    <w:rsid w:val="0048276D"/>
    <w:rsid w:val="00484E11"/>
    <w:rsid w:val="004875C3"/>
    <w:rsid w:val="004935E9"/>
    <w:rsid w:val="004966D9"/>
    <w:rsid w:val="004A2D22"/>
    <w:rsid w:val="004A300A"/>
    <w:rsid w:val="004A6A64"/>
    <w:rsid w:val="004B4D1F"/>
    <w:rsid w:val="004B6F80"/>
    <w:rsid w:val="004C28B1"/>
    <w:rsid w:val="004C4ECC"/>
    <w:rsid w:val="004D0554"/>
    <w:rsid w:val="004D4A3C"/>
    <w:rsid w:val="004D5118"/>
    <w:rsid w:val="004D64E0"/>
    <w:rsid w:val="004E103B"/>
    <w:rsid w:val="004E4965"/>
    <w:rsid w:val="004E50CD"/>
    <w:rsid w:val="004F4684"/>
    <w:rsid w:val="00500710"/>
    <w:rsid w:val="005041B3"/>
    <w:rsid w:val="00507EC5"/>
    <w:rsid w:val="00516007"/>
    <w:rsid w:val="0053367D"/>
    <w:rsid w:val="005359BF"/>
    <w:rsid w:val="0053771C"/>
    <w:rsid w:val="00542AAE"/>
    <w:rsid w:val="00544C61"/>
    <w:rsid w:val="00550E45"/>
    <w:rsid w:val="0055351D"/>
    <w:rsid w:val="005549B7"/>
    <w:rsid w:val="00554EAE"/>
    <w:rsid w:val="00556ABC"/>
    <w:rsid w:val="00565018"/>
    <w:rsid w:val="00571020"/>
    <w:rsid w:val="00571917"/>
    <w:rsid w:val="00577F5B"/>
    <w:rsid w:val="00590B28"/>
    <w:rsid w:val="0059419A"/>
    <w:rsid w:val="0059592C"/>
    <w:rsid w:val="0059687C"/>
    <w:rsid w:val="00597101"/>
    <w:rsid w:val="005B25D9"/>
    <w:rsid w:val="005B3144"/>
    <w:rsid w:val="005C0CEE"/>
    <w:rsid w:val="005C7F42"/>
    <w:rsid w:val="005D02B9"/>
    <w:rsid w:val="005D2567"/>
    <w:rsid w:val="005D48C4"/>
    <w:rsid w:val="005E1501"/>
    <w:rsid w:val="005E2788"/>
    <w:rsid w:val="005E5215"/>
    <w:rsid w:val="005F2D3A"/>
    <w:rsid w:val="005F67BC"/>
    <w:rsid w:val="005F7D31"/>
    <w:rsid w:val="00610DC4"/>
    <w:rsid w:val="00610F82"/>
    <w:rsid w:val="00620404"/>
    <w:rsid w:val="00622600"/>
    <w:rsid w:val="00627A3F"/>
    <w:rsid w:val="00631FDD"/>
    <w:rsid w:val="0065059A"/>
    <w:rsid w:val="0065660F"/>
    <w:rsid w:val="0066043E"/>
    <w:rsid w:val="00664764"/>
    <w:rsid w:val="00664B31"/>
    <w:rsid w:val="006703B0"/>
    <w:rsid w:val="0067128E"/>
    <w:rsid w:val="006754AB"/>
    <w:rsid w:val="00676B31"/>
    <w:rsid w:val="0069218C"/>
    <w:rsid w:val="006A0D86"/>
    <w:rsid w:val="006A57FB"/>
    <w:rsid w:val="006B3C2C"/>
    <w:rsid w:val="006C5A17"/>
    <w:rsid w:val="006D2F45"/>
    <w:rsid w:val="006E2B0E"/>
    <w:rsid w:val="006E5AD4"/>
    <w:rsid w:val="006E7503"/>
    <w:rsid w:val="006F64CF"/>
    <w:rsid w:val="00701351"/>
    <w:rsid w:val="00713E56"/>
    <w:rsid w:val="00717E5F"/>
    <w:rsid w:val="00720A10"/>
    <w:rsid w:val="00720F69"/>
    <w:rsid w:val="00722FC9"/>
    <w:rsid w:val="00725351"/>
    <w:rsid w:val="00730EF0"/>
    <w:rsid w:val="00740ABB"/>
    <w:rsid w:val="007443F7"/>
    <w:rsid w:val="00746070"/>
    <w:rsid w:val="00764D83"/>
    <w:rsid w:val="00770B24"/>
    <w:rsid w:val="007724DE"/>
    <w:rsid w:val="007732E4"/>
    <w:rsid w:val="00774324"/>
    <w:rsid w:val="00774DC1"/>
    <w:rsid w:val="00776DF6"/>
    <w:rsid w:val="007823E2"/>
    <w:rsid w:val="00791BDD"/>
    <w:rsid w:val="00791C6D"/>
    <w:rsid w:val="00792A8A"/>
    <w:rsid w:val="007A645E"/>
    <w:rsid w:val="007B0952"/>
    <w:rsid w:val="007B24A6"/>
    <w:rsid w:val="007B48D7"/>
    <w:rsid w:val="007C65B1"/>
    <w:rsid w:val="007C71F6"/>
    <w:rsid w:val="007C7B70"/>
    <w:rsid w:val="007D1DCA"/>
    <w:rsid w:val="007D5667"/>
    <w:rsid w:val="007E0E35"/>
    <w:rsid w:val="007E14C9"/>
    <w:rsid w:val="007E1687"/>
    <w:rsid w:val="007E67FD"/>
    <w:rsid w:val="0080125F"/>
    <w:rsid w:val="00801813"/>
    <w:rsid w:val="00802147"/>
    <w:rsid w:val="0080218E"/>
    <w:rsid w:val="008032FA"/>
    <w:rsid w:val="008052F3"/>
    <w:rsid w:val="00812DEF"/>
    <w:rsid w:val="00817DAA"/>
    <w:rsid w:val="00821EA2"/>
    <w:rsid w:val="00834004"/>
    <w:rsid w:val="008348C2"/>
    <w:rsid w:val="00842C6D"/>
    <w:rsid w:val="00843D96"/>
    <w:rsid w:val="00843EFB"/>
    <w:rsid w:val="00847380"/>
    <w:rsid w:val="00847B41"/>
    <w:rsid w:val="00853412"/>
    <w:rsid w:val="00860E65"/>
    <w:rsid w:val="00865A03"/>
    <w:rsid w:val="00865DDF"/>
    <w:rsid w:val="008815A6"/>
    <w:rsid w:val="00896D62"/>
    <w:rsid w:val="008A24D5"/>
    <w:rsid w:val="008A569A"/>
    <w:rsid w:val="008A7062"/>
    <w:rsid w:val="008A7469"/>
    <w:rsid w:val="008B3BB9"/>
    <w:rsid w:val="008C14CF"/>
    <w:rsid w:val="008C325D"/>
    <w:rsid w:val="008C3B7F"/>
    <w:rsid w:val="008D0733"/>
    <w:rsid w:val="008D09BE"/>
    <w:rsid w:val="008D1C07"/>
    <w:rsid w:val="008E1C86"/>
    <w:rsid w:val="008E5B82"/>
    <w:rsid w:val="008F4218"/>
    <w:rsid w:val="008F7529"/>
    <w:rsid w:val="008F78FC"/>
    <w:rsid w:val="00902ECA"/>
    <w:rsid w:val="009069D8"/>
    <w:rsid w:val="00914006"/>
    <w:rsid w:val="00915361"/>
    <w:rsid w:val="00917849"/>
    <w:rsid w:val="0092011E"/>
    <w:rsid w:val="009206E6"/>
    <w:rsid w:val="00921CF4"/>
    <w:rsid w:val="009344FA"/>
    <w:rsid w:val="00937BFB"/>
    <w:rsid w:val="00940555"/>
    <w:rsid w:val="009409AB"/>
    <w:rsid w:val="00943E51"/>
    <w:rsid w:val="00946B3B"/>
    <w:rsid w:val="00951C59"/>
    <w:rsid w:val="00953D90"/>
    <w:rsid w:val="009552F5"/>
    <w:rsid w:val="00955EED"/>
    <w:rsid w:val="00965492"/>
    <w:rsid w:val="009719E4"/>
    <w:rsid w:val="009728B5"/>
    <w:rsid w:val="00977F1A"/>
    <w:rsid w:val="0098169A"/>
    <w:rsid w:val="009827F0"/>
    <w:rsid w:val="00992AFC"/>
    <w:rsid w:val="009C1875"/>
    <w:rsid w:val="009F1157"/>
    <w:rsid w:val="009F3C6C"/>
    <w:rsid w:val="009F3E2C"/>
    <w:rsid w:val="009F5BFE"/>
    <w:rsid w:val="009F6239"/>
    <w:rsid w:val="00A0403D"/>
    <w:rsid w:val="00A07268"/>
    <w:rsid w:val="00A1307B"/>
    <w:rsid w:val="00A15FBD"/>
    <w:rsid w:val="00A16BBA"/>
    <w:rsid w:val="00A2277E"/>
    <w:rsid w:val="00A24543"/>
    <w:rsid w:val="00A30E65"/>
    <w:rsid w:val="00A3630A"/>
    <w:rsid w:val="00A36DD8"/>
    <w:rsid w:val="00A44EA7"/>
    <w:rsid w:val="00A4512F"/>
    <w:rsid w:val="00A521E3"/>
    <w:rsid w:val="00A52C55"/>
    <w:rsid w:val="00A53D47"/>
    <w:rsid w:val="00A56493"/>
    <w:rsid w:val="00A77161"/>
    <w:rsid w:val="00A77423"/>
    <w:rsid w:val="00A83628"/>
    <w:rsid w:val="00A91C92"/>
    <w:rsid w:val="00A954D5"/>
    <w:rsid w:val="00AA4512"/>
    <w:rsid w:val="00AA6635"/>
    <w:rsid w:val="00AB0765"/>
    <w:rsid w:val="00AB7217"/>
    <w:rsid w:val="00AC0F40"/>
    <w:rsid w:val="00AC17FE"/>
    <w:rsid w:val="00AC7148"/>
    <w:rsid w:val="00AD021D"/>
    <w:rsid w:val="00AD7474"/>
    <w:rsid w:val="00AE0349"/>
    <w:rsid w:val="00AE086A"/>
    <w:rsid w:val="00AE1563"/>
    <w:rsid w:val="00AE5330"/>
    <w:rsid w:val="00AF6391"/>
    <w:rsid w:val="00B00C78"/>
    <w:rsid w:val="00B032F3"/>
    <w:rsid w:val="00B05B57"/>
    <w:rsid w:val="00B0758F"/>
    <w:rsid w:val="00B12779"/>
    <w:rsid w:val="00B12B44"/>
    <w:rsid w:val="00B1543F"/>
    <w:rsid w:val="00B165B5"/>
    <w:rsid w:val="00B16D01"/>
    <w:rsid w:val="00B23F00"/>
    <w:rsid w:val="00B32CAB"/>
    <w:rsid w:val="00B3723A"/>
    <w:rsid w:val="00B41E92"/>
    <w:rsid w:val="00B44F91"/>
    <w:rsid w:val="00B53C1F"/>
    <w:rsid w:val="00B56054"/>
    <w:rsid w:val="00B5653E"/>
    <w:rsid w:val="00B662F8"/>
    <w:rsid w:val="00B66CA2"/>
    <w:rsid w:val="00B73625"/>
    <w:rsid w:val="00B73BB7"/>
    <w:rsid w:val="00B83815"/>
    <w:rsid w:val="00B93380"/>
    <w:rsid w:val="00B93BA1"/>
    <w:rsid w:val="00BA04A7"/>
    <w:rsid w:val="00BA5C9D"/>
    <w:rsid w:val="00BB173F"/>
    <w:rsid w:val="00BB63E4"/>
    <w:rsid w:val="00BC20EF"/>
    <w:rsid w:val="00BC3632"/>
    <w:rsid w:val="00BC48BD"/>
    <w:rsid w:val="00BE0EC3"/>
    <w:rsid w:val="00BE4985"/>
    <w:rsid w:val="00BE59E7"/>
    <w:rsid w:val="00BE6CEA"/>
    <w:rsid w:val="00BF3171"/>
    <w:rsid w:val="00BF3741"/>
    <w:rsid w:val="00C14D06"/>
    <w:rsid w:val="00C16724"/>
    <w:rsid w:val="00C2503D"/>
    <w:rsid w:val="00C311D1"/>
    <w:rsid w:val="00C3772E"/>
    <w:rsid w:val="00C42F97"/>
    <w:rsid w:val="00C434FA"/>
    <w:rsid w:val="00C62BE8"/>
    <w:rsid w:val="00C64972"/>
    <w:rsid w:val="00C65FF4"/>
    <w:rsid w:val="00C76EF1"/>
    <w:rsid w:val="00C92721"/>
    <w:rsid w:val="00CA1752"/>
    <w:rsid w:val="00CA23C0"/>
    <w:rsid w:val="00CB0927"/>
    <w:rsid w:val="00CB0EC4"/>
    <w:rsid w:val="00CD100C"/>
    <w:rsid w:val="00CD6BEC"/>
    <w:rsid w:val="00CE1A5A"/>
    <w:rsid w:val="00CE1C21"/>
    <w:rsid w:val="00CE6826"/>
    <w:rsid w:val="00CE7182"/>
    <w:rsid w:val="00CF1AB4"/>
    <w:rsid w:val="00CF75CE"/>
    <w:rsid w:val="00D03000"/>
    <w:rsid w:val="00D05693"/>
    <w:rsid w:val="00D12ECD"/>
    <w:rsid w:val="00D16DE9"/>
    <w:rsid w:val="00D17583"/>
    <w:rsid w:val="00D22BED"/>
    <w:rsid w:val="00D26C15"/>
    <w:rsid w:val="00D27FFB"/>
    <w:rsid w:val="00D325E3"/>
    <w:rsid w:val="00D36A0D"/>
    <w:rsid w:val="00D4352E"/>
    <w:rsid w:val="00D53EF0"/>
    <w:rsid w:val="00D55270"/>
    <w:rsid w:val="00D57179"/>
    <w:rsid w:val="00D63A94"/>
    <w:rsid w:val="00D72D92"/>
    <w:rsid w:val="00D75B78"/>
    <w:rsid w:val="00D81462"/>
    <w:rsid w:val="00D82134"/>
    <w:rsid w:val="00D826EE"/>
    <w:rsid w:val="00D8732B"/>
    <w:rsid w:val="00D91EFE"/>
    <w:rsid w:val="00D9426A"/>
    <w:rsid w:val="00DB474F"/>
    <w:rsid w:val="00DC1964"/>
    <w:rsid w:val="00DC35D9"/>
    <w:rsid w:val="00DC5F73"/>
    <w:rsid w:val="00DD5F80"/>
    <w:rsid w:val="00DE5B31"/>
    <w:rsid w:val="00DE613F"/>
    <w:rsid w:val="00DE673F"/>
    <w:rsid w:val="00DE77C2"/>
    <w:rsid w:val="00DF2072"/>
    <w:rsid w:val="00DF3E06"/>
    <w:rsid w:val="00DF5487"/>
    <w:rsid w:val="00DF7E42"/>
    <w:rsid w:val="00E00251"/>
    <w:rsid w:val="00E13A02"/>
    <w:rsid w:val="00E15CFB"/>
    <w:rsid w:val="00E30B25"/>
    <w:rsid w:val="00E31694"/>
    <w:rsid w:val="00E352B2"/>
    <w:rsid w:val="00E40757"/>
    <w:rsid w:val="00E448DA"/>
    <w:rsid w:val="00E659B8"/>
    <w:rsid w:val="00E76FBF"/>
    <w:rsid w:val="00E82960"/>
    <w:rsid w:val="00E83883"/>
    <w:rsid w:val="00E84BC9"/>
    <w:rsid w:val="00E86F60"/>
    <w:rsid w:val="00EA34E7"/>
    <w:rsid w:val="00EB109F"/>
    <w:rsid w:val="00EB1420"/>
    <w:rsid w:val="00EB1D9F"/>
    <w:rsid w:val="00EB2D62"/>
    <w:rsid w:val="00EB3BDC"/>
    <w:rsid w:val="00EB516C"/>
    <w:rsid w:val="00EB5A32"/>
    <w:rsid w:val="00EC0F5C"/>
    <w:rsid w:val="00EC4135"/>
    <w:rsid w:val="00EC7E91"/>
    <w:rsid w:val="00ED6738"/>
    <w:rsid w:val="00ED75B1"/>
    <w:rsid w:val="00EE0BA8"/>
    <w:rsid w:val="00EE0FEA"/>
    <w:rsid w:val="00EE157A"/>
    <w:rsid w:val="00EE4754"/>
    <w:rsid w:val="00EE6309"/>
    <w:rsid w:val="00EE7A04"/>
    <w:rsid w:val="00EF18BC"/>
    <w:rsid w:val="00EF34CD"/>
    <w:rsid w:val="00EF632D"/>
    <w:rsid w:val="00F01E12"/>
    <w:rsid w:val="00F02575"/>
    <w:rsid w:val="00F0656F"/>
    <w:rsid w:val="00F105A8"/>
    <w:rsid w:val="00F1077E"/>
    <w:rsid w:val="00F13B84"/>
    <w:rsid w:val="00F17437"/>
    <w:rsid w:val="00F2149F"/>
    <w:rsid w:val="00F36AC6"/>
    <w:rsid w:val="00F4463E"/>
    <w:rsid w:val="00F530C2"/>
    <w:rsid w:val="00F62CEC"/>
    <w:rsid w:val="00F67EBC"/>
    <w:rsid w:val="00F72952"/>
    <w:rsid w:val="00F743FB"/>
    <w:rsid w:val="00F74B8C"/>
    <w:rsid w:val="00F752DB"/>
    <w:rsid w:val="00F763C2"/>
    <w:rsid w:val="00F822AD"/>
    <w:rsid w:val="00F8463D"/>
    <w:rsid w:val="00F93023"/>
    <w:rsid w:val="00FA0AA0"/>
    <w:rsid w:val="00FA133F"/>
    <w:rsid w:val="00FA3AFB"/>
    <w:rsid w:val="00FA40AE"/>
    <w:rsid w:val="00FA533E"/>
    <w:rsid w:val="00FC12E8"/>
    <w:rsid w:val="00FC3D35"/>
    <w:rsid w:val="00FD104E"/>
    <w:rsid w:val="00FD306A"/>
    <w:rsid w:val="00FD69E0"/>
    <w:rsid w:val="00FD743A"/>
    <w:rsid w:val="00FE7247"/>
    <w:rsid w:val="00FF027A"/>
    <w:rsid w:val="00FF7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AA82"/>
  <w15:docId w15:val="{88F8BBB2-9767-4394-ADBD-AA0D54D4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23C0"/>
    <w:rPr>
      <w:rFonts w:ascii="Times New Roman" w:eastAsia="Times New Roman" w:hAnsi="Times New Roman" w:cs="Times New Roman"/>
      <w:lang w:val="es-ES"/>
    </w:rPr>
  </w:style>
  <w:style w:type="paragraph" w:styleId="Ttulo1">
    <w:name w:val="heading 1"/>
    <w:basedOn w:val="Normal"/>
    <w:link w:val="Ttulo1Car"/>
    <w:uiPriority w:val="9"/>
    <w:qFormat/>
    <w:pPr>
      <w:ind w:left="498" w:right="515"/>
      <w:jc w:val="center"/>
      <w:outlineLvl w:val="0"/>
    </w:pPr>
    <w:rPr>
      <w:rFonts w:ascii="Calibri" w:eastAsia="Calibri" w:hAnsi="Calibri" w:cs="Calibri"/>
      <w:b/>
      <w:bCs/>
      <w:sz w:val="32"/>
      <w:szCs w:val="32"/>
    </w:rPr>
  </w:style>
  <w:style w:type="paragraph" w:styleId="Ttulo2">
    <w:name w:val="heading 2"/>
    <w:basedOn w:val="Normal"/>
    <w:uiPriority w:val="1"/>
    <w:qFormat/>
    <w:pPr>
      <w:ind w:left="102"/>
      <w:jc w:val="both"/>
      <w:outlineLvl w:val="1"/>
    </w:pPr>
    <w:rPr>
      <w:b/>
      <w:bCs/>
      <w:sz w:val="28"/>
      <w:szCs w:val="28"/>
    </w:rPr>
  </w:style>
  <w:style w:type="paragraph" w:styleId="Ttulo3">
    <w:name w:val="heading 3"/>
    <w:basedOn w:val="Normal"/>
    <w:next w:val="Normal"/>
    <w:link w:val="Ttulo3Car"/>
    <w:uiPriority w:val="9"/>
    <w:semiHidden/>
    <w:unhideWhenUsed/>
    <w:qFormat/>
    <w:rsid w:val="005B25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02" w:firstLine="707"/>
    </w:pPr>
  </w:style>
  <w:style w:type="paragraph" w:customStyle="1" w:styleId="TableParagraph">
    <w:name w:val="Table Paragraph"/>
    <w:basedOn w:val="Normal"/>
    <w:uiPriority w:val="1"/>
    <w:qFormat/>
    <w:pPr>
      <w:spacing w:before="99"/>
      <w:ind w:left="100"/>
    </w:pPr>
  </w:style>
  <w:style w:type="paragraph" w:styleId="Textodeglobo">
    <w:name w:val="Balloon Text"/>
    <w:basedOn w:val="Normal"/>
    <w:link w:val="TextodegloboCar"/>
    <w:uiPriority w:val="99"/>
    <w:semiHidden/>
    <w:unhideWhenUsed/>
    <w:rsid w:val="000747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7B3"/>
    <w:rPr>
      <w:rFonts w:ascii="Segoe UI" w:eastAsia="Times New Roman" w:hAnsi="Segoe UI" w:cs="Segoe UI"/>
      <w:sz w:val="18"/>
      <w:szCs w:val="18"/>
      <w:lang w:val="es-ES"/>
    </w:rPr>
  </w:style>
  <w:style w:type="paragraph" w:styleId="Encabezado">
    <w:name w:val="header"/>
    <w:basedOn w:val="Normal"/>
    <w:link w:val="EncabezadoCar"/>
    <w:uiPriority w:val="99"/>
    <w:unhideWhenUsed/>
    <w:rsid w:val="000747B3"/>
    <w:pPr>
      <w:tabs>
        <w:tab w:val="center" w:pos="4419"/>
        <w:tab w:val="right" w:pos="8838"/>
      </w:tabs>
    </w:pPr>
  </w:style>
  <w:style w:type="character" w:customStyle="1" w:styleId="EncabezadoCar">
    <w:name w:val="Encabezado Car"/>
    <w:basedOn w:val="Fuentedeprrafopredeter"/>
    <w:link w:val="Encabezado"/>
    <w:uiPriority w:val="99"/>
    <w:rsid w:val="000747B3"/>
    <w:rPr>
      <w:rFonts w:ascii="Times New Roman" w:eastAsia="Times New Roman" w:hAnsi="Times New Roman" w:cs="Times New Roman"/>
      <w:lang w:val="es-ES"/>
    </w:rPr>
  </w:style>
  <w:style w:type="paragraph" w:styleId="Piedepgina">
    <w:name w:val="footer"/>
    <w:basedOn w:val="Normal"/>
    <w:link w:val="PiedepginaCar"/>
    <w:uiPriority w:val="99"/>
    <w:unhideWhenUsed/>
    <w:rsid w:val="000747B3"/>
    <w:pPr>
      <w:tabs>
        <w:tab w:val="center" w:pos="4419"/>
        <w:tab w:val="right" w:pos="8838"/>
      </w:tabs>
    </w:pPr>
  </w:style>
  <w:style w:type="character" w:customStyle="1" w:styleId="PiedepginaCar">
    <w:name w:val="Pie de página Car"/>
    <w:basedOn w:val="Fuentedeprrafopredeter"/>
    <w:link w:val="Piedepgina"/>
    <w:uiPriority w:val="99"/>
    <w:rsid w:val="000747B3"/>
    <w:rPr>
      <w:rFonts w:ascii="Times New Roman" w:eastAsia="Times New Roman" w:hAnsi="Times New Roman" w:cs="Times New Roman"/>
      <w:lang w:val="es-ES"/>
    </w:rPr>
  </w:style>
  <w:style w:type="character" w:styleId="Hipervnculo">
    <w:name w:val="Hyperlink"/>
    <w:basedOn w:val="Fuentedeprrafopredeter"/>
    <w:uiPriority w:val="99"/>
    <w:unhideWhenUsed/>
    <w:rsid w:val="000747B3"/>
    <w:rPr>
      <w:color w:val="0000FF" w:themeColor="hyperlink"/>
      <w:u w:val="single"/>
    </w:rPr>
  </w:style>
  <w:style w:type="paragraph" w:styleId="HTMLconformatoprevio">
    <w:name w:val="HTML Preformatted"/>
    <w:basedOn w:val="Normal"/>
    <w:link w:val="HTMLconformatoprevioCar"/>
    <w:uiPriority w:val="99"/>
    <w:unhideWhenUsed/>
    <w:rsid w:val="009C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9C1875"/>
    <w:rPr>
      <w:rFonts w:ascii="Courier New" w:eastAsia="Times New Roman" w:hAnsi="Courier New" w:cs="Courier New"/>
      <w:sz w:val="20"/>
      <w:szCs w:val="20"/>
      <w:lang w:val="es-MX" w:eastAsia="es-MX"/>
    </w:rPr>
  </w:style>
  <w:style w:type="character" w:customStyle="1" w:styleId="y2iqfc">
    <w:name w:val="y2iqfc"/>
    <w:basedOn w:val="Fuentedeprrafopredeter"/>
    <w:rsid w:val="009C1875"/>
  </w:style>
  <w:style w:type="paragraph" w:customStyle="1" w:styleId="3Ttulotabla">
    <w:name w:val="3 Título tabla"/>
    <w:rsid w:val="00FA40AE"/>
    <w:pPr>
      <w:keepNext/>
      <w:autoSpaceDE/>
      <w:autoSpaceDN/>
      <w:spacing w:before="360" w:after="120"/>
    </w:pPr>
    <w:rPr>
      <w:rFonts w:ascii="Century Gothic" w:eastAsia="Times New Roman" w:hAnsi="Century Gothic" w:cs="Times New Roman"/>
      <w:sz w:val="20"/>
      <w:szCs w:val="20"/>
      <w:lang w:val="es-ES" w:eastAsia="es-ES"/>
    </w:rPr>
  </w:style>
  <w:style w:type="paragraph" w:customStyle="1" w:styleId="3Fuente">
    <w:name w:val="3 Fuente"/>
    <w:rsid w:val="00FA40AE"/>
    <w:pPr>
      <w:autoSpaceDE/>
      <w:autoSpaceDN/>
      <w:spacing w:before="120" w:after="360"/>
    </w:pPr>
    <w:rPr>
      <w:rFonts w:ascii="Century Gothic" w:eastAsia="Times New Roman" w:hAnsi="Century Gothic" w:cs="Times New Roman"/>
      <w:sz w:val="16"/>
      <w:szCs w:val="16"/>
      <w:lang w:val="es-MX" w:eastAsia="es-ES"/>
    </w:rPr>
  </w:style>
  <w:style w:type="character" w:customStyle="1" w:styleId="text-format-content">
    <w:name w:val="text-format-content"/>
    <w:basedOn w:val="Fuentedeprrafopredeter"/>
    <w:rsid w:val="00D72D92"/>
  </w:style>
  <w:style w:type="character" w:customStyle="1" w:styleId="TextoindependienteCar">
    <w:name w:val="Texto independiente Car"/>
    <w:basedOn w:val="Fuentedeprrafopredeter"/>
    <w:link w:val="Textoindependiente"/>
    <w:uiPriority w:val="1"/>
    <w:rsid w:val="00EF632D"/>
    <w:rPr>
      <w:rFonts w:ascii="Times New Roman" w:eastAsia="Times New Roman" w:hAnsi="Times New Roman" w:cs="Times New Roman"/>
      <w:sz w:val="24"/>
      <w:szCs w:val="24"/>
      <w:lang w:val="es-ES"/>
    </w:rPr>
  </w:style>
  <w:style w:type="paragraph" w:customStyle="1" w:styleId="Pa4">
    <w:name w:val="Pa4"/>
    <w:basedOn w:val="Normal"/>
    <w:next w:val="Normal"/>
    <w:uiPriority w:val="99"/>
    <w:rsid w:val="008C325D"/>
    <w:pPr>
      <w:widowControl/>
      <w:adjustRightInd w:val="0"/>
      <w:spacing w:line="221" w:lineRule="atLeast"/>
    </w:pPr>
    <w:rPr>
      <w:rFonts w:ascii="HSVGA Y+ Akzidenz Grotesk BQ" w:eastAsiaTheme="minorHAnsi" w:hAnsi="HSVGA Y+ Akzidenz Grotesk BQ" w:cstheme="minorBidi"/>
      <w:sz w:val="24"/>
      <w:szCs w:val="24"/>
      <w:lang w:val="es-MX"/>
    </w:rPr>
  </w:style>
  <w:style w:type="character" w:customStyle="1" w:styleId="A8">
    <w:name w:val="A8"/>
    <w:uiPriority w:val="99"/>
    <w:rsid w:val="008C325D"/>
    <w:rPr>
      <w:rFonts w:cs="HSVGA Y+ Akzidenz Grotesk BQ"/>
      <w:color w:val="000000"/>
    </w:rPr>
  </w:style>
  <w:style w:type="character" w:customStyle="1" w:styleId="A5">
    <w:name w:val="A5"/>
    <w:uiPriority w:val="99"/>
    <w:rsid w:val="008C325D"/>
    <w:rPr>
      <w:rFonts w:ascii="Baskerville" w:hAnsi="Baskerville" w:cs="Baskerville"/>
      <w:color w:val="000000"/>
      <w:sz w:val="20"/>
      <w:szCs w:val="20"/>
    </w:rPr>
  </w:style>
  <w:style w:type="character" w:customStyle="1" w:styleId="Ttulo1Car">
    <w:name w:val="Título 1 Car"/>
    <w:basedOn w:val="Fuentedeprrafopredeter"/>
    <w:link w:val="Ttulo1"/>
    <w:uiPriority w:val="9"/>
    <w:rsid w:val="002D2D4B"/>
    <w:rPr>
      <w:rFonts w:ascii="Calibri" w:eastAsia="Calibri" w:hAnsi="Calibri" w:cs="Calibri"/>
      <w:b/>
      <w:bCs/>
      <w:sz w:val="32"/>
      <w:szCs w:val="32"/>
      <w:lang w:val="es-ES"/>
    </w:rPr>
  </w:style>
  <w:style w:type="paragraph" w:styleId="Bibliografa">
    <w:name w:val="Bibliography"/>
    <w:basedOn w:val="Normal"/>
    <w:next w:val="Normal"/>
    <w:uiPriority w:val="37"/>
    <w:unhideWhenUsed/>
    <w:rsid w:val="002D2D4B"/>
  </w:style>
  <w:style w:type="character" w:styleId="Refdecomentario">
    <w:name w:val="annotation reference"/>
    <w:basedOn w:val="Fuentedeprrafopredeter"/>
    <w:uiPriority w:val="99"/>
    <w:semiHidden/>
    <w:unhideWhenUsed/>
    <w:rsid w:val="0053367D"/>
    <w:rPr>
      <w:sz w:val="16"/>
      <w:szCs w:val="16"/>
    </w:rPr>
  </w:style>
  <w:style w:type="paragraph" w:styleId="Textocomentario">
    <w:name w:val="annotation text"/>
    <w:basedOn w:val="Normal"/>
    <w:link w:val="TextocomentarioCar"/>
    <w:uiPriority w:val="99"/>
    <w:unhideWhenUsed/>
    <w:rsid w:val="0053367D"/>
    <w:rPr>
      <w:sz w:val="20"/>
      <w:szCs w:val="20"/>
    </w:rPr>
  </w:style>
  <w:style w:type="character" w:customStyle="1" w:styleId="TextocomentarioCar">
    <w:name w:val="Texto comentario Car"/>
    <w:basedOn w:val="Fuentedeprrafopredeter"/>
    <w:link w:val="Textocomentario"/>
    <w:uiPriority w:val="99"/>
    <w:rsid w:val="0053367D"/>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3367D"/>
    <w:rPr>
      <w:b/>
      <w:bCs/>
    </w:rPr>
  </w:style>
  <w:style w:type="character" w:customStyle="1" w:styleId="AsuntodelcomentarioCar">
    <w:name w:val="Asunto del comentario Car"/>
    <w:basedOn w:val="TextocomentarioCar"/>
    <w:link w:val="Asuntodelcomentario"/>
    <w:uiPriority w:val="99"/>
    <w:semiHidden/>
    <w:rsid w:val="0053367D"/>
    <w:rPr>
      <w:rFonts w:ascii="Times New Roman" w:eastAsia="Times New Roman" w:hAnsi="Times New Roman" w:cs="Times New Roman"/>
      <w:b/>
      <w:bCs/>
      <w:sz w:val="20"/>
      <w:szCs w:val="20"/>
      <w:lang w:val="es-ES"/>
    </w:rPr>
  </w:style>
  <w:style w:type="paragraph" w:styleId="NormalWeb">
    <w:name w:val="Normal (Web)"/>
    <w:basedOn w:val="Normal"/>
    <w:uiPriority w:val="99"/>
    <w:unhideWhenUsed/>
    <w:rsid w:val="00B93BA1"/>
    <w:pPr>
      <w:widowControl/>
      <w:autoSpaceDE/>
      <w:autoSpaceDN/>
      <w:spacing w:before="100" w:beforeAutospacing="1" w:after="100" w:afterAutospacing="1"/>
    </w:pPr>
    <w:rPr>
      <w:sz w:val="24"/>
      <w:szCs w:val="24"/>
      <w:lang w:val="es-419" w:eastAsia="es-419"/>
    </w:rPr>
  </w:style>
  <w:style w:type="paragraph" w:styleId="Ttulo">
    <w:name w:val="Title"/>
    <w:basedOn w:val="Normal"/>
    <w:next w:val="Normal"/>
    <w:link w:val="TtuloCar"/>
    <w:uiPriority w:val="10"/>
    <w:qFormat/>
    <w:rsid w:val="00FA133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133F"/>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FA133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FA133F"/>
    <w:rPr>
      <w:rFonts w:eastAsiaTheme="minorEastAsia"/>
      <w:color w:val="5A5A5A" w:themeColor="text1" w:themeTint="A5"/>
      <w:spacing w:val="15"/>
      <w:lang w:val="es-ES"/>
    </w:rPr>
  </w:style>
  <w:style w:type="character" w:customStyle="1" w:styleId="Mencinsinresolver1">
    <w:name w:val="Mención sin resolver1"/>
    <w:basedOn w:val="Fuentedeprrafopredeter"/>
    <w:uiPriority w:val="99"/>
    <w:semiHidden/>
    <w:unhideWhenUsed/>
    <w:rsid w:val="00A56493"/>
    <w:rPr>
      <w:color w:val="605E5C"/>
      <w:shd w:val="clear" w:color="auto" w:fill="E1DFDD"/>
    </w:rPr>
  </w:style>
  <w:style w:type="table" w:styleId="Tablaconcuadrcula">
    <w:name w:val="Table Grid"/>
    <w:basedOn w:val="Tablanormal"/>
    <w:uiPriority w:val="39"/>
    <w:rsid w:val="00066F73"/>
    <w:pPr>
      <w:widowControl/>
      <w:autoSpaceDE/>
      <w:autoSpaceDN/>
    </w:pPr>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5468"/>
    <w:pPr>
      <w:widowControl/>
      <w:autoSpaceDE/>
      <w:autoSpaceDN/>
    </w:pPr>
    <w:rPr>
      <w:rFonts w:ascii="Times New Roman" w:eastAsia="Times New Roman" w:hAnsi="Times New Roman" w:cs="Times New Roman"/>
      <w:lang w:val="es-ES"/>
    </w:rPr>
  </w:style>
  <w:style w:type="character" w:customStyle="1" w:styleId="Ttulo3Car">
    <w:name w:val="Título 3 Car"/>
    <w:basedOn w:val="Fuentedeprrafopredeter"/>
    <w:link w:val="Ttulo3"/>
    <w:uiPriority w:val="9"/>
    <w:semiHidden/>
    <w:rsid w:val="005B25D9"/>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7366">
      <w:bodyDiv w:val="1"/>
      <w:marLeft w:val="0"/>
      <w:marRight w:val="0"/>
      <w:marTop w:val="0"/>
      <w:marBottom w:val="0"/>
      <w:divBdr>
        <w:top w:val="none" w:sz="0" w:space="0" w:color="auto"/>
        <w:left w:val="none" w:sz="0" w:space="0" w:color="auto"/>
        <w:bottom w:val="none" w:sz="0" w:space="0" w:color="auto"/>
        <w:right w:val="none" w:sz="0" w:space="0" w:color="auto"/>
      </w:divBdr>
    </w:div>
    <w:div w:id="85884325">
      <w:bodyDiv w:val="1"/>
      <w:marLeft w:val="0"/>
      <w:marRight w:val="0"/>
      <w:marTop w:val="0"/>
      <w:marBottom w:val="0"/>
      <w:divBdr>
        <w:top w:val="none" w:sz="0" w:space="0" w:color="auto"/>
        <w:left w:val="none" w:sz="0" w:space="0" w:color="auto"/>
        <w:bottom w:val="none" w:sz="0" w:space="0" w:color="auto"/>
        <w:right w:val="none" w:sz="0" w:space="0" w:color="auto"/>
      </w:divBdr>
    </w:div>
    <w:div w:id="98722212">
      <w:bodyDiv w:val="1"/>
      <w:marLeft w:val="0"/>
      <w:marRight w:val="0"/>
      <w:marTop w:val="0"/>
      <w:marBottom w:val="0"/>
      <w:divBdr>
        <w:top w:val="none" w:sz="0" w:space="0" w:color="auto"/>
        <w:left w:val="none" w:sz="0" w:space="0" w:color="auto"/>
        <w:bottom w:val="none" w:sz="0" w:space="0" w:color="auto"/>
        <w:right w:val="none" w:sz="0" w:space="0" w:color="auto"/>
      </w:divBdr>
    </w:div>
    <w:div w:id="100145155">
      <w:bodyDiv w:val="1"/>
      <w:marLeft w:val="0"/>
      <w:marRight w:val="0"/>
      <w:marTop w:val="0"/>
      <w:marBottom w:val="0"/>
      <w:divBdr>
        <w:top w:val="none" w:sz="0" w:space="0" w:color="auto"/>
        <w:left w:val="none" w:sz="0" w:space="0" w:color="auto"/>
        <w:bottom w:val="none" w:sz="0" w:space="0" w:color="auto"/>
        <w:right w:val="none" w:sz="0" w:space="0" w:color="auto"/>
      </w:divBdr>
    </w:div>
    <w:div w:id="127406385">
      <w:bodyDiv w:val="1"/>
      <w:marLeft w:val="0"/>
      <w:marRight w:val="0"/>
      <w:marTop w:val="0"/>
      <w:marBottom w:val="0"/>
      <w:divBdr>
        <w:top w:val="none" w:sz="0" w:space="0" w:color="auto"/>
        <w:left w:val="none" w:sz="0" w:space="0" w:color="auto"/>
        <w:bottom w:val="none" w:sz="0" w:space="0" w:color="auto"/>
        <w:right w:val="none" w:sz="0" w:space="0" w:color="auto"/>
      </w:divBdr>
    </w:div>
    <w:div w:id="236482002">
      <w:bodyDiv w:val="1"/>
      <w:marLeft w:val="0"/>
      <w:marRight w:val="0"/>
      <w:marTop w:val="0"/>
      <w:marBottom w:val="0"/>
      <w:divBdr>
        <w:top w:val="none" w:sz="0" w:space="0" w:color="auto"/>
        <w:left w:val="none" w:sz="0" w:space="0" w:color="auto"/>
        <w:bottom w:val="none" w:sz="0" w:space="0" w:color="auto"/>
        <w:right w:val="none" w:sz="0" w:space="0" w:color="auto"/>
      </w:divBdr>
    </w:div>
    <w:div w:id="275256178">
      <w:bodyDiv w:val="1"/>
      <w:marLeft w:val="0"/>
      <w:marRight w:val="0"/>
      <w:marTop w:val="0"/>
      <w:marBottom w:val="0"/>
      <w:divBdr>
        <w:top w:val="none" w:sz="0" w:space="0" w:color="auto"/>
        <w:left w:val="none" w:sz="0" w:space="0" w:color="auto"/>
        <w:bottom w:val="none" w:sz="0" w:space="0" w:color="auto"/>
        <w:right w:val="none" w:sz="0" w:space="0" w:color="auto"/>
      </w:divBdr>
    </w:div>
    <w:div w:id="318077196">
      <w:bodyDiv w:val="1"/>
      <w:marLeft w:val="0"/>
      <w:marRight w:val="0"/>
      <w:marTop w:val="0"/>
      <w:marBottom w:val="0"/>
      <w:divBdr>
        <w:top w:val="none" w:sz="0" w:space="0" w:color="auto"/>
        <w:left w:val="none" w:sz="0" w:space="0" w:color="auto"/>
        <w:bottom w:val="none" w:sz="0" w:space="0" w:color="auto"/>
        <w:right w:val="none" w:sz="0" w:space="0" w:color="auto"/>
      </w:divBdr>
    </w:div>
    <w:div w:id="392823698">
      <w:bodyDiv w:val="1"/>
      <w:marLeft w:val="0"/>
      <w:marRight w:val="0"/>
      <w:marTop w:val="0"/>
      <w:marBottom w:val="0"/>
      <w:divBdr>
        <w:top w:val="none" w:sz="0" w:space="0" w:color="auto"/>
        <w:left w:val="none" w:sz="0" w:space="0" w:color="auto"/>
        <w:bottom w:val="none" w:sz="0" w:space="0" w:color="auto"/>
        <w:right w:val="none" w:sz="0" w:space="0" w:color="auto"/>
      </w:divBdr>
    </w:div>
    <w:div w:id="406071767">
      <w:bodyDiv w:val="1"/>
      <w:marLeft w:val="0"/>
      <w:marRight w:val="0"/>
      <w:marTop w:val="0"/>
      <w:marBottom w:val="0"/>
      <w:divBdr>
        <w:top w:val="none" w:sz="0" w:space="0" w:color="auto"/>
        <w:left w:val="none" w:sz="0" w:space="0" w:color="auto"/>
        <w:bottom w:val="none" w:sz="0" w:space="0" w:color="auto"/>
        <w:right w:val="none" w:sz="0" w:space="0" w:color="auto"/>
      </w:divBdr>
    </w:div>
    <w:div w:id="409692889">
      <w:bodyDiv w:val="1"/>
      <w:marLeft w:val="0"/>
      <w:marRight w:val="0"/>
      <w:marTop w:val="0"/>
      <w:marBottom w:val="0"/>
      <w:divBdr>
        <w:top w:val="none" w:sz="0" w:space="0" w:color="auto"/>
        <w:left w:val="none" w:sz="0" w:space="0" w:color="auto"/>
        <w:bottom w:val="none" w:sz="0" w:space="0" w:color="auto"/>
        <w:right w:val="none" w:sz="0" w:space="0" w:color="auto"/>
      </w:divBdr>
    </w:div>
    <w:div w:id="468281377">
      <w:bodyDiv w:val="1"/>
      <w:marLeft w:val="0"/>
      <w:marRight w:val="0"/>
      <w:marTop w:val="0"/>
      <w:marBottom w:val="0"/>
      <w:divBdr>
        <w:top w:val="none" w:sz="0" w:space="0" w:color="auto"/>
        <w:left w:val="none" w:sz="0" w:space="0" w:color="auto"/>
        <w:bottom w:val="none" w:sz="0" w:space="0" w:color="auto"/>
        <w:right w:val="none" w:sz="0" w:space="0" w:color="auto"/>
      </w:divBdr>
    </w:div>
    <w:div w:id="474642213">
      <w:bodyDiv w:val="1"/>
      <w:marLeft w:val="0"/>
      <w:marRight w:val="0"/>
      <w:marTop w:val="0"/>
      <w:marBottom w:val="0"/>
      <w:divBdr>
        <w:top w:val="none" w:sz="0" w:space="0" w:color="auto"/>
        <w:left w:val="none" w:sz="0" w:space="0" w:color="auto"/>
        <w:bottom w:val="none" w:sz="0" w:space="0" w:color="auto"/>
        <w:right w:val="none" w:sz="0" w:space="0" w:color="auto"/>
      </w:divBdr>
    </w:div>
    <w:div w:id="485245727">
      <w:bodyDiv w:val="1"/>
      <w:marLeft w:val="0"/>
      <w:marRight w:val="0"/>
      <w:marTop w:val="0"/>
      <w:marBottom w:val="0"/>
      <w:divBdr>
        <w:top w:val="none" w:sz="0" w:space="0" w:color="auto"/>
        <w:left w:val="none" w:sz="0" w:space="0" w:color="auto"/>
        <w:bottom w:val="none" w:sz="0" w:space="0" w:color="auto"/>
        <w:right w:val="none" w:sz="0" w:space="0" w:color="auto"/>
      </w:divBdr>
    </w:div>
    <w:div w:id="487749498">
      <w:bodyDiv w:val="1"/>
      <w:marLeft w:val="0"/>
      <w:marRight w:val="0"/>
      <w:marTop w:val="0"/>
      <w:marBottom w:val="0"/>
      <w:divBdr>
        <w:top w:val="none" w:sz="0" w:space="0" w:color="auto"/>
        <w:left w:val="none" w:sz="0" w:space="0" w:color="auto"/>
        <w:bottom w:val="none" w:sz="0" w:space="0" w:color="auto"/>
        <w:right w:val="none" w:sz="0" w:space="0" w:color="auto"/>
      </w:divBdr>
    </w:div>
    <w:div w:id="493768054">
      <w:bodyDiv w:val="1"/>
      <w:marLeft w:val="0"/>
      <w:marRight w:val="0"/>
      <w:marTop w:val="0"/>
      <w:marBottom w:val="0"/>
      <w:divBdr>
        <w:top w:val="none" w:sz="0" w:space="0" w:color="auto"/>
        <w:left w:val="none" w:sz="0" w:space="0" w:color="auto"/>
        <w:bottom w:val="none" w:sz="0" w:space="0" w:color="auto"/>
        <w:right w:val="none" w:sz="0" w:space="0" w:color="auto"/>
      </w:divBdr>
    </w:div>
    <w:div w:id="527983460">
      <w:bodyDiv w:val="1"/>
      <w:marLeft w:val="0"/>
      <w:marRight w:val="0"/>
      <w:marTop w:val="0"/>
      <w:marBottom w:val="0"/>
      <w:divBdr>
        <w:top w:val="none" w:sz="0" w:space="0" w:color="auto"/>
        <w:left w:val="none" w:sz="0" w:space="0" w:color="auto"/>
        <w:bottom w:val="none" w:sz="0" w:space="0" w:color="auto"/>
        <w:right w:val="none" w:sz="0" w:space="0" w:color="auto"/>
      </w:divBdr>
    </w:div>
    <w:div w:id="779103562">
      <w:bodyDiv w:val="1"/>
      <w:marLeft w:val="0"/>
      <w:marRight w:val="0"/>
      <w:marTop w:val="0"/>
      <w:marBottom w:val="0"/>
      <w:divBdr>
        <w:top w:val="none" w:sz="0" w:space="0" w:color="auto"/>
        <w:left w:val="none" w:sz="0" w:space="0" w:color="auto"/>
        <w:bottom w:val="none" w:sz="0" w:space="0" w:color="auto"/>
        <w:right w:val="none" w:sz="0" w:space="0" w:color="auto"/>
      </w:divBdr>
    </w:div>
    <w:div w:id="860119944">
      <w:bodyDiv w:val="1"/>
      <w:marLeft w:val="0"/>
      <w:marRight w:val="0"/>
      <w:marTop w:val="0"/>
      <w:marBottom w:val="0"/>
      <w:divBdr>
        <w:top w:val="none" w:sz="0" w:space="0" w:color="auto"/>
        <w:left w:val="none" w:sz="0" w:space="0" w:color="auto"/>
        <w:bottom w:val="none" w:sz="0" w:space="0" w:color="auto"/>
        <w:right w:val="none" w:sz="0" w:space="0" w:color="auto"/>
      </w:divBdr>
    </w:div>
    <w:div w:id="883253348">
      <w:bodyDiv w:val="1"/>
      <w:marLeft w:val="0"/>
      <w:marRight w:val="0"/>
      <w:marTop w:val="0"/>
      <w:marBottom w:val="0"/>
      <w:divBdr>
        <w:top w:val="none" w:sz="0" w:space="0" w:color="auto"/>
        <w:left w:val="none" w:sz="0" w:space="0" w:color="auto"/>
        <w:bottom w:val="none" w:sz="0" w:space="0" w:color="auto"/>
        <w:right w:val="none" w:sz="0" w:space="0" w:color="auto"/>
      </w:divBdr>
    </w:div>
    <w:div w:id="925960685">
      <w:bodyDiv w:val="1"/>
      <w:marLeft w:val="0"/>
      <w:marRight w:val="0"/>
      <w:marTop w:val="0"/>
      <w:marBottom w:val="0"/>
      <w:divBdr>
        <w:top w:val="none" w:sz="0" w:space="0" w:color="auto"/>
        <w:left w:val="none" w:sz="0" w:space="0" w:color="auto"/>
        <w:bottom w:val="none" w:sz="0" w:space="0" w:color="auto"/>
        <w:right w:val="none" w:sz="0" w:space="0" w:color="auto"/>
      </w:divBdr>
    </w:div>
    <w:div w:id="1028876815">
      <w:bodyDiv w:val="1"/>
      <w:marLeft w:val="0"/>
      <w:marRight w:val="0"/>
      <w:marTop w:val="0"/>
      <w:marBottom w:val="0"/>
      <w:divBdr>
        <w:top w:val="none" w:sz="0" w:space="0" w:color="auto"/>
        <w:left w:val="none" w:sz="0" w:space="0" w:color="auto"/>
        <w:bottom w:val="none" w:sz="0" w:space="0" w:color="auto"/>
        <w:right w:val="none" w:sz="0" w:space="0" w:color="auto"/>
      </w:divBdr>
    </w:div>
    <w:div w:id="1038581022">
      <w:bodyDiv w:val="1"/>
      <w:marLeft w:val="0"/>
      <w:marRight w:val="0"/>
      <w:marTop w:val="0"/>
      <w:marBottom w:val="0"/>
      <w:divBdr>
        <w:top w:val="none" w:sz="0" w:space="0" w:color="auto"/>
        <w:left w:val="none" w:sz="0" w:space="0" w:color="auto"/>
        <w:bottom w:val="none" w:sz="0" w:space="0" w:color="auto"/>
        <w:right w:val="none" w:sz="0" w:space="0" w:color="auto"/>
      </w:divBdr>
    </w:div>
    <w:div w:id="1086075075">
      <w:bodyDiv w:val="1"/>
      <w:marLeft w:val="0"/>
      <w:marRight w:val="0"/>
      <w:marTop w:val="0"/>
      <w:marBottom w:val="0"/>
      <w:divBdr>
        <w:top w:val="none" w:sz="0" w:space="0" w:color="auto"/>
        <w:left w:val="none" w:sz="0" w:space="0" w:color="auto"/>
        <w:bottom w:val="none" w:sz="0" w:space="0" w:color="auto"/>
        <w:right w:val="none" w:sz="0" w:space="0" w:color="auto"/>
      </w:divBdr>
    </w:div>
    <w:div w:id="1096905998">
      <w:bodyDiv w:val="1"/>
      <w:marLeft w:val="0"/>
      <w:marRight w:val="0"/>
      <w:marTop w:val="0"/>
      <w:marBottom w:val="0"/>
      <w:divBdr>
        <w:top w:val="none" w:sz="0" w:space="0" w:color="auto"/>
        <w:left w:val="none" w:sz="0" w:space="0" w:color="auto"/>
        <w:bottom w:val="none" w:sz="0" w:space="0" w:color="auto"/>
        <w:right w:val="none" w:sz="0" w:space="0" w:color="auto"/>
      </w:divBdr>
    </w:div>
    <w:div w:id="1109814392">
      <w:bodyDiv w:val="1"/>
      <w:marLeft w:val="0"/>
      <w:marRight w:val="0"/>
      <w:marTop w:val="0"/>
      <w:marBottom w:val="0"/>
      <w:divBdr>
        <w:top w:val="none" w:sz="0" w:space="0" w:color="auto"/>
        <w:left w:val="none" w:sz="0" w:space="0" w:color="auto"/>
        <w:bottom w:val="none" w:sz="0" w:space="0" w:color="auto"/>
        <w:right w:val="none" w:sz="0" w:space="0" w:color="auto"/>
      </w:divBdr>
    </w:div>
    <w:div w:id="1137604080">
      <w:bodyDiv w:val="1"/>
      <w:marLeft w:val="0"/>
      <w:marRight w:val="0"/>
      <w:marTop w:val="0"/>
      <w:marBottom w:val="0"/>
      <w:divBdr>
        <w:top w:val="none" w:sz="0" w:space="0" w:color="auto"/>
        <w:left w:val="none" w:sz="0" w:space="0" w:color="auto"/>
        <w:bottom w:val="none" w:sz="0" w:space="0" w:color="auto"/>
        <w:right w:val="none" w:sz="0" w:space="0" w:color="auto"/>
      </w:divBdr>
    </w:div>
    <w:div w:id="1301183605">
      <w:bodyDiv w:val="1"/>
      <w:marLeft w:val="0"/>
      <w:marRight w:val="0"/>
      <w:marTop w:val="0"/>
      <w:marBottom w:val="0"/>
      <w:divBdr>
        <w:top w:val="none" w:sz="0" w:space="0" w:color="auto"/>
        <w:left w:val="none" w:sz="0" w:space="0" w:color="auto"/>
        <w:bottom w:val="none" w:sz="0" w:space="0" w:color="auto"/>
        <w:right w:val="none" w:sz="0" w:space="0" w:color="auto"/>
      </w:divBdr>
    </w:div>
    <w:div w:id="1320579863">
      <w:bodyDiv w:val="1"/>
      <w:marLeft w:val="0"/>
      <w:marRight w:val="0"/>
      <w:marTop w:val="0"/>
      <w:marBottom w:val="0"/>
      <w:divBdr>
        <w:top w:val="none" w:sz="0" w:space="0" w:color="auto"/>
        <w:left w:val="none" w:sz="0" w:space="0" w:color="auto"/>
        <w:bottom w:val="none" w:sz="0" w:space="0" w:color="auto"/>
        <w:right w:val="none" w:sz="0" w:space="0" w:color="auto"/>
      </w:divBdr>
    </w:div>
    <w:div w:id="1323661315">
      <w:bodyDiv w:val="1"/>
      <w:marLeft w:val="0"/>
      <w:marRight w:val="0"/>
      <w:marTop w:val="0"/>
      <w:marBottom w:val="0"/>
      <w:divBdr>
        <w:top w:val="none" w:sz="0" w:space="0" w:color="auto"/>
        <w:left w:val="none" w:sz="0" w:space="0" w:color="auto"/>
        <w:bottom w:val="none" w:sz="0" w:space="0" w:color="auto"/>
        <w:right w:val="none" w:sz="0" w:space="0" w:color="auto"/>
      </w:divBdr>
      <w:divsChild>
        <w:div w:id="676276130">
          <w:marLeft w:val="0"/>
          <w:marRight w:val="0"/>
          <w:marTop w:val="0"/>
          <w:marBottom w:val="0"/>
          <w:divBdr>
            <w:top w:val="none" w:sz="0" w:space="0" w:color="auto"/>
            <w:left w:val="none" w:sz="0" w:space="0" w:color="auto"/>
            <w:bottom w:val="none" w:sz="0" w:space="0" w:color="auto"/>
            <w:right w:val="none" w:sz="0" w:space="0" w:color="auto"/>
          </w:divBdr>
        </w:div>
        <w:div w:id="159194961">
          <w:marLeft w:val="0"/>
          <w:marRight w:val="0"/>
          <w:marTop w:val="0"/>
          <w:marBottom w:val="0"/>
          <w:divBdr>
            <w:top w:val="none" w:sz="0" w:space="0" w:color="auto"/>
            <w:left w:val="none" w:sz="0" w:space="0" w:color="auto"/>
            <w:bottom w:val="none" w:sz="0" w:space="0" w:color="auto"/>
            <w:right w:val="none" w:sz="0" w:space="0" w:color="auto"/>
          </w:divBdr>
        </w:div>
        <w:div w:id="2146003931">
          <w:marLeft w:val="0"/>
          <w:marRight w:val="0"/>
          <w:marTop w:val="0"/>
          <w:marBottom w:val="0"/>
          <w:divBdr>
            <w:top w:val="none" w:sz="0" w:space="0" w:color="auto"/>
            <w:left w:val="none" w:sz="0" w:space="0" w:color="auto"/>
            <w:bottom w:val="none" w:sz="0" w:space="0" w:color="auto"/>
            <w:right w:val="none" w:sz="0" w:space="0" w:color="auto"/>
          </w:divBdr>
        </w:div>
        <w:div w:id="1567955089">
          <w:marLeft w:val="0"/>
          <w:marRight w:val="0"/>
          <w:marTop w:val="0"/>
          <w:marBottom w:val="0"/>
          <w:divBdr>
            <w:top w:val="none" w:sz="0" w:space="0" w:color="auto"/>
            <w:left w:val="none" w:sz="0" w:space="0" w:color="auto"/>
            <w:bottom w:val="none" w:sz="0" w:space="0" w:color="auto"/>
            <w:right w:val="none" w:sz="0" w:space="0" w:color="auto"/>
          </w:divBdr>
        </w:div>
        <w:div w:id="269167781">
          <w:marLeft w:val="0"/>
          <w:marRight w:val="0"/>
          <w:marTop w:val="0"/>
          <w:marBottom w:val="0"/>
          <w:divBdr>
            <w:top w:val="none" w:sz="0" w:space="0" w:color="auto"/>
            <w:left w:val="none" w:sz="0" w:space="0" w:color="auto"/>
            <w:bottom w:val="none" w:sz="0" w:space="0" w:color="auto"/>
            <w:right w:val="none" w:sz="0" w:space="0" w:color="auto"/>
          </w:divBdr>
        </w:div>
        <w:div w:id="1024791537">
          <w:marLeft w:val="0"/>
          <w:marRight w:val="0"/>
          <w:marTop w:val="0"/>
          <w:marBottom w:val="0"/>
          <w:divBdr>
            <w:top w:val="none" w:sz="0" w:space="0" w:color="auto"/>
            <w:left w:val="none" w:sz="0" w:space="0" w:color="auto"/>
            <w:bottom w:val="none" w:sz="0" w:space="0" w:color="auto"/>
            <w:right w:val="none" w:sz="0" w:space="0" w:color="auto"/>
          </w:divBdr>
        </w:div>
        <w:div w:id="198514442">
          <w:marLeft w:val="0"/>
          <w:marRight w:val="0"/>
          <w:marTop w:val="0"/>
          <w:marBottom w:val="0"/>
          <w:divBdr>
            <w:top w:val="none" w:sz="0" w:space="0" w:color="auto"/>
            <w:left w:val="none" w:sz="0" w:space="0" w:color="auto"/>
            <w:bottom w:val="none" w:sz="0" w:space="0" w:color="auto"/>
            <w:right w:val="none" w:sz="0" w:space="0" w:color="auto"/>
          </w:divBdr>
        </w:div>
        <w:div w:id="1464619267">
          <w:marLeft w:val="0"/>
          <w:marRight w:val="0"/>
          <w:marTop w:val="0"/>
          <w:marBottom w:val="0"/>
          <w:divBdr>
            <w:top w:val="none" w:sz="0" w:space="0" w:color="auto"/>
            <w:left w:val="none" w:sz="0" w:space="0" w:color="auto"/>
            <w:bottom w:val="none" w:sz="0" w:space="0" w:color="auto"/>
            <w:right w:val="none" w:sz="0" w:space="0" w:color="auto"/>
          </w:divBdr>
        </w:div>
        <w:div w:id="249968336">
          <w:marLeft w:val="0"/>
          <w:marRight w:val="0"/>
          <w:marTop w:val="0"/>
          <w:marBottom w:val="0"/>
          <w:divBdr>
            <w:top w:val="none" w:sz="0" w:space="0" w:color="auto"/>
            <w:left w:val="none" w:sz="0" w:space="0" w:color="auto"/>
            <w:bottom w:val="none" w:sz="0" w:space="0" w:color="auto"/>
            <w:right w:val="none" w:sz="0" w:space="0" w:color="auto"/>
          </w:divBdr>
        </w:div>
        <w:div w:id="1375496345">
          <w:marLeft w:val="0"/>
          <w:marRight w:val="0"/>
          <w:marTop w:val="0"/>
          <w:marBottom w:val="0"/>
          <w:divBdr>
            <w:top w:val="none" w:sz="0" w:space="0" w:color="auto"/>
            <w:left w:val="none" w:sz="0" w:space="0" w:color="auto"/>
            <w:bottom w:val="none" w:sz="0" w:space="0" w:color="auto"/>
            <w:right w:val="none" w:sz="0" w:space="0" w:color="auto"/>
          </w:divBdr>
        </w:div>
      </w:divsChild>
    </w:div>
    <w:div w:id="1467166886">
      <w:bodyDiv w:val="1"/>
      <w:marLeft w:val="0"/>
      <w:marRight w:val="0"/>
      <w:marTop w:val="0"/>
      <w:marBottom w:val="0"/>
      <w:divBdr>
        <w:top w:val="none" w:sz="0" w:space="0" w:color="auto"/>
        <w:left w:val="none" w:sz="0" w:space="0" w:color="auto"/>
        <w:bottom w:val="none" w:sz="0" w:space="0" w:color="auto"/>
        <w:right w:val="none" w:sz="0" w:space="0" w:color="auto"/>
      </w:divBdr>
    </w:div>
    <w:div w:id="1487433582">
      <w:bodyDiv w:val="1"/>
      <w:marLeft w:val="0"/>
      <w:marRight w:val="0"/>
      <w:marTop w:val="0"/>
      <w:marBottom w:val="0"/>
      <w:divBdr>
        <w:top w:val="none" w:sz="0" w:space="0" w:color="auto"/>
        <w:left w:val="none" w:sz="0" w:space="0" w:color="auto"/>
        <w:bottom w:val="none" w:sz="0" w:space="0" w:color="auto"/>
        <w:right w:val="none" w:sz="0" w:space="0" w:color="auto"/>
      </w:divBdr>
    </w:div>
    <w:div w:id="1506364678">
      <w:bodyDiv w:val="1"/>
      <w:marLeft w:val="0"/>
      <w:marRight w:val="0"/>
      <w:marTop w:val="0"/>
      <w:marBottom w:val="0"/>
      <w:divBdr>
        <w:top w:val="none" w:sz="0" w:space="0" w:color="auto"/>
        <w:left w:val="none" w:sz="0" w:space="0" w:color="auto"/>
        <w:bottom w:val="none" w:sz="0" w:space="0" w:color="auto"/>
        <w:right w:val="none" w:sz="0" w:space="0" w:color="auto"/>
      </w:divBdr>
    </w:div>
    <w:div w:id="1572883304">
      <w:bodyDiv w:val="1"/>
      <w:marLeft w:val="0"/>
      <w:marRight w:val="0"/>
      <w:marTop w:val="0"/>
      <w:marBottom w:val="0"/>
      <w:divBdr>
        <w:top w:val="none" w:sz="0" w:space="0" w:color="auto"/>
        <w:left w:val="none" w:sz="0" w:space="0" w:color="auto"/>
        <w:bottom w:val="none" w:sz="0" w:space="0" w:color="auto"/>
        <w:right w:val="none" w:sz="0" w:space="0" w:color="auto"/>
      </w:divBdr>
    </w:div>
    <w:div w:id="1602836348">
      <w:bodyDiv w:val="1"/>
      <w:marLeft w:val="0"/>
      <w:marRight w:val="0"/>
      <w:marTop w:val="0"/>
      <w:marBottom w:val="0"/>
      <w:divBdr>
        <w:top w:val="none" w:sz="0" w:space="0" w:color="auto"/>
        <w:left w:val="none" w:sz="0" w:space="0" w:color="auto"/>
        <w:bottom w:val="none" w:sz="0" w:space="0" w:color="auto"/>
        <w:right w:val="none" w:sz="0" w:space="0" w:color="auto"/>
      </w:divBdr>
    </w:div>
    <w:div w:id="1642425391">
      <w:bodyDiv w:val="1"/>
      <w:marLeft w:val="0"/>
      <w:marRight w:val="0"/>
      <w:marTop w:val="0"/>
      <w:marBottom w:val="0"/>
      <w:divBdr>
        <w:top w:val="none" w:sz="0" w:space="0" w:color="auto"/>
        <w:left w:val="none" w:sz="0" w:space="0" w:color="auto"/>
        <w:bottom w:val="none" w:sz="0" w:space="0" w:color="auto"/>
        <w:right w:val="none" w:sz="0" w:space="0" w:color="auto"/>
      </w:divBdr>
    </w:div>
    <w:div w:id="1677659079">
      <w:bodyDiv w:val="1"/>
      <w:marLeft w:val="0"/>
      <w:marRight w:val="0"/>
      <w:marTop w:val="0"/>
      <w:marBottom w:val="0"/>
      <w:divBdr>
        <w:top w:val="none" w:sz="0" w:space="0" w:color="auto"/>
        <w:left w:val="none" w:sz="0" w:space="0" w:color="auto"/>
        <w:bottom w:val="none" w:sz="0" w:space="0" w:color="auto"/>
        <w:right w:val="none" w:sz="0" w:space="0" w:color="auto"/>
      </w:divBdr>
    </w:div>
    <w:div w:id="1701735436">
      <w:bodyDiv w:val="1"/>
      <w:marLeft w:val="0"/>
      <w:marRight w:val="0"/>
      <w:marTop w:val="0"/>
      <w:marBottom w:val="0"/>
      <w:divBdr>
        <w:top w:val="none" w:sz="0" w:space="0" w:color="auto"/>
        <w:left w:val="none" w:sz="0" w:space="0" w:color="auto"/>
        <w:bottom w:val="none" w:sz="0" w:space="0" w:color="auto"/>
        <w:right w:val="none" w:sz="0" w:space="0" w:color="auto"/>
      </w:divBdr>
    </w:div>
    <w:div w:id="1737048350">
      <w:bodyDiv w:val="1"/>
      <w:marLeft w:val="0"/>
      <w:marRight w:val="0"/>
      <w:marTop w:val="0"/>
      <w:marBottom w:val="0"/>
      <w:divBdr>
        <w:top w:val="none" w:sz="0" w:space="0" w:color="auto"/>
        <w:left w:val="none" w:sz="0" w:space="0" w:color="auto"/>
        <w:bottom w:val="none" w:sz="0" w:space="0" w:color="auto"/>
        <w:right w:val="none" w:sz="0" w:space="0" w:color="auto"/>
      </w:divBdr>
    </w:div>
    <w:div w:id="1741781914">
      <w:bodyDiv w:val="1"/>
      <w:marLeft w:val="0"/>
      <w:marRight w:val="0"/>
      <w:marTop w:val="0"/>
      <w:marBottom w:val="0"/>
      <w:divBdr>
        <w:top w:val="none" w:sz="0" w:space="0" w:color="auto"/>
        <w:left w:val="none" w:sz="0" w:space="0" w:color="auto"/>
        <w:bottom w:val="none" w:sz="0" w:space="0" w:color="auto"/>
        <w:right w:val="none" w:sz="0" w:space="0" w:color="auto"/>
      </w:divBdr>
    </w:div>
    <w:div w:id="1747650732">
      <w:bodyDiv w:val="1"/>
      <w:marLeft w:val="0"/>
      <w:marRight w:val="0"/>
      <w:marTop w:val="0"/>
      <w:marBottom w:val="0"/>
      <w:divBdr>
        <w:top w:val="none" w:sz="0" w:space="0" w:color="auto"/>
        <w:left w:val="none" w:sz="0" w:space="0" w:color="auto"/>
        <w:bottom w:val="none" w:sz="0" w:space="0" w:color="auto"/>
        <w:right w:val="none" w:sz="0" w:space="0" w:color="auto"/>
      </w:divBdr>
    </w:div>
    <w:div w:id="1945532624">
      <w:bodyDiv w:val="1"/>
      <w:marLeft w:val="0"/>
      <w:marRight w:val="0"/>
      <w:marTop w:val="0"/>
      <w:marBottom w:val="0"/>
      <w:divBdr>
        <w:top w:val="none" w:sz="0" w:space="0" w:color="auto"/>
        <w:left w:val="none" w:sz="0" w:space="0" w:color="auto"/>
        <w:bottom w:val="none" w:sz="0" w:space="0" w:color="auto"/>
        <w:right w:val="none" w:sz="0" w:space="0" w:color="auto"/>
      </w:divBdr>
    </w:div>
    <w:div w:id="2035492382">
      <w:bodyDiv w:val="1"/>
      <w:marLeft w:val="0"/>
      <w:marRight w:val="0"/>
      <w:marTop w:val="0"/>
      <w:marBottom w:val="0"/>
      <w:divBdr>
        <w:top w:val="none" w:sz="0" w:space="0" w:color="auto"/>
        <w:left w:val="none" w:sz="0" w:space="0" w:color="auto"/>
        <w:bottom w:val="none" w:sz="0" w:space="0" w:color="auto"/>
        <w:right w:val="none" w:sz="0" w:space="0" w:color="auto"/>
      </w:divBdr>
    </w:div>
    <w:div w:id="2046327245">
      <w:bodyDiv w:val="1"/>
      <w:marLeft w:val="0"/>
      <w:marRight w:val="0"/>
      <w:marTop w:val="0"/>
      <w:marBottom w:val="0"/>
      <w:divBdr>
        <w:top w:val="none" w:sz="0" w:space="0" w:color="auto"/>
        <w:left w:val="none" w:sz="0" w:space="0" w:color="auto"/>
        <w:bottom w:val="none" w:sz="0" w:space="0" w:color="auto"/>
        <w:right w:val="none" w:sz="0" w:space="0" w:color="auto"/>
      </w:divBdr>
    </w:div>
    <w:div w:id="2060590225">
      <w:bodyDiv w:val="1"/>
      <w:marLeft w:val="0"/>
      <w:marRight w:val="0"/>
      <w:marTop w:val="0"/>
      <w:marBottom w:val="0"/>
      <w:divBdr>
        <w:top w:val="none" w:sz="0" w:space="0" w:color="auto"/>
        <w:left w:val="none" w:sz="0" w:space="0" w:color="auto"/>
        <w:bottom w:val="none" w:sz="0" w:space="0" w:color="auto"/>
        <w:right w:val="none" w:sz="0" w:space="0" w:color="auto"/>
      </w:divBdr>
    </w:div>
    <w:div w:id="2104451495">
      <w:bodyDiv w:val="1"/>
      <w:marLeft w:val="0"/>
      <w:marRight w:val="0"/>
      <w:marTop w:val="0"/>
      <w:marBottom w:val="0"/>
      <w:divBdr>
        <w:top w:val="none" w:sz="0" w:space="0" w:color="auto"/>
        <w:left w:val="none" w:sz="0" w:space="0" w:color="auto"/>
        <w:bottom w:val="none" w:sz="0" w:space="0" w:color="auto"/>
        <w:right w:val="none" w:sz="0" w:space="0" w:color="auto"/>
      </w:divBdr>
    </w:div>
    <w:div w:id="2113698242">
      <w:bodyDiv w:val="1"/>
      <w:marLeft w:val="0"/>
      <w:marRight w:val="0"/>
      <w:marTop w:val="0"/>
      <w:marBottom w:val="0"/>
      <w:divBdr>
        <w:top w:val="none" w:sz="0" w:space="0" w:color="auto"/>
        <w:left w:val="none" w:sz="0" w:space="0" w:color="auto"/>
        <w:bottom w:val="none" w:sz="0" w:space="0" w:color="auto"/>
        <w:right w:val="none" w:sz="0" w:space="0" w:color="auto"/>
      </w:divBdr>
    </w:div>
    <w:div w:id="211590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fd2098-c3a4-4543-84f6-6de98f450a51" xsi:nil="true"/>
    <TeamsChannelId xmlns="cefd2098-c3a4-4543-84f6-6de98f450a51" xsi:nil="true"/>
    <Teachers xmlns="cefd2098-c3a4-4543-84f6-6de98f450a51">
      <UserInfo>
        <DisplayName/>
        <AccountId xsi:nil="true"/>
        <AccountType/>
      </UserInfo>
    </Teachers>
    <Math_Settings xmlns="cefd2098-c3a4-4543-84f6-6de98f450a51" xsi:nil="true"/>
    <Self_Registration_Enabled xmlns="cefd2098-c3a4-4543-84f6-6de98f450a51" xsi:nil="true"/>
    <AppVersion xmlns="cefd2098-c3a4-4543-84f6-6de98f450a51" xsi:nil="true"/>
    <LMS_Mappings xmlns="cefd2098-c3a4-4543-84f6-6de98f450a51" xsi:nil="true"/>
    <IsNotebookLocked xmlns="cefd2098-c3a4-4543-84f6-6de98f450a51" xsi:nil="true"/>
    <NotebookType xmlns="cefd2098-c3a4-4543-84f6-6de98f450a51" xsi:nil="true"/>
    <FolderType xmlns="cefd2098-c3a4-4543-84f6-6de98f450a51" xsi:nil="true"/>
    <Templates xmlns="cefd2098-c3a4-4543-84f6-6de98f450a51" xsi:nil="true"/>
    <DefaultSectionNames xmlns="cefd2098-c3a4-4543-84f6-6de98f450a51" xsi:nil="true"/>
    <Owner xmlns="cefd2098-c3a4-4543-84f6-6de98f450a51">
      <UserInfo>
        <DisplayName/>
        <AccountId xsi:nil="true"/>
        <AccountType/>
      </UserInfo>
    </Owner>
    <Students xmlns="cefd2098-c3a4-4543-84f6-6de98f450a51">
      <UserInfo>
        <DisplayName/>
        <AccountId xsi:nil="true"/>
        <AccountType/>
      </UserInfo>
    </Students>
    <Student_Groups xmlns="cefd2098-c3a4-4543-84f6-6de98f450a51">
      <UserInfo>
        <DisplayName/>
        <AccountId xsi:nil="true"/>
        <AccountType/>
      </UserInfo>
    </Student_Groups>
    <Is_Collaboration_Space_Locked xmlns="cefd2098-c3a4-4543-84f6-6de98f450a51" xsi:nil="true"/>
    <Invited_Teachers xmlns="cefd2098-c3a4-4543-84f6-6de98f450a51" xsi:nil="true"/>
    <Distribution_Groups xmlns="cefd2098-c3a4-4543-84f6-6de98f450a51" xsi:nil="true"/>
    <Has_Teacher_Only_SectionGroup xmlns="cefd2098-c3a4-4543-84f6-6de98f450a51" xsi:nil="true"/>
    <Invited_Students xmlns="cefd2098-c3a4-4543-84f6-6de98f450a51" xsi:nil="true"/>
    <CultureName xmlns="cefd2098-c3a4-4543-84f6-6de98f450a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CEP20</b:Tag>
    <b:SourceType>JournalArticle</b:SourceType>
    <b:Guid>{9CCE2C2C-1CC6-424E-8869-1DAB668B42DA}</b:Guid>
    <b:Title>La educación en tiempos de la pandemia de COVID-19</b:Title>
    <b:JournalName>Informe COVID-19 CEPAL-UNESCO</b:JournalName>
    <b:Year>2020</b:Year>
    <b:Author>
      <b:Author>
        <b:NameList>
          <b:Person>
            <b:Last>CEPAL-UNESCO</b:Last>
          </b:Person>
        </b:NameList>
      </b:Author>
    </b:Author>
    <b:URL>https://repositorio.cepal.org/bitstream/handle/11362/45904/1/S2000510_es.pdf</b:URL>
    <b:RefOrder>1</b:RefOrder>
  </b:Source>
  <b:Source>
    <b:Tag>Col08</b:Tag>
    <b:SourceType>JournalArticle</b:SourceType>
    <b:Guid>{33E18615-0662-4146-99A8-D379C373706D}</b:Guid>
    <b:Title>Aprender y enseñar con las TIC: expectativas, realidad y potencialidades</b:Title>
    <b:JournalName>Boletín de la Institución Libre de Enseñanza</b:JournalName>
    <b:Year>2008</b:Year>
    <b:Author>
      <b:Author>
        <b:NameList>
          <b:Person>
            <b:Last>Coll</b:Last>
            <b:First>C</b:First>
          </b:Person>
        </b:NameList>
      </b:Author>
    </b:Author>
    <b:Issue>72</b:Issue>
    <b:URL>https://www.educ.ar/recursos/70819/aprender-y-ensenar-con-las-tic-expectativas-realidad-y-potencialidades</b:URL>
    <b:RefOrder>2</b:RefOrder>
  </b:Source>
  <b:Source>
    <b:Tag>Gar21</b:Tag>
    <b:SourceType>JournalArticle</b:SourceType>
    <b:Guid>{63AD566E-84B1-4E04-8495-8AEADB3C96D2}</b:Guid>
    <b:Author>
      <b:Author>
        <b:NameList>
          <b:Person>
            <b:Last>García</b:Last>
            <b:First>A.</b:First>
            <b:Middle>L.</b:Middle>
          </b:Person>
        </b:NameList>
      </b:Author>
    </b:Author>
    <b:Title>COVID-19 y educación a distancia digital: preconfinamiento, confinamiento y posconfinamiento</b:Title>
    <b:JournalName>RIED. Revista Iberoamericana de Educación a Distancia</b:JournalName>
    <b:Year>2021</b:Year>
    <b:URL>https://doi.org/10.5944/ried.24.1.28080</b:URL>
    <b:RefOrder>3</b:RefOrder>
  </b:Source>
  <b:Source>
    <b:Tag>Pol20</b:Tag>
    <b:SourceType>JournalArticle</b:SourceType>
    <b:Guid>{A943D930-EA0C-4806-AFA0-F93D35E30D93}</b:Guid>
    <b:Author>
      <b:Author>
        <b:NameList>
          <b:Person>
            <b:Last>Pollom </b:Last>
            <b:First>E</b:First>
          </b:Person>
          <b:Person>
            <b:Last>Sandhu</b:Last>
            <b:First>N</b:First>
          </b:Person>
          <b:Person>
            <b:Last>Frank</b:Last>
            <b:First>J</b:First>
          </b:Person>
          <b:Person>
            <b:Last>Miller</b:Last>
            <b:First>J</b:First>
          </b:Person>
          <b:Person>
            <b:Last>Pierre</b:Last>
            <b:First>J</b:First>
          </b:Person>
          <b:Person>
            <b:Last>Kastelowwitz</b:Last>
            <b:First>N</b:First>
          </b:Person>
        </b:NameList>
      </b:Author>
    </b:Author>
    <b:Title>ciencias de la educacion</b:Title>
    <b:JournalName>Educación continua de estudiantes de medicina durante la pandemia de la enfermedad del coronavirus 2019 (COVID 2019)</b:JournalName>
    <b:Year>2020</b:Year>
    <b:Pages>732–736</b:Pages>
    <b:DOI>10.1016</b:DOI>
    <b:RefOrder>4</b:RefOrder>
  </b:Source>
  <b:Source>
    <b:Tag>Tin03</b:Tag>
    <b:SourceType>JournalArticle</b:SourceType>
    <b:Guid>{78D23A6B-6261-4DA4-AA1C-3874F2044C17}</b:Guid>
    <b:Title>ICT in education</b:Title>
    <b:JournalName>E-Primers for information economy, society and policy</b:JournalName>
    <b:Year>2003</b:Year>
    <b:Author>
      <b:Author>
        <b:NameList>
          <b:Person>
            <b:Last>Tinio</b:Last>
            <b:Middle>L</b:Middle>
            <b:First>V</b:First>
          </b:Person>
        </b:NameList>
      </b:Author>
    </b:Author>
    <b:URL>https://digitallibrary.un.org/record/524544.</b:URL>
    <b:RefOrder>5</b:RefOrder>
  </b:Source>
  <b:Source>
    <b:Tag>MMo20</b:Tag>
    <b:SourceType>JournalArticle</b:SourceType>
    <b:Guid>{EA44BA11-F56F-4677-B177-B66A34BA8FE8}</b:Guid>
    <b:Title>Fundamentos teóricos de la educación a distancia diseño instruccional para el aprendizaje significativo</b:Title>
    <b:Year>2005</b:Year>
    <b:Author>
      <b:Author>
        <b:NameList>
          <b:Person>
            <b:Last>Molina</b:Last>
            <b:First>Margarita</b:First>
          </b:Person>
          <b:Person>
            <b:Last>Molina</b:Last>
            <b:First>Jorge</b:First>
          </b:Person>
        </b:NameList>
      </b:Author>
    </b:Author>
    <b:JournalName>Ciencias de la Educacion</b:JournalName>
    <b:URL>http://reposital.cuaed.unam.mx:8080/jspui/bitstream/123456789/1396/1/2005-03-18160Molina-Molina.pdf</b:URL>
    <b:RefOrder>6</b:RefOrder>
  </b:Source>
  <b:Source>
    <b:Tag>Ten03</b:Tag>
    <b:SourceType>JournalArticle</b:SourceType>
    <b:Guid>{A65B0C8E-9D1F-4D13-8505-27DFD3DE9654}</b:Guid>
    <b:Author>
      <b:Author>
        <b:NameList>
          <b:Person>
            <b:Last>Tennuto</b:Last>
            <b:First>A</b:First>
          </b:Person>
          <b:Person>
            <b:Last>Klinoff </b:Last>
            <b:First>M</b:First>
          </b:Person>
          <b:Person>
            <b:Last>Boan </b:Last>
            <b:First>A</b:First>
          </b:Person>
        </b:NameList>
      </b:Author>
    </b:Author>
    <b:Title>Escuela para Maestros</b:Title>
    <b:JournalName>Enciclopedia de Pedagogía Práctica. Círculo Latino Austral. Lexus.</b:JournalName>
    <b:Year>2003</b:Year>
    <b:RefOrder>7</b:RefOrder>
  </b:Source>
  <b:Source>
    <b:Tag>Bro20</b:Tag>
    <b:SourceType>JournalArticle</b:SourceType>
    <b:Guid>{57683A2B-1E43-4945-9509-2B52D7A147B4}</b:Guid>
    <b:Title>Putting fairness at the heart of higher education. University World News</b:Title>
    <b:JournalName>The Global Window on Higher Education.</b:JournalName>
    <b:Year>2020</b:Year>
    <b:Author>
      <b:Author>
        <b:NameList>
          <b:Person>
            <b:Last>Brown</b:Last>
            <b:First>Courtney</b:First>
          </b:Person>
          <b:Person>
            <b:Last>Salmi</b:Last>
            <b:First>Jamil</b:First>
          </b:Person>
        </b:NameList>
      </b:Author>
    </b:Author>
    <b:URL>https://www.universityworldnews.com/post.php?story=20200417094523729</b:URL>
    <b:RefOrder>8</b:RefOrder>
  </b:Source>
  <b:Source>
    <b:Tag>Cab08</b:Tag>
    <b:SourceType>JournalArticle</b:SourceType>
    <b:Guid>{FC27C09D-C985-47B7-A427-A2B74B83B352}</b:Guid>
    <b:Title>Innovación en la formación y desarrollo profesional docente. En: Innovación educativa y uso de las TIC</b:Title>
    <b:JournalName>Documento de la Universidad Internacional de Andalucía</b:JournalName>
    <b:Year>2008</b:Year>
    <b:Pages>83-99</b:Pages>
    <b:Author>
      <b:Author>
        <b:NameList>
          <b:Person>
            <b:Last>Cabero</b:Last>
            <b:First>Julio</b:First>
          </b:Person>
        </b:NameList>
      </b:Author>
    </b:Author>
    <b:URL>https://dspace.unia.es/bitstream/handle/10334/2524/innovacioneduc2008.pdf?sequence=1</b:URL>
    <b:RefOrder>9</b:RefOrder>
  </b:Source>
  <b:Source>
    <b:Tag>IES20</b:Tag>
    <b:SourceType>JournalArticle</b:SourceType>
    <b:Guid>{2E83A1E5-ADF9-4FAF-87F9-643011539258}</b:Guid>
    <b:Title>El coronavirus COVID-19 y la educación superior: Impacto y recomendaciones</b:Title>
    <b:JournalName>Documentos Unesco</b:JournalName>
    <b:Year>2020</b:Year>
    <b:Author>
      <b:Author>
        <b:NameList>
          <b:Person>
            <b:Last>IESALC-UNESCO</b:Last>
          </b:Person>
        </b:NameList>
      </b:Author>
    </b:Author>
    <b:URL>https://www.un.org/development/desa/dspd/wp-content/uploads/sites/ 22/2020/08/sg_policy_brief_covid-19_and_education_august_2020.pdf</b:URL>
    <b:RefOrder>10</b:RefOrder>
  </b:Source>
  <b:Source>
    <b:Tag>ISS20</b:Tag>
    <b:SourceType>JournalArticle</b:SourceType>
    <b:Guid>{C8ADEC5E-42C4-46B5-9BF0-70C121816A85}</b:Guid>
    <b:Title>Desigualdades educativas y la brecha digital</b:Title>
    <b:Year>2020</b:Year>
    <b:Pages>115-121</b:Pages>
    <b:Author>
      <b:Author>
        <b:NameList>
          <b:Person>
            <b:Last>Lloyd</b:Last>
            <b:First>Marion</b:First>
          </b:Person>
        </b:NameList>
      </b:Author>
    </b:Author>
    <b:City>Ciudad de México, México</b:City>
    <b:JournalName>Educación y pandemia. Una visión académica</b:JournalName>
    <b:Publisher>IISUE</b:Publisher>
    <b:URL>https://www.iisue.unam.mx/investigacion/textos/educacion_pandemia.pdf</b:URL>
    <b:RefOrder>11</b:RefOrder>
  </b:Source>
  <b:Source>
    <b:Tag>Agu20</b:Tag>
    <b:SourceType>JournalArticle</b:SourceType>
    <b:Guid>{54B0D8D0-75E3-49E6-9995-CDE9219ED74C}</b:Guid>
    <b:Title>Del aprendizaje en escenarios presenciales al aprendizaje virtual en tiempos de pandemia</b:Title>
    <b:JournalName>Estudios Pedagógicos XLVI</b:JournalName>
    <b:Year>2020</b:Year>
    <b:Pages>213-223</b:Pages>
    <b:Author>
      <b:Author>
        <b:NameList>
          <b:Person>
            <b:Last>Aguilar Gordón</b:Last>
            <b:First>Floralba</b:First>
            <b:Middle>Rocío</b:Middle>
          </b:Person>
        </b:NameList>
      </b:Author>
    </b:Author>
    <b:Issue>3</b:Issue>
    <b:DOI>http://dx.doi.org/10.4067/S0718-07052020000300213 </b:DOI>
    <b:RefOrder>12</b:RefOrder>
  </b:Source>
  <b:Source>
    <b:Tag>Lar02</b:Tag>
    <b:SourceType>JournalArticle</b:SourceType>
    <b:Guid>{D65ABEA4-8731-4C19-A7AD-6AB4F6255872}</b:Guid>
    <b:Author>
      <b:Author>
        <b:NameList>
          <b:Person>
            <b:Last>Lara</b:Last>
            <b:First>Luis</b:First>
          </b:Person>
        </b:NameList>
      </b:Author>
    </b:Author>
    <b:Title>Análisis de los recursos interactivos en las aulas virtuales</b:Title>
    <b:Year>2002</b:Year>
    <b:JournalName>Integración sin Barreras en el Siglo XXI</b:JournalName>
    <b:URL>http://www.quadernsdigitals.net/datos/hemeroteca/r_43/nr_479/a_6424/6424.pdf</b:URL>
    <b:RefOrder>13</b:RefOrder>
  </b:Source>
  <b:Source>
    <b:Tag>UN20</b:Tag>
    <b:SourceType>JournalArticle</b:SourceType>
    <b:Guid>{1E6A5CC5-5FAF-4A96-A687-D4DA79321FF4}</b:Guid>
    <b:Author>
      <b:Author>
        <b:NameList>
          <b:Person>
            <b:Last>ONU</b:Last>
          </b:Person>
        </b:NameList>
      </b:Author>
    </b:Author>
    <b:Title>Policy Brief: Education during COVID-19 and beyond</b:Title>
    <b:JournalName>United Nations</b:JournalName>
    <b:Year>2020</b:Year>
    <b:URL>https://www.un.org/development/desa/dspd/wp-content/uploads/sites/22/2020/08/sg_policy_brief_covid-19_and_education_august_2020.pdf</b:URL>
    <b:RefOrder>14</b:RefOrder>
  </b:Source>
  <b:Source>
    <b:Tag>Ram</b:Tag>
    <b:SourceType>JournalArticle</b:SourceType>
    <b:Guid>{24C3B7CD-3025-4846-9CBD-78F84EA2EDB0}</b:Guid>
    <b:Author>
      <b:Author>
        <b:NameList>
          <b:Person>
            <b:Last>Ramonet</b:Last>
            <b:First>I.</b:First>
          </b:Person>
        </b:NameList>
      </b:Author>
    </b:Author>
    <b:Title>La pandemia y el sistema-mundo</b:Title>
    <b:JournalName>La Jornada</b:JournalName>
    <b:URL>https://www.jornada.com.mx/ultimas/mundo/2020/04/25/ante-lo-desconocido-la-pandemia-y-el-sistema-mundo-7878.html</b:URL>
    <b:Year>20, abril, 2020</b:Year>
    <b:RefOrder>15</b:RefOrder>
  </b:Source>
  <b:Source>
    <b:Tag>Ote20</b:Tag>
    <b:SourceType>JournalArticle</b:SourceType>
    <b:Guid>{5022AC3F-CDE2-40E2-8A1F-5B97A114DBE5}</b:Guid>
    <b:Author>
      <b:Author>
        <b:NameList>
          <b:Person>
            <b:Last>Otero</b:Last>
            <b:First>L.,</b:First>
            <b:Middle>Calvo, M., y Llamedo, R.</b:Middle>
          </b:Person>
        </b:NameList>
      </b:Author>
    </b:Author>
    <b:Title>Herramientas digitales para la comunicación, la tele-docencia y la tele-orientación educativa en tiempos de COVID-19</b:Title>
    <b:JournalName>AOSMA</b:JournalName>
    <b:Year>2020</b:Year>
    <b:Pages>92-103</b:Pages>
    <b:Volume>1</b:Volume>
    <b:URL>http://aosma.es/wordpress/wp-content/uploads/2020/04/00_AOSMA_ESPECIAL.pdf</b:URL>
    <b:RefOrder>16</b:RefOrder>
  </b:Source>
  <b:Source>
    <b:Tag>Cas22</b:Tag>
    <b:SourceType>Book</b:SourceType>
    <b:Guid>{7C813A7C-3BCA-4FEB-8999-5DC483184FF7}</b:Guid>
    <b:Author>
      <b:Author>
        <b:NameList>
          <b:Person>
            <b:Last>Castro López</b:Last>
            <b:First>José</b:First>
            <b:Middle>Refugio</b:Middle>
          </b:Person>
          <b:Person>
            <b:Last>Macías Villarreal</b:Last>
            <b:First>Julio</b:First>
            <b:Middle>César</b:Middle>
          </b:Person>
          <b:Person>
            <b:Last>González Bandala</b:Last>
            <b:First>Daniel</b:First>
            <b:Middle>Alejandro</b:Middle>
          </b:Person>
        </b:NameList>
      </b:Author>
    </b:Author>
    <b:Title>El impacto de la pandemia COVID-19 en la educación superior - Retos y estrategias</b:Title>
    <b:Year>2022</b:Year>
    <b:Publisher>Editorial Fontamara</b:Publisher>
    <b:CountryRegion>México</b:CountryRegion>
    <b:URL>https://libros.uat.edu.mx/index.php/librosuat/catalog/view/272/246/899-1</b:URL>
    <b:RefOrder>17</b:RefOrder>
  </b:Source>
  <b:Source>
    <b:Tag>Her14</b:Tag>
    <b:SourceType>Book</b:SourceType>
    <b:Guid>{C48C5418-7B09-40FD-94B3-243F2DCE6CB1}</b:Guid>
    <b:Author>
      <b:Author>
        <b:NameList>
          <b:Person>
            <b:Last>Hernández-Sampieri</b:Last>
            <b:First>R</b:First>
          </b:Person>
          <b:Person>
            <b:Last>Fernández-Collado</b:Last>
            <b:First>C</b:First>
          </b:Person>
          <b:Person>
            <b:Last>Baptista</b:Last>
            <b:First>L</b:First>
          </b:Person>
        </b:NameList>
      </b:Author>
    </b:Author>
    <b:Title>Metodología de la investigación</b:Title>
    <b:Year>2014</b:Year>
    <b:City>México</b:City>
    <b:Publisher>McGraw-Hill</b:Publisher>
    <b:Edition>6a.</b:Edition>
    <b:RefOrder>18</b:RefOrder>
  </b:Source>
  <b:Source>
    <b:Tag>Rit06</b:Tag>
    <b:SourceType>Book</b:SourceType>
    <b:Guid>{8C29E106-2E7C-4F4C-9DF5-B8F8E4AD675D}</b:Guid>
    <b:Author>
      <b:Author>
        <b:NameList>
          <b:Person>
            <b:Last>Ritchey</b:Last>
            <b:First>F</b:First>
          </b:Person>
        </b:NameList>
      </b:Author>
    </b:Author>
    <b:Title>Estadística para las ciencias sociales</b:Title>
    <b:Year>2006</b:Year>
    <b:City>México</b:City>
    <b:Publisher>McGrawHill</b:Publisher>
    <b:Edition>2da.</b:Edition>
    <b:RefOrder>19</b:RefOrder>
  </b:Source>
  <b:Source>
    <b:Tag>Otz17</b:Tag>
    <b:SourceType>JournalArticle</b:SourceType>
    <b:Guid>{318BEE55-AD92-491B-BD40-AFE1C965DC35}</b:Guid>
    <b:Author>
      <b:Author>
        <b:NameList>
          <b:Person>
            <b:Last>Otzen</b:Last>
            <b:First>Tamara</b:First>
          </b:Person>
          <b:Person>
            <b:Last>Manterola</b:Last>
            <b:First>Carlos</b:First>
          </b:Person>
        </b:NameList>
      </b:Author>
    </b:Author>
    <b:Title>Técnicas de Muestreo sobre una Población a Estudio</b:Title>
    <b:Year>2017</b:Year>
    <b:JournalName>International Journal of Morphology</b:JournalName>
    <b:Pages>227-232</b:Pages>
    <b:Volume>35</b:Volume>
    <b:Issue>1</b:Issue>
    <b:DOI>https://dx.doi.org/10.4067/S0717-95022017000100037</b:DOI>
    <b:RefOrder>20</b:RefOrder>
  </b:Source>
  <b:Source>
    <b:Tag>Mir15</b:Tag>
    <b:SourceType>JournalArticle</b:SourceType>
    <b:Guid>{EC178A7F-29EB-48B5-9A9F-3D510CE51F38}</b:Guid>
    <b:Author>
      <b:Author>
        <b:NameList>
          <b:Person>
            <b:Last>Mirete Ruiz</b:Last>
            <b:First>A</b:First>
          </b:Person>
          <b:Person>
            <b:Last>García-Sanchez</b:Last>
            <b:First>F</b:First>
          </b:Person>
          <b:Person>
            <b:Last>Hernandez Pina</b:Last>
            <b:First>F.</b:First>
          </b:Person>
        </b:NameList>
      </b:Author>
    </b:Author>
    <b:Title>Cuestionario para el estudio de la actitud, el conocimiento y el uso de TIC (ACUTIC) en Educación Superior. Estudio de fiabilidad y validez</b:Title>
    <b:JournalName>Revista Universitaria de Formacion de Profesorado</b:JournalName>
    <b:Year>2015</b:Year>
    <b:Pages>75-89</b:Pages>
    <b:Volume>29</b:Volume>
    <b:Issue>2</b:Issue>
    <b:URL>https://www.redalyc.org/pdf/274/27443659006.pdf</b:URL>
    <b:RefOrder>21</b:RefOrder>
  </b:Source>
  <b:Source>
    <b:Tag>MarcadorDePosición1</b:Tag>
    <b:SourceType>JournalArticle</b:SourceType>
    <b:Guid>{3650E5E6-0D46-417B-9548-AF4E0D717DC1}</b:Guid>
    <b:Title>Cuestionario para el estudio de la actitud, el conocimiento y el uso de TIC (ACUTIC) en Educación Superior. Estudio de fiabilidad y validez.</b:Title>
    <b:Year>2015</b:Year>
    <b:Author>
      <b:Author>
        <b:NameList>
          <b:Person>
            <b:Last>Mirete Ruiz</b:Last>
            <b:First> A. B</b:First>
          </b:Person>
          <b:Person>
            <b:Last>García-Sanhez</b:Last>
            <b:First>F. A.</b:First>
          </b:Person>
          <b:Person>
            <b:Last>Hernandez Pina</b:Last>
            <b:First>F.</b:First>
          </b:Person>
        </b:NameList>
      </b:Author>
    </b:Author>
    <b:JournalName>Revista Universitaria de Formacion de Profesorado</b:JournalName>
    <b:RefOrder>22</b:RefOrder>
  </b:Source>
  <b:Source>
    <b:Tag>Rui02</b:Tag>
    <b:SourceType>Book</b:SourceType>
    <b:Guid>{B7D2638B-F202-43EC-9314-A71A9D5630C2}</b:Guid>
    <b:Author>
      <b:Author>
        <b:NameList>
          <b:Person>
            <b:Last>Ruiz</b:Last>
            <b:First>C</b:First>
          </b:Person>
        </b:NameList>
      </b:Author>
    </b:Author>
    <b:Title>Instrumentos de investigación educativa. Procedimientos para su diseño y validación</b:Title>
    <b:Year>2002</b:Year>
    <b:City>Barquisimeto, Venezuela</b:City>
    <b:Publisher>CIDEG</b:Publisher>
    <b:RefOrder>23</b:RefOrder>
  </b:Source>
  <b:Source>
    <b:Tag>Guà17</b:Tag>
    <b:SourceType>JournalArticle</b:SourceType>
    <b:Guid>{CCB3B97A-F01C-434E-9663-A8C66A4A3795}</b:Guid>
    <b:Author>
      <b:Author>
        <b:NameList>
          <b:Person>
            <b:Last>Guàrdia</b:Last>
            <b:First>L</b:First>
          </b:Person>
          <b:Person>
            <b:Last>Crisp</b:Last>
            <b:First>G</b:First>
          </b:Person>
          <b:Person>
            <b:Last>Alsina</b:Last>
            <b:First>I</b:First>
          </b:Person>
        </b:NameList>
      </b:Author>
    </b:Author>
    <b:Title>Trends and challenges of e-assessment to enhance student learning in higher education</b:Title>
    <b:Year>2017</b:Year>
    <b:JournalName>IGI Global</b:JournalName>
    <b:Pages>36-56</b:Pages>
    <b:DOI>DOI: 10.4018/978-1-5225-0531-0.ch003</b:DOI>
    <b:RefOrder>24</b:RefOrder>
  </b:Source>
  <b:Source>
    <b:Tag>Gar211</b:Tag>
    <b:SourceType>JournalArticle</b:SourceType>
    <b:Guid>{CE3F7640-2664-4D64-96A3-B5473E386AF8}</b:Guid>
    <b:Author>
      <b:Author>
        <b:NameList>
          <b:Person>
            <b:Last>García Aretio</b:Last>
            <b:First>L</b:First>
          </b:Person>
        </b:NameList>
      </b:Author>
    </b:Author>
    <b:Title>COVID-19 y educación a distancia digital: preconfinamiento, confinamiento y posconfinamiento</b:Title>
    <b:JournalName>RIED. Revista Iberoamericana de Educación a Distancia</b:JournalName>
    <b:Year>2021</b:Year>
    <b:Pages>9-32</b:Pages>
    <b:Volume>24</b:Volume>
    <b:Issue>1</b:Issue>
    <b:DOI> http://dx.doi.org/10.5944/ried.24.1.28080</b:DOI>
    <b:RefOrder>25</b:RefOrder>
  </b:Source>
  <b:Source>
    <b:Tag>Naf20</b:Tag>
    <b:SourceType>JournalArticle</b:SourceType>
    <b:Guid>{078EA4BA-82C5-4B0A-A469-82994AACD414}</b:Guid>
    <b:Author>
      <b:Author>
        <b:NameList>
          <b:Person>
            <b:Last>Naffi</b:Last>
            <b:First>N</b:First>
          </b:Person>
        </b:NameList>
      </b:Author>
    </b:Author>
    <b:Title>Disruption in and by Centres for  Teaching  and  Learning  During  the  COVID-19 Pandemic: Leading the Future of  Higher</b:Title>
    <b:JournalName>L’Observatoire  Internationale  sur  les  Impacts  Sociétaux  de  l’IA  et  du  Numerique    and    the    Government    of    Québec</b:JournalName>
    <b:Year>2020</b:Year>
    <b:URL>https://cutt.ly/6fQZibh</b:URL>
    <b:RefOrder>26</b:RefOrder>
  </b:Source>
  <b:Source>
    <b:Tag>Par12</b:Tag>
    <b:SourceType>JournalArticle</b:SourceType>
    <b:Guid>{ECD28583-17E9-4D23-8330-557B38CDA9F4}</b:Guid>
    <b:Author>
      <b:Author>
        <b:NameList>
          <b:Person>
            <b:Last>Parra</b:Last>
            <b:First>C</b:First>
          </b:Person>
        </b:NameList>
      </b:Author>
    </b:Author>
    <b:Title>TIC, conocimiento, educación y competencias tecnológicas en la formación de maestros</b:Title>
    <b:JournalName>Nómadas</b:JournalName>
    <b:Year>2012</b:Year>
    <b:Pages>145-159</b:Pages>
    <b:Volume>36</b:Volume>
    <b:RefOrder>27</b:RefOrder>
  </b:Source>
  <b:Source>
    <b:Tag>TGu19</b:Tag>
    <b:SourceType>JournalArticle</b:SourceType>
    <b:Guid>{8D907E59-AF1C-40D0-988D-525DC7E7E1B0}</b:Guid>
    <b:Author>
      <b:Author>
        <b:NameList>
          <b:Person>
            <b:Last>T</b:Last>
            <b:First>Guerrero</b:First>
          </b:Person>
        </b:NameList>
      </b:Author>
    </b:Author>
    <b:Title>“No eres tan inteligente, computadora”: articulaciones necesarias entre alfabetizaciones digitales y reconfiguración identitaria en la EPJA mexicana</b:Title>
    <b:JournalName>Revista Latinoamericana de Estudios Educativos</b:JournalName>
    <b:Year>2019</b:Year>
    <b:Pages>131-154</b:Pages>
    <b:City>México</b:City>
    <b:Volume>XLIX</b:Volume>
    <b:Issue>1</b:Issue>
    <b:URL>https://www.redalyc.org/jatsRepo/270/27058155008/27058155008.pdf</b:URL>
    <b:RefOrder>28</b:RefOrder>
  </b:Source>
  <b:Source>
    <b:Tag>Mor20</b:Tag>
    <b:SourceType>JournalArticle</b:SourceType>
    <b:Guid>{93306A88-1BC2-46EC-B4DD-74886342E461}</b:Guid>
    <b:Author>
      <b:Author>
        <b:NameList>
          <b:Person>
            <b:Last>Moreno-Guerrero</b:Last>
            <b:Middle>J</b:Middle>
            <b:First>A</b:First>
          </b:Person>
          <b:Person>
            <b:Last>López</b:Last>
            <b:First>J</b:First>
          </b:Person>
          <b:Person>
            <b:Last>Pozo</b:Last>
            <b:First>S</b:First>
          </b:Person>
          <b:Person>
            <b:Last> Fuentes</b:Last>
            <b:First>A</b:First>
          </b:Person>
        </b:NameList>
      </b:Author>
    </b:Author>
    <b:Title>Influencia del contexto en el uso de dispositivos TIC en la Formación Profesional Básica</b:Title>
    <b:JournalName>EDMETIC, Revista de Educación Mediática y TIC</b:JournalName>
    <b:Year>2020</b:Year>
    <b:Pages>149-169</b:Pages>
    <b:Volume>9</b:Volume>
    <b:Issue>1</b:Issue>
    <b:DOI>https://doi.org/10.21071/edmetic.v9i1.12195</b:DOI>
    <b:RefOrder>29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E51E98C772944935911F52367346D" ma:contentTypeVersion="32" ma:contentTypeDescription="Create a new document." ma:contentTypeScope="" ma:versionID="27a4f9f445aebe5e5d25adfd4b92252c">
  <xsd:schema xmlns:xsd="http://www.w3.org/2001/XMLSchema" xmlns:xs="http://www.w3.org/2001/XMLSchema" xmlns:p="http://schemas.microsoft.com/office/2006/metadata/properties" xmlns:ns3="6576a90b-17d1-4d0e-8389-a9c10431cf0f" xmlns:ns4="cefd2098-c3a4-4543-84f6-6de98f450a51" targetNamespace="http://schemas.microsoft.com/office/2006/metadata/properties" ma:root="true" ma:fieldsID="ad42bbfc3d67846e3f2c5f46e69fba3e" ns3:_="" ns4:_="">
    <xsd:import namespace="6576a90b-17d1-4d0e-8389-a9c10431cf0f"/>
    <xsd:import namespace="cefd2098-c3a4-4543-84f6-6de98f450a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a90b-17d1-4d0e-8389-a9c10431cf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d2098-c3a4-4543-84f6-6de98f450a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5CA59-95B4-414D-97C0-C273BA1BD8EB}">
  <ds:schemaRefs>
    <ds:schemaRef ds:uri="http://schemas.microsoft.com/office/2006/metadata/properties"/>
    <ds:schemaRef ds:uri="http://schemas.microsoft.com/office/infopath/2007/PartnerControls"/>
    <ds:schemaRef ds:uri="cefd2098-c3a4-4543-84f6-6de98f450a51"/>
  </ds:schemaRefs>
</ds:datastoreItem>
</file>

<file path=customXml/itemProps2.xml><?xml version="1.0" encoding="utf-8"?>
<ds:datastoreItem xmlns:ds="http://schemas.openxmlformats.org/officeDocument/2006/customXml" ds:itemID="{7A02272E-DF68-443E-AC6A-F183E0EB43BF}">
  <ds:schemaRefs>
    <ds:schemaRef ds:uri="http://schemas.openxmlformats.org/officeDocument/2006/bibliography"/>
  </ds:schemaRefs>
</ds:datastoreItem>
</file>

<file path=customXml/itemProps3.xml><?xml version="1.0" encoding="utf-8"?>
<ds:datastoreItem xmlns:ds="http://schemas.openxmlformats.org/officeDocument/2006/customXml" ds:itemID="{2FB821F2-6284-42F8-A49D-526248AF05F2}">
  <ds:schemaRefs>
    <ds:schemaRef ds:uri="http://schemas.microsoft.com/sharepoint/v3/contenttype/forms"/>
  </ds:schemaRefs>
</ds:datastoreItem>
</file>

<file path=customXml/itemProps4.xml><?xml version="1.0" encoding="utf-8"?>
<ds:datastoreItem xmlns:ds="http://schemas.openxmlformats.org/officeDocument/2006/customXml" ds:itemID="{7D0E10F9-5BB3-4E31-B0E2-FE67BB8F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a90b-17d1-4d0e-8389-a9c10431cf0f"/>
    <ds:schemaRef ds:uri="cefd2098-c3a4-4543-84f6-6de98f450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7010</Words>
  <Characters>38558</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Felix</dc:creator>
  <cp:lastModifiedBy>Gustavo Toledo</cp:lastModifiedBy>
  <cp:revision>5</cp:revision>
  <cp:lastPrinted>2024-06-25T22:36:00Z</cp:lastPrinted>
  <dcterms:created xsi:type="dcterms:W3CDTF">2024-01-05T17:11:00Z</dcterms:created>
  <dcterms:modified xsi:type="dcterms:W3CDTF">2024-06-25T22:36:00Z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para Microsoft 365</vt:lpwstr>
  </property>
  <property fmtid="{D5CDD505-2E9C-101B-9397-08002B2CF9AE}" pid="4" name="LastSaved">
    <vt:filetime>2022-11-01T00:00:00Z</vt:filetime>
  </property>
  <property fmtid="{D5CDD505-2E9C-101B-9397-08002B2CF9AE}" pid="5" name="ContentTypeId">
    <vt:lpwstr>0x010100504E51E98C772944935911F52367346D</vt:lpwstr>
  </property>
</Properties>
</file>