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43EF" w14:textId="716DD542" w:rsidR="00174F71" w:rsidRPr="003218D4" w:rsidRDefault="003218D4" w:rsidP="0071103A">
      <w:pPr>
        <w:autoSpaceDE w:val="0"/>
        <w:autoSpaceDN w:val="0"/>
        <w:adjustRightInd w:val="0"/>
        <w:spacing w:before="240" w:after="240" w:line="360" w:lineRule="auto"/>
        <w:jc w:val="right"/>
        <w:rPr>
          <w:b/>
          <w:bCs/>
          <w:i/>
          <w:iCs/>
          <w:color w:val="000000" w:themeColor="text1"/>
        </w:rPr>
      </w:pPr>
      <w:r w:rsidRPr="003218D4">
        <w:rPr>
          <w:b/>
          <w:bCs/>
          <w:i/>
          <w:iCs/>
          <w:color w:val="000000" w:themeColor="text1"/>
        </w:rPr>
        <w:t>https://doi.org/10.23913/ride.v14i28.1754</w:t>
      </w:r>
    </w:p>
    <w:p w14:paraId="5181BB37" w14:textId="6721EE19" w:rsidR="00D507FB" w:rsidRPr="00D507FB" w:rsidRDefault="00D507FB" w:rsidP="0071103A">
      <w:pPr>
        <w:autoSpaceDE w:val="0"/>
        <w:autoSpaceDN w:val="0"/>
        <w:adjustRightInd w:val="0"/>
        <w:spacing w:before="240" w:after="240" w:line="360" w:lineRule="auto"/>
        <w:jc w:val="right"/>
        <w:rPr>
          <w:rFonts w:ascii="Times" w:hAnsi="Times" w:cs="Calibri"/>
          <w:b/>
          <w:bCs/>
          <w:sz w:val="32"/>
          <w:szCs w:val="32"/>
        </w:rPr>
      </w:pPr>
      <w:r w:rsidRPr="00D507FB">
        <w:rPr>
          <w:b/>
          <w:bCs/>
          <w:i/>
          <w:iCs/>
          <w:color w:val="000000" w:themeColor="text1"/>
        </w:rPr>
        <w:t>Artículos científicos</w:t>
      </w:r>
    </w:p>
    <w:p w14:paraId="30BF54A0" w14:textId="424E164D" w:rsidR="00866171" w:rsidRPr="00D507FB" w:rsidRDefault="001D01CA" w:rsidP="0071103A">
      <w:pPr>
        <w:autoSpaceDE w:val="0"/>
        <w:autoSpaceDN w:val="0"/>
        <w:adjustRightInd w:val="0"/>
        <w:spacing w:line="276" w:lineRule="auto"/>
        <w:ind w:firstLine="709"/>
        <w:jc w:val="right"/>
        <w:rPr>
          <w:rFonts w:ascii="Calibri" w:hAnsi="Calibri" w:cs="Calibri"/>
          <w:b/>
          <w:color w:val="000000"/>
          <w:sz w:val="32"/>
          <w:szCs w:val="32"/>
        </w:rPr>
      </w:pPr>
      <w:r w:rsidRPr="00D507FB">
        <w:rPr>
          <w:rFonts w:ascii="Calibri" w:hAnsi="Calibri" w:cs="Calibri"/>
          <w:b/>
          <w:color w:val="000000"/>
          <w:sz w:val="32"/>
          <w:szCs w:val="32"/>
        </w:rPr>
        <w:t xml:space="preserve">La sostenibilidad </w:t>
      </w:r>
      <w:r w:rsidR="001A3D3B" w:rsidRPr="00D507FB">
        <w:rPr>
          <w:rFonts w:ascii="Calibri" w:hAnsi="Calibri" w:cs="Calibri"/>
          <w:b/>
          <w:color w:val="000000"/>
          <w:sz w:val="32"/>
          <w:szCs w:val="32"/>
        </w:rPr>
        <w:t>medioambienta</w:t>
      </w:r>
      <w:r w:rsidR="009568DA" w:rsidRPr="00D507FB">
        <w:rPr>
          <w:rFonts w:ascii="Calibri" w:hAnsi="Calibri" w:cs="Calibri"/>
          <w:b/>
          <w:color w:val="000000"/>
          <w:sz w:val="32"/>
          <w:szCs w:val="32"/>
        </w:rPr>
        <w:t>l</w:t>
      </w:r>
      <w:r w:rsidR="001A3D3B" w:rsidRPr="00D507FB">
        <w:rPr>
          <w:rFonts w:ascii="Calibri" w:hAnsi="Calibri" w:cs="Calibri"/>
          <w:b/>
          <w:color w:val="000000"/>
          <w:sz w:val="32"/>
          <w:szCs w:val="32"/>
        </w:rPr>
        <w:t xml:space="preserve"> </w:t>
      </w:r>
      <w:r w:rsidRPr="00D507FB">
        <w:rPr>
          <w:rFonts w:ascii="Calibri" w:hAnsi="Calibri" w:cs="Calibri"/>
          <w:b/>
          <w:color w:val="000000"/>
          <w:sz w:val="32"/>
          <w:szCs w:val="32"/>
        </w:rPr>
        <w:t>en el ámbito de las instituciones educativas: una revisión de modelos teóricos y empíricos</w:t>
      </w:r>
    </w:p>
    <w:p w14:paraId="59565A4A" w14:textId="5F678790" w:rsidR="001D01CA" w:rsidRPr="00041E93" w:rsidRDefault="00D507FB" w:rsidP="0071103A">
      <w:pPr>
        <w:autoSpaceDE w:val="0"/>
        <w:autoSpaceDN w:val="0"/>
        <w:adjustRightInd w:val="0"/>
        <w:spacing w:line="276" w:lineRule="auto"/>
        <w:ind w:firstLine="709"/>
        <w:jc w:val="right"/>
        <w:rPr>
          <w:rFonts w:ascii="Calibri" w:hAnsi="Calibri" w:cs="Calibri"/>
          <w:b/>
          <w:i/>
          <w:iCs/>
          <w:color w:val="000000"/>
          <w:sz w:val="28"/>
          <w:szCs w:val="28"/>
          <w:lang w:val="en-US"/>
        </w:rPr>
      </w:pPr>
      <w:r w:rsidRPr="00715A86">
        <w:rPr>
          <w:rFonts w:ascii="Calibri" w:hAnsi="Calibri" w:cs="Calibri"/>
          <w:b/>
          <w:i/>
          <w:iCs/>
          <w:color w:val="000000"/>
          <w:sz w:val="28"/>
          <w:szCs w:val="28"/>
          <w:lang w:val="en-US"/>
        </w:rPr>
        <w:br/>
      </w:r>
      <w:r w:rsidR="008078E3" w:rsidRPr="00041E93">
        <w:rPr>
          <w:rFonts w:ascii="Calibri" w:hAnsi="Calibri" w:cs="Calibri"/>
          <w:b/>
          <w:i/>
          <w:iCs/>
          <w:color w:val="000000"/>
          <w:sz w:val="28"/>
          <w:szCs w:val="28"/>
          <w:lang w:val="en-US"/>
        </w:rPr>
        <w:t>Environmental sustainability in educational institutions: a review of theoretical and empirical models</w:t>
      </w:r>
    </w:p>
    <w:p w14:paraId="4382EBF3" w14:textId="21C89999" w:rsidR="00D507FB" w:rsidRDefault="00D507FB" w:rsidP="0071103A">
      <w:pPr>
        <w:autoSpaceDE w:val="0"/>
        <w:autoSpaceDN w:val="0"/>
        <w:adjustRightInd w:val="0"/>
        <w:spacing w:line="276" w:lineRule="auto"/>
        <w:ind w:firstLine="709"/>
        <w:jc w:val="right"/>
        <w:rPr>
          <w:rFonts w:ascii="Calibri" w:hAnsi="Calibri" w:cs="Calibri"/>
          <w:b/>
          <w:i/>
          <w:iCs/>
          <w:color w:val="000000"/>
          <w:sz w:val="28"/>
          <w:szCs w:val="28"/>
        </w:rPr>
      </w:pPr>
      <w:r w:rsidRPr="00715A86">
        <w:rPr>
          <w:rFonts w:ascii="Calibri" w:hAnsi="Calibri" w:cs="Calibri"/>
          <w:b/>
          <w:i/>
          <w:iCs/>
          <w:color w:val="000000"/>
          <w:sz w:val="28"/>
          <w:szCs w:val="28"/>
        </w:rPr>
        <w:br/>
      </w:r>
      <w:r w:rsidRPr="00D507FB">
        <w:rPr>
          <w:rFonts w:ascii="Calibri" w:hAnsi="Calibri" w:cs="Calibri"/>
          <w:b/>
          <w:i/>
          <w:iCs/>
          <w:color w:val="000000"/>
          <w:sz w:val="28"/>
          <w:szCs w:val="28"/>
        </w:rPr>
        <w:t>Sustentabilidade ambiental no âmbito das instituições de ensino: uma revisão de modelos teóricos e empíricos</w:t>
      </w:r>
    </w:p>
    <w:p w14:paraId="1424BD9D" w14:textId="77777777" w:rsidR="00145323" w:rsidRDefault="00145323" w:rsidP="0071103A">
      <w:pPr>
        <w:autoSpaceDE w:val="0"/>
        <w:autoSpaceDN w:val="0"/>
        <w:adjustRightInd w:val="0"/>
        <w:spacing w:line="276" w:lineRule="auto"/>
        <w:ind w:firstLine="709"/>
        <w:jc w:val="right"/>
        <w:rPr>
          <w:rFonts w:ascii="Calibri" w:hAnsi="Calibri" w:cs="Calibri"/>
          <w:b/>
          <w:i/>
          <w:iCs/>
          <w:color w:val="000000"/>
          <w:sz w:val="28"/>
          <w:szCs w:val="28"/>
        </w:rPr>
      </w:pPr>
    </w:p>
    <w:p w14:paraId="6E61572B" w14:textId="77777777" w:rsidR="00145323" w:rsidRDefault="00145323" w:rsidP="0071103A">
      <w:pPr>
        <w:spacing w:line="276" w:lineRule="auto"/>
        <w:jc w:val="right"/>
        <w:rPr>
          <w:rFonts w:ascii="Calibri" w:eastAsiaTheme="minorEastAsia" w:hAnsi="Calibri" w:cs="Calibri"/>
          <w:b/>
          <w:lang w:val="es-ES_tradnl" w:eastAsia="es-ES"/>
        </w:rPr>
      </w:pPr>
      <w:r>
        <w:rPr>
          <w:rFonts w:ascii="Calibri" w:eastAsiaTheme="minorEastAsia" w:hAnsi="Calibri" w:cs="Calibri"/>
          <w:b/>
          <w:lang w:val="es-ES_tradnl" w:eastAsia="es-ES"/>
        </w:rPr>
        <w:t>Minerva Martínez Ávila</w:t>
      </w:r>
    </w:p>
    <w:p w14:paraId="2759F227" w14:textId="7B58763C" w:rsidR="00145323" w:rsidRPr="00CB3DBB" w:rsidRDefault="00145323" w:rsidP="0071103A">
      <w:pPr>
        <w:spacing w:line="276" w:lineRule="auto"/>
        <w:jc w:val="right"/>
        <w:rPr>
          <w:rFonts w:eastAsiaTheme="minorHAnsi"/>
          <w:lang w:eastAsia="en-US"/>
        </w:rPr>
      </w:pPr>
      <w:r w:rsidRPr="00CB3DBB">
        <w:rPr>
          <w:rFonts w:eastAsiaTheme="minorHAnsi"/>
          <w:lang w:eastAsia="en-US"/>
        </w:rPr>
        <w:t>Universidad Autónoma del Estado de México, México</w:t>
      </w:r>
    </w:p>
    <w:p w14:paraId="40AB7A70" w14:textId="77777777" w:rsidR="00145323" w:rsidRPr="00CB3DBB" w:rsidRDefault="00000000" w:rsidP="0071103A">
      <w:pPr>
        <w:spacing w:line="276" w:lineRule="auto"/>
        <w:jc w:val="right"/>
        <w:rPr>
          <w:rFonts w:asciiTheme="minorHAnsi" w:hAnsiTheme="minorHAnsi" w:cstheme="minorBidi"/>
          <w:color w:val="FF0000"/>
          <w:lang w:val="es-ES_tradnl" w:eastAsia="es-ES"/>
        </w:rPr>
      </w:pPr>
      <w:hyperlink r:id="rId8" w:history="1">
        <w:r w:rsidR="00145323" w:rsidRPr="00CB3DBB">
          <w:rPr>
            <w:rFonts w:asciiTheme="minorHAnsi" w:hAnsiTheme="minorHAnsi" w:cstheme="minorBidi"/>
            <w:color w:val="FF0000"/>
          </w:rPr>
          <w:t>mmartineza@uaemex.mx</w:t>
        </w:r>
      </w:hyperlink>
    </w:p>
    <w:p w14:paraId="0D850457" w14:textId="5E61AE3D" w:rsidR="00145323" w:rsidRDefault="00145323" w:rsidP="0071103A">
      <w:pPr>
        <w:spacing w:line="276" w:lineRule="auto"/>
        <w:jc w:val="right"/>
        <w:rPr>
          <w:rFonts w:eastAsiaTheme="minorHAnsi"/>
          <w:lang w:eastAsia="en-US"/>
        </w:rPr>
      </w:pPr>
      <w:r w:rsidRPr="00160538">
        <w:rPr>
          <w:rFonts w:eastAsiaTheme="minorHAnsi"/>
          <w:lang w:eastAsia="en-US"/>
        </w:rPr>
        <w:t>https://orcid.org/0000-0002-0921-019X</w:t>
      </w:r>
    </w:p>
    <w:p w14:paraId="3528957B" w14:textId="77777777" w:rsidR="00145323" w:rsidRDefault="00145323" w:rsidP="0071103A">
      <w:pPr>
        <w:spacing w:line="276" w:lineRule="auto"/>
        <w:jc w:val="right"/>
        <w:rPr>
          <w:rFonts w:eastAsiaTheme="minorHAnsi"/>
          <w:lang w:eastAsia="en-US"/>
        </w:rPr>
      </w:pPr>
    </w:p>
    <w:p w14:paraId="72013C7C" w14:textId="7F77FFA1" w:rsidR="0071103A" w:rsidRDefault="0071103A" w:rsidP="0071103A">
      <w:pPr>
        <w:spacing w:line="276" w:lineRule="auto"/>
        <w:jc w:val="right"/>
        <w:rPr>
          <w:rFonts w:ascii="Calibri" w:eastAsiaTheme="minorEastAsia" w:hAnsi="Calibri" w:cs="Calibri"/>
          <w:b/>
          <w:lang w:val="es-ES_tradnl" w:eastAsia="es-ES"/>
        </w:rPr>
      </w:pPr>
      <w:r>
        <w:rPr>
          <w:rFonts w:ascii="Calibri" w:eastAsiaTheme="minorEastAsia" w:hAnsi="Calibri" w:cs="Calibri"/>
          <w:b/>
          <w:lang w:val="es-ES_tradnl" w:eastAsia="es-ES"/>
        </w:rPr>
        <w:t xml:space="preserve">Filiberto Enrique Valdés Medina </w:t>
      </w:r>
    </w:p>
    <w:p w14:paraId="347A5D5B" w14:textId="0BBCE66B" w:rsidR="0071103A" w:rsidRPr="00CB3DBB" w:rsidRDefault="0071103A" w:rsidP="0071103A">
      <w:pPr>
        <w:spacing w:line="276" w:lineRule="auto"/>
        <w:jc w:val="right"/>
        <w:rPr>
          <w:rFonts w:eastAsiaTheme="minorHAnsi"/>
          <w:lang w:eastAsia="en-US"/>
        </w:rPr>
      </w:pPr>
      <w:r w:rsidRPr="00CB3DBB">
        <w:rPr>
          <w:rFonts w:eastAsiaTheme="minorHAnsi"/>
          <w:lang w:eastAsia="en-US"/>
        </w:rPr>
        <w:t>Universidad Autónoma del Estado de México, México</w:t>
      </w:r>
    </w:p>
    <w:p w14:paraId="65AAC865" w14:textId="7DDD3B52" w:rsidR="0071103A" w:rsidRPr="0071103A" w:rsidRDefault="0071103A" w:rsidP="0071103A">
      <w:pPr>
        <w:spacing w:line="276" w:lineRule="auto"/>
        <w:jc w:val="right"/>
        <w:rPr>
          <w:rFonts w:asciiTheme="minorHAnsi" w:hAnsiTheme="minorHAnsi" w:cstheme="minorBidi"/>
          <w:color w:val="FF0000"/>
        </w:rPr>
      </w:pPr>
      <w:r w:rsidRPr="0071103A">
        <w:rPr>
          <w:rFonts w:asciiTheme="minorHAnsi" w:hAnsiTheme="minorHAnsi" w:cstheme="minorBidi"/>
          <w:color w:val="FF0000"/>
        </w:rPr>
        <w:t>fevaldesm@uaemex.mx</w:t>
      </w:r>
    </w:p>
    <w:p w14:paraId="7537ABF0" w14:textId="411947D6" w:rsidR="00145323" w:rsidRDefault="0071103A" w:rsidP="0071103A">
      <w:pPr>
        <w:spacing w:line="276" w:lineRule="auto"/>
        <w:jc w:val="right"/>
        <w:rPr>
          <w:rStyle w:val="Hipervnculo"/>
          <w:rFonts w:eastAsiaTheme="minorHAnsi"/>
          <w:lang w:eastAsia="en-US"/>
        </w:rPr>
      </w:pPr>
      <w:r w:rsidRPr="00160538">
        <w:rPr>
          <w:rFonts w:eastAsiaTheme="minorHAnsi"/>
          <w:lang w:eastAsia="en-US"/>
        </w:rPr>
        <w:t>http://orcid.org/0000-0003-1424-1465</w:t>
      </w:r>
    </w:p>
    <w:p w14:paraId="6A16F16A" w14:textId="0D386DB1" w:rsidR="0071103A" w:rsidRPr="0071103A" w:rsidRDefault="0071103A" w:rsidP="0071103A">
      <w:pPr>
        <w:spacing w:line="276" w:lineRule="auto"/>
        <w:jc w:val="right"/>
        <w:rPr>
          <w:rStyle w:val="Hipervnculo"/>
          <w:rFonts w:eastAsiaTheme="minorHAnsi"/>
          <w:u w:val="none"/>
          <w:lang w:eastAsia="en-US"/>
        </w:rPr>
      </w:pPr>
    </w:p>
    <w:p w14:paraId="5B43475D" w14:textId="77777777" w:rsidR="0071103A" w:rsidRPr="0071103A" w:rsidRDefault="0071103A" w:rsidP="0071103A">
      <w:pPr>
        <w:spacing w:line="276" w:lineRule="auto"/>
        <w:jc w:val="right"/>
        <w:rPr>
          <w:rStyle w:val="Hipervnculo"/>
          <w:rFonts w:eastAsiaTheme="minorHAnsi"/>
          <w:u w:val="none"/>
          <w:lang w:eastAsia="en-US"/>
        </w:rPr>
      </w:pPr>
    </w:p>
    <w:p w14:paraId="4C9A5C5D" w14:textId="3141313E" w:rsidR="009B63DF" w:rsidRPr="00D507FB" w:rsidRDefault="009B63DF" w:rsidP="00866171">
      <w:pPr>
        <w:autoSpaceDE w:val="0"/>
        <w:autoSpaceDN w:val="0"/>
        <w:adjustRightInd w:val="0"/>
        <w:spacing w:line="360" w:lineRule="auto"/>
        <w:rPr>
          <w:rFonts w:asciiTheme="minorHAnsi" w:hAnsiTheme="minorHAnsi" w:cstheme="minorHAnsi"/>
          <w:b/>
          <w:bCs/>
          <w:sz w:val="28"/>
          <w:szCs w:val="26"/>
        </w:rPr>
      </w:pPr>
      <w:r w:rsidRPr="00D507FB">
        <w:rPr>
          <w:rFonts w:asciiTheme="minorHAnsi" w:hAnsiTheme="minorHAnsi" w:cstheme="minorHAnsi"/>
          <w:b/>
          <w:bCs/>
          <w:sz w:val="28"/>
          <w:szCs w:val="26"/>
        </w:rPr>
        <w:t>Resumen</w:t>
      </w:r>
    </w:p>
    <w:p w14:paraId="1F78F367" w14:textId="1BB01DFB" w:rsidR="006E6CDA" w:rsidRPr="00D507FB" w:rsidRDefault="006E6CDA" w:rsidP="00246432">
      <w:pPr>
        <w:autoSpaceDE w:val="0"/>
        <w:autoSpaceDN w:val="0"/>
        <w:adjustRightInd w:val="0"/>
        <w:spacing w:line="360" w:lineRule="auto"/>
        <w:jc w:val="both"/>
        <w:rPr>
          <w:rFonts w:ascii="Times" w:hAnsi="Times"/>
          <w:shd w:val="clear" w:color="auto" w:fill="FFFFFF"/>
        </w:rPr>
      </w:pPr>
      <w:r w:rsidRPr="00E80806">
        <w:rPr>
          <w:rFonts w:ascii="Times" w:hAnsi="Times"/>
          <w:shd w:val="clear" w:color="auto" w:fill="FFFFFF"/>
        </w:rPr>
        <w:t xml:space="preserve">Este artículo presenta una revisión bibliográfica sobre la sustentabilidad en </w:t>
      </w:r>
      <w:r w:rsidR="001D01CA" w:rsidRPr="00E80806">
        <w:rPr>
          <w:rFonts w:ascii="Times" w:hAnsi="Times"/>
          <w:shd w:val="clear" w:color="auto" w:fill="FFFFFF"/>
        </w:rPr>
        <w:t>en el ámbito de la educación</w:t>
      </w:r>
      <w:r w:rsidRPr="00E80806">
        <w:rPr>
          <w:rFonts w:ascii="Times" w:hAnsi="Times"/>
          <w:shd w:val="clear" w:color="auto" w:fill="FFFFFF"/>
        </w:rPr>
        <w:t xml:space="preserve">. El método de estudio </w:t>
      </w:r>
      <w:r w:rsidR="001025D2" w:rsidRPr="00E80806">
        <w:rPr>
          <w:rFonts w:ascii="Times" w:hAnsi="Times"/>
          <w:shd w:val="clear" w:color="auto" w:fill="FFFFFF"/>
        </w:rPr>
        <w:t>empleado fue la</w:t>
      </w:r>
      <w:r w:rsidRPr="00E80806">
        <w:rPr>
          <w:rFonts w:ascii="Times" w:hAnsi="Times"/>
          <w:shd w:val="clear" w:color="auto" w:fill="FFFFFF"/>
        </w:rPr>
        <w:t xml:space="preserve"> revisión bibliográfica a nivel exploratorio en las bases de datos de mayor reconocimiento internacional, como son </w:t>
      </w:r>
      <w:r w:rsidR="00B71B00" w:rsidRPr="00E80806">
        <w:rPr>
          <w:rFonts w:ascii="Times" w:hAnsi="Times"/>
          <w:shd w:val="clear" w:color="auto" w:fill="FFFFFF"/>
        </w:rPr>
        <w:t>S</w:t>
      </w:r>
      <w:r w:rsidRPr="00E80806">
        <w:rPr>
          <w:rFonts w:ascii="Times" w:hAnsi="Times"/>
          <w:shd w:val="clear" w:color="auto" w:fill="FFFFFF"/>
        </w:rPr>
        <w:t xml:space="preserve">copus y la </w:t>
      </w:r>
      <w:r w:rsidR="00B71B00" w:rsidRPr="00E80806">
        <w:rPr>
          <w:rFonts w:ascii="Times" w:hAnsi="Times"/>
          <w:shd w:val="clear" w:color="auto" w:fill="FFFFFF"/>
        </w:rPr>
        <w:t>W</w:t>
      </w:r>
      <w:r w:rsidRPr="00E80806">
        <w:rPr>
          <w:rFonts w:ascii="Times" w:hAnsi="Times"/>
          <w:shd w:val="clear" w:color="auto" w:fill="FFFFFF"/>
        </w:rPr>
        <w:t xml:space="preserve">eb of </w:t>
      </w:r>
      <w:r w:rsidR="00B71B00" w:rsidRPr="00E80806">
        <w:rPr>
          <w:rFonts w:ascii="Times" w:hAnsi="Times"/>
          <w:shd w:val="clear" w:color="auto" w:fill="FFFFFF"/>
        </w:rPr>
        <w:t>S</w:t>
      </w:r>
      <w:r w:rsidRPr="00E80806">
        <w:rPr>
          <w:rFonts w:ascii="Times" w:hAnsi="Times"/>
          <w:shd w:val="clear" w:color="auto" w:fill="FFFFFF"/>
        </w:rPr>
        <w:t>cience</w:t>
      </w:r>
      <w:r w:rsidR="001D01CA" w:rsidRPr="00E80806">
        <w:rPr>
          <w:rFonts w:ascii="Times" w:hAnsi="Times"/>
          <w:shd w:val="clear" w:color="auto" w:fill="FFFFFF"/>
        </w:rPr>
        <w:t>. El criterio de inclusión</w:t>
      </w:r>
      <w:r w:rsidR="00DC1846" w:rsidRPr="00E80806">
        <w:rPr>
          <w:rFonts w:ascii="Times" w:hAnsi="Times"/>
          <w:shd w:val="clear" w:color="auto" w:fill="FFFFFF"/>
        </w:rPr>
        <w:t xml:space="preserve"> de la muestra</w:t>
      </w:r>
      <w:r w:rsidR="001D01CA" w:rsidRPr="00E80806">
        <w:rPr>
          <w:rFonts w:ascii="Times" w:hAnsi="Times"/>
          <w:shd w:val="clear" w:color="auto" w:fill="FFFFFF"/>
        </w:rPr>
        <w:t xml:space="preserve"> fue </w:t>
      </w:r>
      <w:r w:rsidR="00B71B00" w:rsidRPr="00E80806">
        <w:rPr>
          <w:rFonts w:ascii="Times" w:hAnsi="Times"/>
          <w:shd w:val="clear" w:color="auto" w:fill="FFFFFF"/>
        </w:rPr>
        <w:t xml:space="preserve">que analizaran </w:t>
      </w:r>
      <w:r w:rsidRPr="00E80806">
        <w:rPr>
          <w:rFonts w:ascii="Times" w:hAnsi="Times"/>
          <w:shd w:val="clear" w:color="auto" w:fill="FFFFFF"/>
        </w:rPr>
        <w:t>modelos teóricos y conceptuales</w:t>
      </w:r>
      <w:r w:rsidR="00B71B00" w:rsidRPr="00E80806">
        <w:rPr>
          <w:rFonts w:ascii="Times" w:hAnsi="Times"/>
          <w:shd w:val="clear" w:color="auto" w:fill="FFFFFF"/>
        </w:rPr>
        <w:t xml:space="preserve"> y</w:t>
      </w:r>
      <w:r w:rsidRPr="00E80806">
        <w:rPr>
          <w:rFonts w:ascii="Times" w:hAnsi="Times"/>
          <w:shd w:val="clear" w:color="auto" w:fill="FFFFFF"/>
        </w:rPr>
        <w:t xml:space="preserve"> que us</w:t>
      </w:r>
      <w:r w:rsidR="00B71B00" w:rsidRPr="00E80806">
        <w:rPr>
          <w:rFonts w:ascii="Times" w:hAnsi="Times"/>
          <w:shd w:val="clear" w:color="auto" w:fill="FFFFFF"/>
        </w:rPr>
        <w:t>aran</w:t>
      </w:r>
      <w:r w:rsidRPr="00E80806">
        <w:rPr>
          <w:rFonts w:ascii="Times" w:hAnsi="Times"/>
          <w:shd w:val="clear" w:color="auto" w:fill="FFFFFF"/>
        </w:rPr>
        <w:t xml:space="preserve"> constructos de sostenibilidad</w:t>
      </w:r>
      <w:r w:rsidR="001D01CA" w:rsidRPr="00E80806">
        <w:rPr>
          <w:rFonts w:ascii="Times" w:hAnsi="Times"/>
          <w:shd w:val="clear" w:color="auto" w:fill="FFFFFF"/>
        </w:rPr>
        <w:t xml:space="preserve"> </w:t>
      </w:r>
      <w:r w:rsidR="001A3D3B" w:rsidRPr="00E80806">
        <w:rPr>
          <w:rFonts w:ascii="Times" w:hAnsi="Times"/>
          <w:shd w:val="clear" w:color="auto" w:fill="FFFFFF"/>
        </w:rPr>
        <w:t xml:space="preserve">medioambiental </w:t>
      </w:r>
      <w:r w:rsidR="001D01CA" w:rsidRPr="00E80806">
        <w:rPr>
          <w:rFonts w:ascii="Times" w:hAnsi="Times"/>
          <w:shd w:val="clear" w:color="auto" w:fill="FFFFFF"/>
        </w:rPr>
        <w:t xml:space="preserve">en el ámbito </w:t>
      </w:r>
      <w:r w:rsidR="00DC1846" w:rsidRPr="00E80806">
        <w:rPr>
          <w:rFonts w:ascii="Times" w:hAnsi="Times"/>
          <w:shd w:val="clear" w:color="auto" w:fill="FFFFFF"/>
        </w:rPr>
        <w:t>de la educación</w:t>
      </w:r>
      <w:r w:rsidR="00B71B00" w:rsidRPr="00E80806">
        <w:rPr>
          <w:rFonts w:ascii="Times" w:hAnsi="Times"/>
          <w:shd w:val="clear" w:color="auto" w:fill="FFFFFF"/>
        </w:rPr>
        <w:t xml:space="preserve"> que fueran </w:t>
      </w:r>
      <w:r w:rsidRPr="00E80806">
        <w:rPr>
          <w:rFonts w:ascii="Times" w:hAnsi="Times"/>
          <w:shd w:val="clear" w:color="auto" w:fill="FFFFFF"/>
        </w:rPr>
        <w:t xml:space="preserve">estadísticamente probados por la </w:t>
      </w:r>
      <w:r w:rsidR="00B71B00" w:rsidRPr="00E80806">
        <w:rPr>
          <w:rFonts w:ascii="Times" w:hAnsi="Times"/>
          <w:shd w:val="clear" w:color="auto" w:fill="FFFFFF"/>
        </w:rPr>
        <w:t xml:space="preserve">modelación de ecuaciones estructurales </w:t>
      </w:r>
      <w:r w:rsidR="00E94635" w:rsidRPr="00E80806">
        <w:rPr>
          <w:rFonts w:ascii="Times" w:hAnsi="Times"/>
          <w:shd w:val="clear" w:color="auto" w:fill="FFFFFF"/>
        </w:rPr>
        <w:t xml:space="preserve">(SEM-por sus siglas en inglés), </w:t>
      </w:r>
      <w:r w:rsidRPr="00E80806">
        <w:rPr>
          <w:rFonts w:ascii="Times" w:hAnsi="Times"/>
          <w:shd w:val="clear" w:color="auto" w:fill="FFFFFF"/>
        </w:rPr>
        <w:t xml:space="preserve">en los últimos </w:t>
      </w:r>
      <w:r w:rsidR="001025D2" w:rsidRPr="00E80806">
        <w:rPr>
          <w:rFonts w:ascii="Times" w:hAnsi="Times"/>
          <w:shd w:val="clear" w:color="auto" w:fill="FFFFFF"/>
        </w:rPr>
        <w:t xml:space="preserve">cuatro/cinco </w:t>
      </w:r>
      <w:r w:rsidRPr="00E80806">
        <w:rPr>
          <w:rFonts w:ascii="Times" w:hAnsi="Times"/>
          <w:shd w:val="clear" w:color="auto" w:fill="FFFFFF"/>
        </w:rPr>
        <w:t>años. Ello implicó una revisión narrativa y crítica a fin de encontrar brechas de investigación y variables de fronteras que pudieran ayudar a crecer en el conocimiento científico.</w:t>
      </w:r>
      <w:r w:rsidR="00B71B00" w:rsidRPr="00E80806">
        <w:rPr>
          <w:rFonts w:ascii="Times" w:hAnsi="Times"/>
          <w:shd w:val="clear" w:color="auto" w:fill="FFFFFF"/>
        </w:rPr>
        <w:t xml:space="preserve"> </w:t>
      </w:r>
      <w:r w:rsidRPr="00E80806">
        <w:rPr>
          <w:rFonts w:ascii="Times" w:hAnsi="Times"/>
          <w:shd w:val="clear" w:color="auto" w:fill="FFFFFF"/>
        </w:rPr>
        <w:t xml:space="preserve">Los principales hallazgos de la literatura </w:t>
      </w:r>
      <w:r w:rsidR="00DC1846" w:rsidRPr="00E80806">
        <w:rPr>
          <w:rFonts w:ascii="Times" w:hAnsi="Times"/>
          <w:shd w:val="clear" w:color="auto" w:fill="FFFFFF"/>
        </w:rPr>
        <w:t>reportan como una relación causal es explicada</w:t>
      </w:r>
      <w:r w:rsidR="001A3D3B" w:rsidRPr="00E80806">
        <w:rPr>
          <w:rFonts w:ascii="Times" w:hAnsi="Times"/>
          <w:shd w:val="clear" w:color="auto" w:fill="FFFFFF"/>
        </w:rPr>
        <w:t xml:space="preserve"> y se fortalece</w:t>
      </w:r>
      <w:r w:rsidR="00B71B00" w:rsidRPr="00E80806">
        <w:rPr>
          <w:rFonts w:ascii="Times" w:hAnsi="Times"/>
          <w:shd w:val="clear" w:color="auto" w:fill="FFFFFF"/>
        </w:rPr>
        <w:t xml:space="preserve"> </w:t>
      </w:r>
      <w:r w:rsidR="001A3D3B" w:rsidRPr="00E80806">
        <w:rPr>
          <w:rFonts w:ascii="Times" w:hAnsi="Times"/>
          <w:shd w:val="clear" w:color="auto" w:fill="FFFFFF"/>
        </w:rPr>
        <w:t xml:space="preserve">a </w:t>
      </w:r>
      <w:r w:rsidR="001A3D3B" w:rsidRPr="00E80806">
        <w:rPr>
          <w:rFonts w:ascii="Times" w:hAnsi="Times"/>
          <w:shd w:val="clear" w:color="auto" w:fill="FFFFFF"/>
        </w:rPr>
        <w:lastRenderedPageBreak/>
        <w:t>través de las variables exógenas (variables independientes), ya sea con efectos directos o indirectos</w:t>
      </w:r>
      <w:r w:rsidR="00BC049E" w:rsidRPr="00E80806">
        <w:rPr>
          <w:rFonts w:ascii="Times" w:hAnsi="Times"/>
          <w:shd w:val="clear" w:color="auto" w:fill="FFFFFF"/>
        </w:rPr>
        <w:t xml:space="preserve"> (mediación, o moderación).</w:t>
      </w:r>
    </w:p>
    <w:p w14:paraId="3385D083" w14:textId="2EA4AB6E" w:rsidR="00D02D85" w:rsidRDefault="002900DB" w:rsidP="00246432">
      <w:pPr>
        <w:autoSpaceDE w:val="0"/>
        <w:autoSpaceDN w:val="0"/>
        <w:adjustRightInd w:val="0"/>
        <w:spacing w:line="360" w:lineRule="auto"/>
        <w:jc w:val="both"/>
        <w:rPr>
          <w:rFonts w:ascii="Times" w:hAnsi="Times" w:cs="Í¥Í"/>
        </w:rPr>
      </w:pPr>
      <w:r w:rsidRPr="00D507FB">
        <w:rPr>
          <w:rFonts w:asciiTheme="minorHAnsi" w:hAnsiTheme="minorHAnsi" w:cstheme="minorHAnsi"/>
          <w:b/>
          <w:bCs/>
          <w:sz w:val="28"/>
          <w:szCs w:val="26"/>
        </w:rPr>
        <w:t>Palabras clave</w:t>
      </w:r>
      <w:r w:rsidR="00B71B00" w:rsidRPr="00D507FB">
        <w:rPr>
          <w:rFonts w:asciiTheme="minorHAnsi" w:hAnsiTheme="minorHAnsi" w:cstheme="minorHAnsi"/>
          <w:b/>
          <w:bCs/>
          <w:sz w:val="28"/>
          <w:szCs w:val="26"/>
        </w:rPr>
        <w:t>:</w:t>
      </w:r>
      <w:r w:rsidR="00B71B00">
        <w:rPr>
          <w:rFonts w:ascii="Times" w:hAnsi="Times" w:cs="Í¥Í"/>
          <w:b/>
          <w:bCs/>
          <w:i/>
          <w:iCs/>
        </w:rPr>
        <w:t xml:space="preserve"> </w:t>
      </w:r>
      <w:r w:rsidR="00B71B00" w:rsidRPr="00B71B00">
        <w:rPr>
          <w:rFonts w:ascii="Times" w:hAnsi="Times" w:cs="Í¥Í"/>
        </w:rPr>
        <w:t>s</w:t>
      </w:r>
      <w:r w:rsidR="00846D97" w:rsidRPr="0040084B">
        <w:rPr>
          <w:rFonts w:ascii="Times" w:hAnsi="Times" w:cs="Í¥Í"/>
        </w:rPr>
        <w:t xml:space="preserve">ostenibilidad, </w:t>
      </w:r>
      <w:r w:rsidR="00D02D85">
        <w:rPr>
          <w:rFonts w:ascii="Times" w:hAnsi="Times" w:cs="Í¥Í"/>
        </w:rPr>
        <w:t>medioambiental, SEM.</w:t>
      </w:r>
    </w:p>
    <w:p w14:paraId="360EBFA2" w14:textId="6EDA8257" w:rsidR="00F410C7" w:rsidRPr="0040084B" w:rsidRDefault="00F410C7" w:rsidP="00246432">
      <w:pPr>
        <w:autoSpaceDE w:val="0"/>
        <w:autoSpaceDN w:val="0"/>
        <w:adjustRightInd w:val="0"/>
        <w:spacing w:line="360" w:lineRule="auto"/>
        <w:jc w:val="both"/>
        <w:rPr>
          <w:rFonts w:ascii="Times" w:hAnsi="Times"/>
          <w:color w:val="131413"/>
          <w:sz w:val="22"/>
          <w:szCs w:val="22"/>
        </w:rPr>
      </w:pPr>
    </w:p>
    <w:p w14:paraId="3C5B820A" w14:textId="77777777" w:rsidR="00F410C7" w:rsidRPr="00041E93" w:rsidRDefault="00F410C7" w:rsidP="00866171">
      <w:pPr>
        <w:autoSpaceDE w:val="0"/>
        <w:autoSpaceDN w:val="0"/>
        <w:adjustRightInd w:val="0"/>
        <w:spacing w:line="360" w:lineRule="auto"/>
        <w:rPr>
          <w:rFonts w:asciiTheme="minorHAnsi" w:hAnsiTheme="minorHAnsi" w:cstheme="minorHAnsi"/>
          <w:b/>
          <w:bCs/>
          <w:sz w:val="28"/>
          <w:szCs w:val="26"/>
          <w:lang w:val="en-US"/>
        </w:rPr>
      </w:pPr>
      <w:r w:rsidRPr="00041E93">
        <w:rPr>
          <w:rFonts w:asciiTheme="minorHAnsi" w:hAnsiTheme="minorHAnsi" w:cstheme="minorHAnsi"/>
          <w:b/>
          <w:bCs/>
          <w:sz w:val="28"/>
          <w:szCs w:val="26"/>
          <w:lang w:val="en-US"/>
        </w:rPr>
        <w:t>Abstract</w:t>
      </w:r>
    </w:p>
    <w:p w14:paraId="68DC988E" w14:textId="443BCEA3" w:rsidR="00AE4DE6" w:rsidRPr="00D507FB" w:rsidRDefault="00AE4DE6" w:rsidP="00D507FB">
      <w:pPr>
        <w:autoSpaceDE w:val="0"/>
        <w:autoSpaceDN w:val="0"/>
        <w:adjustRightInd w:val="0"/>
        <w:spacing w:line="360" w:lineRule="auto"/>
        <w:jc w:val="both"/>
        <w:rPr>
          <w:rFonts w:ascii="Times" w:hAnsi="Times"/>
          <w:color w:val="000000"/>
          <w:shd w:val="clear" w:color="auto" w:fill="FFFFFF"/>
          <w:lang w:val="en-US"/>
        </w:rPr>
      </w:pPr>
      <w:r w:rsidRPr="00E308D3">
        <w:rPr>
          <w:rFonts w:ascii="Times" w:hAnsi="Times"/>
          <w:color w:val="000000"/>
          <w:shd w:val="clear" w:color="auto" w:fill="FFFFFF"/>
          <w:lang w:val="en-US"/>
        </w:rPr>
        <w:t xml:space="preserve">This article presents a literature review on sustainability in the field of education. The study method used was an exploratory literature review in the most internationally recognized databases, such as: </w:t>
      </w:r>
      <w:proofErr w:type="spellStart"/>
      <w:r w:rsidRPr="00E308D3">
        <w:rPr>
          <w:rFonts w:ascii="Times" w:hAnsi="Times"/>
          <w:color w:val="000000"/>
          <w:shd w:val="clear" w:color="auto" w:fill="FFFFFF"/>
          <w:lang w:val="en-US"/>
        </w:rPr>
        <w:t>scopus</w:t>
      </w:r>
      <w:proofErr w:type="spellEnd"/>
      <w:r w:rsidRPr="00E308D3">
        <w:rPr>
          <w:rFonts w:ascii="Times" w:hAnsi="Times"/>
          <w:color w:val="000000"/>
          <w:shd w:val="clear" w:color="auto" w:fill="FFFFFF"/>
          <w:lang w:val="en-US"/>
        </w:rPr>
        <w:t xml:space="preserve"> and the web of science. The sample inclusion criterion was to analyze theoretical and conceptual models that use constructs of environmental sustainability in the field of education and statistically tested by Structural Equation Modeling (SEM) in the last four/five years. This involved a narrative and critical review, in order to find research gaps and boundary variables that could help to grow scientific knowledge.</w:t>
      </w:r>
      <w:r w:rsidR="00B71B00">
        <w:rPr>
          <w:rFonts w:ascii="Times" w:hAnsi="Times"/>
          <w:color w:val="000000"/>
          <w:shd w:val="clear" w:color="auto" w:fill="FFFFFF"/>
          <w:lang w:val="en-US"/>
        </w:rPr>
        <w:t xml:space="preserve"> </w:t>
      </w:r>
      <w:r w:rsidRPr="00E308D3">
        <w:rPr>
          <w:rFonts w:ascii="Times" w:hAnsi="Times"/>
          <w:color w:val="000000"/>
          <w:shd w:val="clear" w:color="auto" w:fill="FFFFFF"/>
          <w:lang w:val="en-US"/>
        </w:rPr>
        <w:t>The main findings of the literature report how a causal relationship is explained, and strengthened through exogenous variables (independent variables), either with direct effects, or indirect effects (mediation, or moderation).</w:t>
      </w:r>
    </w:p>
    <w:p w14:paraId="11C1A380" w14:textId="044E765E" w:rsidR="00E567C0" w:rsidRPr="00145323" w:rsidRDefault="00F410C7" w:rsidP="00D507FB">
      <w:pPr>
        <w:autoSpaceDE w:val="0"/>
        <w:autoSpaceDN w:val="0"/>
        <w:adjustRightInd w:val="0"/>
        <w:spacing w:line="360" w:lineRule="auto"/>
        <w:rPr>
          <w:rFonts w:ascii="Times" w:hAnsi="Times"/>
          <w:color w:val="131413"/>
        </w:rPr>
      </w:pPr>
      <w:r w:rsidRPr="00D507FB">
        <w:rPr>
          <w:rFonts w:asciiTheme="minorHAnsi" w:hAnsiTheme="minorHAnsi" w:cstheme="minorHAnsi"/>
          <w:b/>
          <w:bCs/>
          <w:sz w:val="28"/>
          <w:szCs w:val="26"/>
        </w:rPr>
        <w:t>Keywords</w:t>
      </w:r>
      <w:r w:rsidR="00D507FB">
        <w:rPr>
          <w:rFonts w:asciiTheme="minorHAnsi" w:hAnsiTheme="minorHAnsi" w:cstheme="minorHAnsi"/>
          <w:b/>
          <w:bCs/>
          <w:sz w:val="28"/>
          <w:szCs w:val="26"/>
        </w:rPr>
        <w:t xml:space="preserve">: </w:t>
      </w:r>
      <w:r w:rsidR="00AE4DE6" w:rsidRPr="00145323">
        <w:rPr>
          <w:rFonts w:ascii="Times" w:hAnsi="Times"/>
          <w:color w:val="131413"/>
        </w:rPr>
        <w:t>Sustainability, environmental, SEM.</w:t>
      </w:r>
    </w:p>
    <w:p w14:paraId="48A79D31" w14:textId="77777777" w:rsidR="00D507FB" w:rsidRPr="00145323" w:rsidRDefault="00D507FB" w:rsidP="00D507FB">
      <w:pPr>
        <w:autoSpaceDE w:val="0"/>
        <w:autoSpaceDN w:val="0"/>
        <w:adjustRightInd w:val="0"/>
        <w:spacing w:line="360" w:lineRule="auto"/>
        <w:rPr>
          <w:rFonts w:ascii="Times" w:hAnsi="Times"/>
          <w:color w:val="131413"/>
        </w:rPr>
      </w:pPr>
    </w:p>
    <w:p w14:paraId="5CA689DF" w14:textId="5DFA53EE" w:rsidR="00D507FB" w:rsidRPr="00D507FB" w:rsidRDefault="00D507FB" w:rsidP="00D507FB">
      <w:pPr>
        <w:autoSpaceDE w:val="0"/>
        <w:autoSpaceDN w:val="0"/>
        <w:adjustRightInd w:val="0"/>
        <w:spacing w:line="360" w:lineRule="auto"/>
        <w:rPr>
          <w:rFonts w:asciiTheme="minorHAnsi" w:hAnsiTheme="minorHAnsi" w:cstheme="minorHAnsi"/>
          <w:b/>
          <w:bCs/>
          <w:sz w:val="28"/>
          <w:szCs w:val="26"/>
        </w:rPr>
      </w:pPr>
      <w:r w:rsidRPr="00D507FB">
        <w:rPr>
          <w:rFonts w:asciiTheme="minorHAnsi" w:hAnsiTheme="minorHAnsi" w:cstheme="minorHAnsi"/>
          <w:b/>
          <w:bCs/>
          <w:sz w:val="28"/>
          <w:szCs w:val="26"/>
        </w:rPr>
        <w:t>Resumo</w:t>
      </w:r>
    </w:p>
    <w:p w14:paraId="42A2978B" w14:textId="77777777" w:rsidR="00D507FB" w:rsidRPr="00041E93" w:rsidRDefault="00D507FB" w:rsidP="00D507FB">
      <w:pPr>
        <w:autoSpaceDE w:val="0"/>
        <w:autoSpaceDN w:val="0"/>
        <w:adjustRightInd w:val="0"/>
        <w:spacing w:line="360" w:lineRule="auto"/>
        <w:jc w:val="both"/>
        <w:rPr>
          <w:rFonts w:ascii="Times" w:hAnsi="Times"/>
          <w:color w:val="131413"/>
        </w:rPr>
      </w:pPr>
      <w:r w:rsidRPr="00041E93">
        <w:rPr>
          <w:rFonts w:ascii="Times" w:hAnsi="Times"/>
          <w:color w:val="131413"/>
        </w:rPr>
        <w:t>Este artigo apresenta uma revisão bibliográfica sobre sustentabilidade no campo da educação. O método de estudo utilizado foi a revisão bibliográfica em nível exploratório nas bases de dados mais reconhecidas internacionalmente, como Scopus e Web of Science. O critério de inclusão da amostra foi que analisassem modelos teóricos e conceituais e utilizassem construtos de sustentabilidade ambiental na área de educação que foram testados estatisticamente por modelagem de equações estruturais (MEE), nos últimos quatro/cinco anos. Isto envolveu uma revisão narrativa e crítica a fim de encontrar lacunas de pesquisa e variáveis ​​de fronteira que pudessem ajudar a aumentar o conhecimento científico. Os principais achados da literatura relatam como uma relação causal é explicada e fortalecida por meio de variáveis ​​exógenas (variáveis ​​independentes), sejam elas com efeitos diretos ou indiretos (mediação ou moderação).</w:t>
      </w:r>
    </w:p>
    <w:p w14:paraId="1048A21A" w14:textId="729C8237" w:rsidR="00D507FB" w:rsidRPr="00041E93" w:rsidRDefault="00D507FB" w:rsidP="00D507FB">
      <w:pPr>
        <w:autoSpaceDE w:val="0"/>
        <w:autoSpaceDN w:val="0"/>
        <w:adjustRightInd w:val="0"/>
        <w:spacing w:line="360" w:lineRule="auto"/>
        <w:rPr>
          <w:rFonts w:ascii="Times" w:hAnsi="Times"/>
          <w:color w:val="131413"/>
        </w:rPr>
      </w:pPr>
      <w:r w:rsidRPr="00D507FB">
        <w:rPr>
          <w:rFonts w:asciiTheme="minorHAnsi" w:hAnsiTheme="minorHAnsi" w:cstheme="minorHAnsi"/>
          <w:b/>
          <w:bCs/>
          <w:sz w:val="28"/>
          <w:szCs w:val="26"/>
        </w:rPr>
        <w:t>Palavras-chave:</w:t>
      </w:r>
      <w:r w:rsidRPr="00041E93">
        <w:rPr>
          <w:rFonts w:ascii="Times" w:hAnsi="Times"/>
          <w:color w:val="131413"/>
        </w:rPr>
        <w:t xml:space="preserve"> sustentabilidade, ambiental, SEM.</w:t>
      </w:r>
    </w:p>
    <w:p w14:paraId="1B328387" w14:textId="353E5E17" w:rsidR="00D507FB" w:rsidRPr="004334EF" w:rsidRDefault="00D507FB" w:rsidP="00D507F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2023</w:t>
      </w:r>
    </w:p>
    <w:p w14:paraId="5CAD9925" w14:textId="7BECA1EA" w:rsidR="00E567C0" w:rsidRPr="0040084B" w:rsidRDefault="00000000" w:rsidP="00D507FB">
      <w:pPr>
        <w:autoSpaceDE w:val="0"/>
        <w:autoSpaceDN w:val="0"/>
        <w:adjustRightInd w:val="0"/>
        <w:spacing w:line="360" w:lineRule="auto"/>
        <w:jc w:val="both"/>
        <w:rPr>
          <w:rFonts w:ascii="Times" w:hAnsi="Times"/>
          <w:color w:val="131413"/>
          <w:sz w:val="22"/>
          <w:szCs w:val="22"/>
          <w:lang w:val="en-US"/>
        </w:rPr>
      </w:pPr>
      <w:r>
        <w:rPr>
          <w:noProof/>
          <w14:ligatures w14:val="standardContextual"/>
        </w:rPr>
        <w:pict w14:anchorId="0F49BF09">
          <v:rect id="_x0000_i1025" alt="" style="width:441.9pt;height:.05pt;mso-width-percent:0;mso-height-percent:0;mso-width-percent:0;mso-height-percent:0" o:hralign="center" o:hrstd="t" o:hr="t" fillcolor="#a0a0a0" stroked="f"/>
        </w:pict>
      </w:r>
    </w:p>
    <w:p w14:paraId="71211167" w14:textId="2564F5FE" w:rsidR="00C46429" w:rsidRPr="00D507FB" w:rsidRDefault="00A018CA" w:rsidP="00D507FB">
      <w:pPr>
        <w:autoSpaceDE w:val="0"/>
        <w:autoSpaceDN w:val="0"/>
        <w:adjustRightInd w:val="0"/>
        <w:spacing w:line="360" w:lineRule="auto"/>
        <w:jc w:val="center"/>
        <w:rPr>
          <w:b/>
          <w:bCs/>
          <w:color w:val="131413"/>
          <w:sz w:val="32"/>
          <w:szCs w:val="36"/>
        </w:rPr>
      </w:pPr>
      <w:r w:rsidRPr="00D507FB">
        <w:rPr>
          <w:b/>
          <w:bCs/>
          <w:color w:val="131413"/>
          <w:sz w:val="32"/>
          <w:szCs w:val="36"/>
        </w:rPr>
        <w:lastRenderedPageBreak/>
        <w:t>Introducción</w:t>
      </w:r>
    </w:p>
    <w:p w14:paraId="2CED2741" w14:textId="77777777" w:rsidR="00B71B00" w:rsidRDefault="00341B39" w:rsidP="00B71B00">
      <w:pPr>
        <w:autoSpaceDE w:val="0"/>
        <w:autoSpaceDN w:val="0"/>
        <w:adjustRightInd w:val="0"/>
        <w:spacing w:line="360" w:lineRule="auto"/>
        <w:ind w:firstLine="709"/>
        <w:jc w:val="both"/>
        <w:rPr>
          <w:rFonts w:ascii="Times" w:hAnsi="Times"/>
          <w:color w:val="000000"/>
        </w:rPr>
      </w:pPr>
      <w:r w:rsidRPr="0040084B">
        <w:rPr>
          <w:rFonts w:ascii="Times" w:hAnsi="Times"/>
          <w:color w:val="000000"/>
        </w:rPr>
        <w:t xml:space="preserve">En 2015, la Organización de las Naciones Unidas (ONU) planteó los 17 objetivos de </w:t>
      </w:r>
      <w:r w:rsidR="00B71B00" w:rsidRPr="0040084B">
        <w:rPr>
          <w:rFonts w:ascii="Times" w:hAnsi="Times"/>
          <w:color w:val="000000"/>
        </w:rPr>
        <w:t xml:space="preserve">desarrollo sostenible que </w:t>
      </w:r>
      <w:r w:rsidRPr="0040084B">
        <w:rPr>
          <w:rFonts w:ascii="Times" w:hAnsi="Times"/>
          <w:color w:val="000000"/>
        </w:rPr>
        <w:t xml:space="preserve">comprende la Agenda 2030, cuya finalidad fue </w:t>
      </w:r>
      <w:r w:rsidR="00B71B00">
        <w:rPr>
          <w:rFonts w:ascii="Times" w:hAnsi="Times"/>
          <w:color w:val="000000"/>
        </w:rPr>
        <w:t xml:space="preserve">hacer un llamado </w:t>
      </w:r>
      <w:r w:rsidRPr="0040084B">
        <w:rPr>
          <w:rFonts w:ascii="Times" w:hAnsi="Times"/>
          <w:color w:val="000000"/>
        </w:rPr>
        <w:t xml:space="preserve">universal a la acción </w:t>
      </w:r>
      <w:r w:rsidR="00B71B00">
        <w:rPr>
          <w:rFonts w:ascii="Times" w:hAnsi="Times"/>
          <w:color w:val="000000"/>
        </w:rPr>
        <w:t xml:space="preserve">de </w:t>
      </w:r>
      <w:r w:rsidR="00B71B00" w:rsidRPr="0040084B">
        <w:rPr>
          <w:rFonts w:ascii="Times" w:hAnsi="Times"/>
          <w:color w:val="000000"/>
        </w:rPr>
        <w:t xml:space="preserve">las organizaciones empresariales, el gobierno y las universidades </w:t>
      </w:r>
      <w:r w:rsidR="00B71B00">
        <w:rPr>
          <w:rFonts w:ascii="Times" w:hAnsi="Times"/>
          <w:color w:val="000000"/>
        </w:rPr>
        <w:t xml:space="preserve">con el finde de desarrollar estrategias que permitan </w:t>
      </w:r>
      <w:r w:rsidR="00B71B00" w:rsidRPr="0040084B">
        <w:rPr>
          <w:rFonts w:ascii="Times" w:hAnsi="Times"/>
          <w:color w:val="000000"/>
        </w:rPr>
        <w:t xml:space="preserve">conseguir una sociedad </w:t>
      </w:r>
      <w:r w:rsidR="00B71B00">
        <w:rPr>
          <w:rFonts w:ascii="Times" w:hAnsi="Times"/>
          <w:color w:val="000000"/>
        </w:rPr>
        <w:t xml:space="preserve">más </w:t>
      </w:r>
      <w:r w:rsidR="00B71B00" w:rsidRPr="0040084B">
        <w:rPr>
          <w:rFonts w:ascii="Times" w:hAnsi="Times"/>
          <w:color w:val="000000"/>
        </w:rPr>
        <w:t>sustentable</w:t>
      </w:r>
      <w:r w:rsidR="00B71B00">
        <w:rPr>
          <w:rFonts w:ascii="Times" w:hAnsi="Times"/>
          <w:color w:val="000000"/>
        </w:rPr>
        <w:t xml:space="preserve"> </w:t>
      </w:r>
      <w:r w:rsidRPr="0040084B">
        <w:rPr>
          <w:rFonts w:ascii="Times" w:hAnsi="Times"/>
          <w:color w:val="000000"/>
        </w:rPr>
        <w:t xml:space="preserve">antes del </w:t>
      </w:r>
      <w:r w:rsidR="00B71B00">
        <w:rPr>
          <w:rFonts w:ascii="Times" w:hAnsi="Times"/>
          <w:color w:val="000000"/>
        </w:rPr>
        <w:t xml:space="preserve">año </w:t>
      </w:r>
      <w:r w:rsidRPr="0040084B">
        <w:rPr>
          <w:rFonts w:ascii="Times" w:hAnsi="Times"/>
          <w:color w:val="000000"/>
        </w:rPr>
        <w:t>2030 (Li</w:t>
      </w:r>
      <w:r w:rsidR="006E7CEB" w:rsidRPr="0040084B">
        <w:rPr>
          <w:rFonts w:ascii="Times" w:hAnsi="Times"/>
          <w:color w:val="000000"/>
        </w:rPr>
        <w:t>m</w:t>
      </w:r>
      <w:r w:rsidRPr="0040084B">
        <w:rPr>
          <w:rFonts w:ascii="Times" w:hAnsi="Times"/>
          <w:color w:val="000000"/>
        </w:rPr>
        <w:t xml:space="preserve"> </w:t>
      </w:r>
      <w:r w:rsidRPr="00B71B00">
        <w:rPr>
          <w:rFonts w:ascii="Times" w:hAnsi="Times"/>
          <w:i/>
          <w:iCs/>
          <w:color w:val="000000"/>
        </w:rPr>
        <w:t>et al</w:t>
      </w:r>
      <w:r w:rsidRPr="0040084B">
        <w:rPr>
          <w:rFonts w:ascii="Times" w:hAnsi="Times"/>
          <w:color w:val="000000"/>
        </w:rPr>
        <w:t xml:space="preserve">., 2022). </w:t>
      </w:r>
    </w:p>
    <w:p w14:paraId="5FC8ACBD" w14:textId="22846B09" w:rsidR="0077107A" w:rsidRPr="0040084B" w:rsidRDefault="00B71B00" w:rsidP="00B71B00">
      <w:pPr>
        <w:autoSpaceDE w:val="0"/>
        <w:autoSpaceDN w:val="0"/>
        <w:adjustRightInd w:val="0"/>
        <w:spacing w:line="360" w:lineRule="auto"/>
        <w:ind w:firstLine="709"/>
        <w:jc w:val="both"/>
        <w:rPr>
          <w:rFonts w:ascii="Times" w:hAnsi="Times"/>
          <w:color w:val="131413"/>
        </w:rPr>
      </w:pPr>
      <w:r>
        <w:rPr>
          <w:rFonts w:ascii="Times" w:hAnsi="Times"/>
          <w:color w:val="000000"/>
        </w:rPr>
        <w:t xml:space="preserve">En </w:t>
      </w:r>
      <w:r w:rsidRPr="0040084B">
        <w:rPr>
          <w:rFonts w:ascii="Times" w:hAnsi="Times"/>
          <w:color w:val="000000"/>
        </w:rPr>
        <w:t>el ámbito empresarial</w:t>
      </w:r>
      <w:r w:rsidR="00341B39" w:rsidRPr="0040084B">
        <w:rPr>
          <w:rFonts w:ascii="Times" w:hAnsi="Times"/>
          <w:color w:val="000000"/>
        </w:rPr>
        <w:t>, la sustentabilidad se centra en que las organizaciones no solo hagan hincapié en la utilidad económica y financiera, sino también que se centren en generar beneficios sociales, así como el cuidado del medio ambiente.</w:t>
      </w:r>
      <w:r w:rsidR="00341B39" w:rsidRPr="0040084B">
        <w:rPr>
          <w:rStyle w:val="gmail-apple-converted-space"/>
          <w:rFonts w:ascii="Times" w:hAnsi="Times"/>
          <w:color w:val="000000"/>
        </w:rPr>
        <w:t> </w:t>
      </w:r>
      <w:r w:rsidR="00341B39" w:rsidRPr="0040084B">
        <w:rPr>
          <w:rFonts w:ascii="Times" w:hAnsi="Times"/>
          <w:color w:val="131413"/>
        </w:rPr>
        <w:t xml:space="preserve">De manera general, la sostenibilidad hace referencia a la salud medioambiental, económica y social a largo plazo, </w:t>
      </w:r>
      <w:r>
        <w:rPr>
          <w:rFonts w:ascii="Times" w:hAnsi="Times"/>
          <w:color w:val="131413"/>
        </w:rPr>
        <w:t>lo cual,</w:t>
      </w:r>
      <w:r w:rsidR="00341B39" w:rsidRPr="0040084B">
        <w:rPr>
          <w:rFonts w:ascii="Times" w:hAnsi="Times"/>
          <w:color w:val="131413"/>
        </w:rPr>
        <w:t xml:space="preserve"> en cierta medida</w:t>
      </w:r>
      <w:r>
        <w:rPr>
          <w:rFonts w:ascii="Times" w:hAnsi="Times"/>
          <w:color w:val="131413"/>
        </w:rPr>
        <w:t>,</w:t>
      </w:r>
      <w:r w:rsidR="00341B39" w:rsidRPr="0040084B">
        <w:rPr>
          <w:rFonts w:ascii="Times" w:hAnsi="Times"/>
          <w:color w:val="131413"/>
        </w:rPr>
        <w:t xml:space="preserve"> es difícil de lograr (Asmelash </w:t>
      </w:r>
      <w:r w:rsidR="00341B39" w:rsidRPr="00B71B00">
        <w:rPr>
          <w:rFonts w:ascii="Times" w:hAnsi="Times"/>
          <w:i/>
          <w:iCs/>
          <w:color w:val="131413"/>
        </w:rPr>
        <w:t>et al</w:t>
      </w:r>
      <w:r w:rsidR="00341B39" w:rsidRPr="0040084B">
        <w:rPr>
          <w:rFonts w:ascii="Times" w:hAnsi="Times"/>
          <w:color w:val="131413"/>
        </w:rPr>
        <w:t>., 2019).</w:t>
      </w:r>
    </w:p>
    <w:p w14:paraId="628CB593" w14:textId="77777777" w:rsidR="008D244D" w:rsidRDefault="008D244D" w:rsidP="008D244D">
      <w:pPr>
        <w:spacing w:line="360" w:lineRule="auto"/>
        <w:ind w:firstLine="708"/>
        <w:jc w:val="both"/>
      </w:pPr>
      <w:r>
        <w:t>En cambio</w:t>
      </w:r>
      <w:r w:rsidRPr="005243D6">
        <w:t xml:space="preserve">, en el ámbito de las universidades públicas o gubernamentales, su enfoque no se centra en la dimensión económica, sino en proporcionar educación a la sociedad con la esperanza de promover un beneficio para el cuidado del medio ambiente. En otras palabras, las universidades sostenibles son aquellas cuya prioridad es aplicar la sustentabilidad en el ámbito esencial de la enseñanza, la investigación de vanguardia, el arte, la cultura y la extensión universitaria, así como ser sostenibles en sus procesos administrativos, como la gestión universitaria. </w:t>
      </w:r>
    </w:p>
    <w:p w14:paraId="4B1EB9FE" w14:textId="77777777" w:rsidR="008D244D" w:rsidRDefault="008D244D" w:rsidP="008D244D">
      <w:pPr>
        <w:spacing w:line="360" w:lineRule="auto"/>
        <w:ind w:firstLine="708"/>
        <w:jc w:val="both"/>
      </w:pPr>
      <w:r w:rsidRPr="005243D6">
        <w:t xml:space="preserve">Este enfoque, al que las universidades deben transitar, les plantea un desafío paradigmático para reorientar nuevas prácticas que eduquen a las generaciones futuras hacia una universidad sustentable. Por lo tanto, el enfoque práctico y eficaz de las políticas de sostenibilidad en las universidades dependerá en gran medida de la cultura, la voluntad y el compromiso de la dirección y los estudiantes para participar en actividades sostenibles (Mohammadi </w:t>
      </w:r>
      <w:r w:rsidRPr="005243D6">
        <w:rPr>
          <w:i/>
          <w:iCs/>
        </w:rPr>
        <w:t>et al</w:t>
      </w:r>
      <w:r w:rsidRPr="005243D6">
        <w:t>., 2023).</w:t>
      </w:r>
      <w:r>
        <w:t xml:space="preserve"> </w:t>
      </w:r>
      <w:r w:rsidRPr="005243D6">
        <w:t xml:space="preserve">Este es un llamado para que las instituciones de educación superior (IES) sean capaces de integrar el desarrollo sostenible junto con la comunidad universitaria, donde los líderes enfaticen los esfuerzos por una política de transición hacia la sostenibilidad. </w:t>
      </w:r>
    </w:p>
    <w:p w14:paraId="74D22D32" w14:textId="77777777" w:rsidR="008D244D" w:rsidRPr="005243D6" w:rsidRDefault="008D244D" w:rsidP="008D244D">
      <w:pPr>
        <w:spacing w:line="360" w:lineRule="auto"/>
        <w:ind w:firstLine="708"/>
        <w:jc w:val="both"/>
      </w:pPr>
      <w:r>
        <w:t>Por este motivo</w:t>
      </w:r>
      <w:r w:rsidRPr="005243D6">
        <w:t xml:space="preserve">, el objetivo de </w:t>
      </w:r>
      <w:r>
        <w:t xml:space="preserve">esta </w:t>
      </w:r>
      <w:r w:rsidRPr="005243D6">
        <w:t>investiga</w:t>
      </w:r>
      <w:r>
        <w:t>ción</w:t>
      </w:r>
      <w:r w:rsidRPr="005243D6">
        <w:t xml:space="preserve"> fue llevar a cabo un estudio de revisión bibliográfica a nivel exploratorio en las bases de datos de mayor reconocimiento internacional </w:t>
      </w:r>
      <w:r>
        <w:t>(</w:t>
      </w:r>
      <w:r w:rsidRPr="005243D6">
        <w:t>Scopus y la Web of Science</w:t>
      </w:r>
      <w:r>
        <w:t xml:space="preserve">). Para ello, se hizo especial énfasis </w:t>
      </w:r>
      <w:r w:rsidRPr="005243D6">
        <w:t xml:space="preserve">en modelos teóricos y conceptuales que utilicen constructos de sostenibilidad medioambiental, y que estén estadísticamente validados y fiables a través de la modelación de ecuaciones estructurales, </w:t>
      </w:r>
      <w:r>
        <w:t xml:space="preserve">en </w:t>
      </w:r>
      <w:r w:rsidRPr="005243D6">
        <w:t>el periodo de 2020 a 2023.</w:t>
      </w:r>
      <w:r>
        <w:t xml:space="preserve"> Con ello, e</w:t>
      </w:r>
      <w:r w:rsidRPr="005243D6">
        <w:t xml:space="preserve">specíficamente, se busca comprender </w:t>
      </w:r>
      <w:r>
        <w:lastRenderedPageBreak/>
        <w:t xml:space="preserve">los </w:t>
      </w:r>
      <w:r w:rsidRPr="005243D6">
        <w:t xml:space="preserve">constructos </w:t>
      </w:r>
      <w:r w:rsidRPr="009E1ACE">
        <w:rPr>
          <w:rFonts w:ascii="Times" w:hAnsi="Times"/>
          <w:shd w:val="clear" w:color="auto" w:fill="FFFFFF"/>
        </w:rPr>
        <w:t>de frontera</w:t>
      </w:r>
      <w:r w:rsidRPr="009E1ACE">
        <w:t xml:space="preserve"> </w:t>
      </w:r>
      <w:r w:rsidRPr="005243D6">
        <w:t>que expli</w:t>
      </w:r>
      <w:r>
        <w:t>can</w:t>
      </w:r>
      <w:r w:rsidRPr="005243D6">
        <w:t xml:space="preserve"> de qué manera se fortalece la sostenibilidad medioambiental en las instituciones educativas. </w:t>
      </w:r>
      <w:r>
        <w:t xml:space="preserve">Al respecto, cabe señalar que un constructo </w:t>
      </w:r>
      <w:r w:rsidRPr="009E1ACE">
        <w:rPr>
          <w:rFonts w:ascii="Times" w:hAnsi="Times"/>
          <w:shd w:val="clear" w:color="auto" w:fill="FFFFFF"/>
        </w:rPr>
        <w:t>de frontera</w:t>
      </w:r>
      <w:r>
        <w:rPr>
          <w:rFonts w:ascii="Times" w:hAnsi="Times"/>
          <w:shd w:val="clear" w:color="auto" w:fill="FFFFFF"/>
        </w:rPr>
        <w:t xml:space="preserve"> tiene que ver con un </w:t>
      </w:r>
      <w:r w:rsidRPr="005243D6">
        <w:t>conocimiento de vanguardia</w:t>
      </w:r>
      <w:r>
        <w:t>, es decir,</w:t>
      </w:r>
      <w:r w:rsidRPr="005243D6">
        <w:t xml:space="preserve"> aquel que es innovador, novedoso y aporta valor a la ciencia.</w:t>
      </w:r>
    </w:p>
    <w:p w14:paraId="72B2BA2B" w14:textId="77777777" w:rsidR="008D244D" w:rsidRDefault="008D244D" w:rsidP="004C0423">
      <w:pPr>
        <w:autoSpaceDE w:val="0"/>
        <w:autoSpaceDN w:val="0"/>
        <w:adjustRightInd w:val="0"/>
        <w:spacing w:line="360" w:lineRule="auto"/>
        <w:ind w:firstLine="709"/>
        <w:jc w:val="both"/>
        <w:rPr>
          <w:rFonts w:ascii="Times" w:hAnsi="Times"/>
          <w:color w:val="FF0000"/>
        </w:rPr>
      </w:pPr>
    </w:p>
    <w:p w14:paraId="1CD42DF0" w14:textId="16C93A97" w:rsidR="00BB0592" w:rsidRPr="009B1A7B" w:rsidRDefault="00BB0592" w:rsidP="00D426CD">
      <w:pPr>
        <w:pStyle w:val="Prrafodelista"/>
        <w:autoSpaceDE w:val="0"/>
        <w:autoSpaceDN w:val="0"/>
        <w:adjustRightInd w:val="0"/>
        <w:spacing w:line="360" w:lineRule="auto"/>
        <w:ind w:left="1440"/>
        <w:rPr>
          <w:rFonts w:ascii="Times" w:hAnsi="Times"/>
          <w:b/>
          <w:bCs/>
          <w:color w:val="131413"/>
          <w:sz w:val="28"/>
          <w:szCs w:val="28"/>
          <w:shd w:val="clear" w:color="auto" w:fill="FFFFFF"/>
        </w:rPr>
      </w:pPr>
      <w:r>
        <w:rPr>
          <w:rFonts w:ascii="Times" w:hAnsi="Times"/>
          <w:b/>
          <w:bCs/>
          <w:color w:val="131413"/>
          <w:sz w:val="28"/>
          <w:szCs w:val="28"/>
          <w:shd w:val="clear" w:color="auto" w:fill="FFFFFF"/>
        </w:rPr>
        <w:t>M</w:t>
      </w:r>
      <w:r w:rsidRPr="00BB0592">
        <w:rPr>
          <w:rFonts w:ascii="Times" w:hAnsi="Times"/>
          <w:b/>
          <w:bCs/>
          <w:color w:val="131413"/>
          <w:sz w:val="28"/>
          <w:szCs w:val="28"/>
          <w:shd w:val="clear" w:color="auto" w:fill="FFFFFF"/>
        </w:rPr>
        <w:t xml:space="preserve">arco </w:t>
      </w:r>
      <w:r w:rsidR="000569CD">
        <w:rPr>
          <w:rFonts w:ascii="Times" w:hAnsi="Times"/>
          <w:b/>
          <w:bCs/>
          <w:color w:val="131413"/>
          <w:sz w:val="28"/>
          <w:szCs w:val="28"/>
          <w:shd w:val="clear" w:color="auto" w:fill="FFFFFF"/>
        </w:rPr>
        <w:t>t</w:t>
      </w:r>
      <w:r w:rsidRPr="00BB0592">
        <w:rPr>
          <w:rFonts w:ascii="Times" w:hAnsi="Times"/>
          <w:b/>
          <w:bCs/>
          <w:color w:val="131413"/>
          <w:sz w:val="28"/>
          <w:szCs w:val="28"/>
          <w:shd w:val="clear" w:color="auto" w:fill="FFFFFF"/>
        </w:rPr>
        <w:t xml:space="preserve">eórico </w:t>
      </w:r>
      <w:r w:rsidR="000569CD">
        <w:rPr>
          <w:rFonts w:ascii="Times" w:hAnsi="Times"/>
          <w:b/>
          <w:bCs/>
          <w:color w:val="131413"/>
          <w:sz w:val="28"/>
          <w:szCs w:val="28"/>
          <w:shd w:val="clear" w:color="auto" w:fill="FFFFFF"/>
        </w:rPr>
        <w:t>c</w:t>
      </w:r>
      <w:r w:rsidRPr="00BB0592">
        <w:rPr>
          <w:rFonts w:ascii="Times" w:hAnsi="Times"/>
          <w:b/>
          <w:bCs/>
          <w:color w:val="131413"/>
          <w:sz w:val="28"/>
          <w:szCs w:val="28"/>
          <w:shd w:val="clear" w:color="auto" w:fill="FFFFFF"/>
        </w:rPr>
        <w:t>onceptual</w:t>
      </w:r>
      <w:r w:rsidR="000569CD">
        <w:rPr>
          <w:rFonts w:ascii="Times" w:hAnsi="Times"/>
          <w:b/>
          <w:bCs/>
          <w:color w:val="131413"/>
          <w:sz w:val="28"/>
          <w:szCs w:val="28"/>
          <w:shd w:val="clear" w:color="auto" w:fill="FFFFFF"/>
        </w:rPr>
        <w:t xml:space="preserve"> y revisión de la literatura</w:t>
      </w:r>
    </w:p>
    <w:p w14:paraId="513C5EF9" w14:textId="77777777" w:rsidR="008D244D" w:rsidRDefault="008D244D" w:rsidP="008D244D">
      <w:pPr>
        <w:spacing w:line="360" w:lineRule="auto"/>
        <w:ind w:firstLine="708"/>
        <w:jc w:val="both"/>
      </w:pPr>
      <w:r w:rsidRPr="009E1ACE">
        <w:t xml:space="preserve">La modelación de ecuaciones estructurales (SEM, por sus siglas en inglés) es una técnica estadística multivariante de segunda generación, diseñada para evaluar modelos conceptuales y teóricos, especialmente en la investigación en ciencias sociales. Actualmente, existen dos métodos principales: (1) CB-SEM, </w:t>
      </w:r>
      <w:r w:rsidRPr="009E1ACE">
        <w:rPr>
          <w:rFonts w:ascii="Times" w:hAnsi="Times"/>
        </w:rPr>
        <w:t>modelación de ecuaciones estructurales basados en la covarianza</w:t>
      </w:r>
      <w:r w:rsidRPr="009E1ACE">
        <w:t xml:space="preserve">, y (2) PLS-SEM, </w:t>
      </w:r>
      <w:r>
        <w:t>m</w:t>
      </w:r>
      <w:r w:rsidRPr="009E1ACE">
        <w:rPr>
          <w:rFonts w:ascii="Times" w:hAnsi="Times"/>
        </w:rPr>
        <w:t>odelación de ecuaciones estructurales de mínimos cuadrados parciales</w:t>
      </w:r>
      <w:r w:rsidRPr="009E1ACE">
        <w:t xml:space="preserve">. En términos generales, CB-SEM se emplea principalmente para confirmar o refutar teorías, mientras que PLS-SEM se considera un método </w:t>
      </w:r>
      <w:r w:rsidRPr="009E1ACE">
        <w:rPr>
          <w:rFonts w:ascii="Times" w:hAnsi="Times"/>
        </w:rPr>
        <w:t>causal predictivo</w:t>
      </w:r>
      <w:r w:rsidRPr="009E1ACE">
        <w:t xml:space="preserve"> (Hair </w:t>
      </w:r>
      <w:r w:rsidRPr="009E1ACE">
        <w:rPr>
          <w:i/>
          <w:iCs/>
        </w:rPr>
        <w:t>et al</w:t>
      </w:r>
      <w:r w:rsidRPr="009E1ACE">
        <w:t>., 2022). No obstante, en la actualidad, PLS-SEM ha evolucionado para llevar a cabo estudios tanto causales como confirmatorios que permiten probar teorías (Henseler, 2018).</w:t>
      </w:r>
    </w:p>
    <w:p w14:paraId="141466C7" w14:textId="589AA944" w:rsidR="008D244D" w:rsidRDefault="008D244D" w:rsidP="008D244D">
      <w:pPr>
        <w:spacing w:line="360" w:lineRule="auto"/>
        <w:ind w:firstLine="708"/>
        <w:jc w:val="both"/>
      </w:pPr>
      <w:r>
        <w:t>Aunado a lo anterior</w:t>
      </w:r>
      <w:r w:rsidRPr="009E1ACE">
        <w:t xml:space="preserve">, es crucial que los trabajos que emplean esta metodología incluyan un marco teórico fundamentado en la teoría. Por ejemplo, Cho </w:t>
      </w:r>
      <w:r w:rsidRPr="009E1ACE">
        <w:rPr>
          <w:i/>
          <w:iCs/>
        </w:rPr>
        <w:t>et al</w:t>
      </w:r>
      <w:r w:rsidRPr="009E1ACE">
        <w:t>. (2020) llevaron a cabo una investigación que explora cómo los atributos de los recursos estratégicos corporativos afectan los patrones de innovación en productos y procesos, basándose en la teoría de recursos. Esta teoría sostiene que los recursos constituyen una fuente de ventaja competitiva sostenible, y su origen radica en aquellos recursos valiosos que posee la organización (Barney, 1991;</w:t>
      </w:r>
      <w:r>
        <w:t xml:space="preserve"> </w:t>
      </w:r>
      <w:r w:rsidRPr="009E1ACE">
        <w:t>Barney</w:t>
      </w:r>
      <w:r w:rsidR="00C80662">
        <w:t xml:space="preserve"> </w:t>
      </w:r>
      <w:r w:rsidR="00C80662" w:rsidRPr="00C80662">
        <w:rPr>
          <w:i/>
          <w:iCs/>
        </w:rPr>
        <w:t>et al.</w:t>
      </w:r>
      <w:r w:rsidRPr="009E1ACE">
        <w:t xml:space="preserve">, 2011; Wernerfelt, 1984). Wernerfelt (1984) fue el primero en postular esta perspectiva teórica en </w:t>
      </w:r>
      <w:r w:rsidRPr="009E1ACE">
        <w:rPr>
          <w:i/>
          <w:iCs/>
        </w:rPr>
        <w:t>Strategic Management Journal</w:t>
      </w:r>
      <w:r w:rsidRPr="009E1ACE">
        <w:t xml:space="preserve"> bajo el título </w:t>
      </w:r>
      <w:r>
        <w:t>“</w:t>
      </w:r>
      <w:r w:rsidRPr="009E1ACE">
        <w:t>A Resource-based View of the Firm</w:t>
      </w:r>
      <w:r>
        <w:t>”</w:t>
      </w:r>
      <w:r w:rsidRPr="009E1ACE">
        <w:t xml:space="preserve">. Con el transcurso de los años, Barney </w:t>
      </w:r>
      <w:r w:rsidR="00C80662" w:rsidRPr="00C80662">
        <w:rPr>
          <w:i/>
          <w:iCs/>
        </w:rPr>
        <w:t>et al</w:t>
      </w:r>
      <w:r w:rsidR="00C80662">
        <w:t xml:space="preserve">. </w:t>
      </w:r>
      <w:r w:rsidRPr="009E1ACE">
        <w:t>(2011) ha consolidado esta visión en la teoría de recursos.</w:t>
      </w:r>
    </w:p>
    <w:p w14:paraId="54E3ED2C" w14:textId="77777777" w:rsidR="00CF182A" w:rsidRPr="000569CD" w:rsidRDefault="00CF182A" w:rsidP="000569CD">
      <w:pPr>
        <w:autoSpaceDE w:val="0"/>
        <w:autoSpaceDN w:val="0"/>
        <w:adjustRightInd w:val="0"/>
        <w:spacing w:line="360" w:lineRule="auto"/>
        <w:rPr>
          <w:rFonts w:ascii="Times" w:hAnsi="Times"/>
          <w:b/>
          <w:bCs/>
          <w:color w:val="131413"/>
          <w:sz w:val="28"/>
          <w:szCs w:val="28"/>
          <w:shd w:val="clear" w:color="auto" w:fill="FFFFFF"/>
        </w:rPr>
      </w:pPr>
    </w:p>
    <w:p w14:paraId="2DD89B59" w14:textId="5DE36D68" w:rsidR="00366899" w:rsidRPr="00024F29" w:rsidRDefault="00CD1CCC" w:rsidP="00024F29">
      <w:pPr>
        <w:autoSpaceDE w:val="0"/>
        <w:autoSpaceDN w:val="0"/>
        <w:adjustRightInd w:val="0"/>
        <w:spacing w:line="360" w:lineRule="auto"/>
        <w:jc w:val="center"/>
        <w:rPr>
          <w:rFonts w:ascii="Times" w:hAnsi="Times"/>
          <w:b/>
          <w:bCs/>
          <w:color w:val="131413"/>
          <w:sz w:val="28"/>
          <w:szCs w:val="28"/>
          <w:shd w:val="clear" w:color="auto" w:fill="FFFFFF"/>
        </w:rPr>
      </w:pPr>
      <w:r w:rsidRPr="00013B44">
        <w:rPr>
          <w:rFonts w:ascii="Times" w:hAnsi="Times"/>
          <w:b/>
          <w:bCs/>
          <w:color w:val="131413"/>
          <w:sz w:val="28"/>
          <w:szCs w:val="28"/>
          <w:shd w:val="clear" w:color="auto" w:fill="FFFFFF"/>
        </w:rPr>
        <w:t>Revis</w:t>
      </w:r>
      <w:r w:rsidR="00866171">
        <w:rPr>
          <w:rFonts w:ascii="Times" w:hAnsi="Times"/>
          <w:b/>
          <w:bCs/>
          <w:color w:val="131413"/>
          <w:sz w:val="28"/>
          <w:szCs w:val="28"/>
          <w:shd w:val="clear" w:color="auto" w:fill="FFFFFF"/>
        </w:rPr>
        <w:t>i</w:t>
      </w:r>
      <w:r w:rsidRPr="00013B44">
        <w:rPr>
          <w:rFonts w:ascii="Times" w:hAnsi="Times"/>
          <w:b/>
          <w:bCs/>
          <w:color w:val="131413"/>
          <w:sz w:val="28"/>
          <w:szCs w:val="28"/>
          <w:shd w:val="clear" w:color="auto" w:fill="FFFFFF"/>
        </w:rPr>
        <w:t>ón sistem</w:t>
      </w:r>
      <w:r w:rsidR="00EC0399">
        <w:rPr>
          <w:rFonts w:ascii="Times" w:hAnsi="Times"/>
          <w:b/>
          <w:bCs/>
          <w:color w:val="131413"/>
          <w:sz w:val="28"/>
          <w:szCs w:val="28"/>
          <w:shd w:val="clear" w:color="auto" w:fill="FFFFFF"/>
        </w:rPr>
        <w:t>á</w:t>
      </w:r>
      <w:r w:rsidRPr="00013B44">
        <w:rPr>
          <w:rFonts w:ascii="Times" w:hAnsi="Times"/>
          <w:b/>
          <w:bCs/>
          <w:color w:val="131413"/>
          <w:sz w:val="28"/>
          <w:szCs w:val="28"/>
          <w:shd w:val="clear" w:color="auto" w:fill="FFFFFF"/>
        </w:rPr>
        <w:t>tica de la lite</w:t>
      </w:r>
      <w:r w:rsidR="009B7EB7" w:rsidRPr="00013B44">
        <w:rPr>
          <w:rFonts w:ascii="Times" w:hAnsi="Times"/>
          <w:b/>
          <w:bCs/>
          <w:color w:val="131413"/>
          <w:sz w:val="28"/>
          <w:szCs w:val="28"/>
          <w:shd w:val="clear" w:color="auto" w:fill="FFFFFF"/>
        </w:rPr>
        <w:t>r</w:t>
      </w:r>
      <w:r w:rsidRPr="00013B44">
        <w:rPr>
          <w:rFonts w:ascii="Times" w:hAnsi="Times"/>
          <w:b/>
          <w:bCs/>
          <w:color w:val="131413"/>
          <w:sz w:val="28"/>
          <w:szCs w:val="28"/>
          <w:shd w:val="clear" w:color="auto" w:fill="FFFFFF"/>
        </w:rPr>
        <w:t>atura cientifica</w:t>
      </w:r>
    </w:p>
    <w:p w14:paraId="7711EB43" w14:textId="77777777" w:rsidR="004F191A" w:rsidRDefault="004F191A" w:rsidP="004F191A">
      <w:pPr>
        <w:spacing w:line="360" w:lineRule="auto"/>
        <w:ind w:firstLine="708"/>
        <w:jc w:val="both"/>
      </w:pPr>
      <w:r w:rsidRPr="009E1ACE">
        <w:t xml:space="preserve">En los últimos años ha surgido un notable interés de los investigadores </w:t>
      </w:r>
      <w:r>
        <w:t>por el tema de</w:t>
      </w:r>
      <w:r w:rsidRPr="009E1ACE">
        <w:t xml:space="preserve"> la sostenibilidad medioambiental. </w:t>
      </w:r>
      <w:r>
        <w:t xml:space="preserve">Por ejemplo, </w:t>
      </w:r>
      <w:r w:rsidRPr="009E1ACE">
        <w:t xml:space="preserve">Mohammadi </w:t>
      </w:r>
      <w:r w:rsidRPr="009E1ACE">
        <w:rPr>
          <w:i/>
          <w:iCs/>
        </w:rPr>
        <w:t>et al</w:t>
      </w:r>
      <w:r w:rsidRPr="009E1ACE">
        <w:t xml:space="preserve">. </w:t>
      </w:r>
      <w:r>
        <w:t>(</w:t>
      </w:r>
      <w:r w:rsidRPr="009E1ACE">
        <w:t>2023</w:t>
      </w:r>
      <w:r>
        <w:t xml:space="preserve">) </w:t>
      </w:r>
      <w:r w:rsidRPr="009E1ACE">
        <w:t>se enfocaron en explorar la sostenibilidad de las universidades mediante el análisis del comportamiento proambiental de los estudiantes y el sistema de gestión. El propósito fue desentrañar el proceso de sostenibilidad universitaria</w:t>
      </w:r>
      <w:r>
        <w:t xml:space="preserve"> para destacar</w:t>
      </w:r>
      <w:r w:rsidRPr="009E1ACE">
        <w:t xml:space="preserve"> la influencia crucial de los estudiantes </w:t>
      </w:r>
      <w:r w:rsidRPr="009E1ACE">
        <w:lastRenderedPageBreak/>
        <w:t>y del sistema de gestión. Los resultados del estudio explican la sostenibilidad universitaria a través de seis dimensiones clave: (1) la cultura universitaria, (2) el liderazgo universitario, (3) la educación para la sostenibilidad, (4) los conocimientos sobre sostenibilidad, (5) las actitudes hacia la sostenibilidad y (6) el compromiso con la sostenibilidad. La metodología del estudio incorporó la participación integral de los principales actores universitarios, específicamente los líderes y estudiantes, quienes son fundamentales en la dinámica universitaria, pertenecientes a la Bu-Ali Sina University, Hamedan, Irán.</w:t>
      </w:r>
    </w:p>
    <w:p w14:paraId="057B60A1" w14:textId="77777777" w:rsidR="004F191A" w:rsidRDefault="004F191A" w:rsidP="004F191A">
      <w:pPr>
        <w:spacing w:line="360" w:lineRule="auto"/>
        <w:ind w:firstLine="708"/>
        <w:jc w:val="both"/>
      </w:pPr>
      <w:r w:rsidRPr="009E1ACE">
        <w:t xml:space="preserve">Por otro lado, Sharma </w:t>
      </w:r>
      <w:r w:rsidRPr="009E1ACE">
        <w:rPr>
          <w:i/>
          <w:iCs/>
        </w:rPr>
        <w:t>et al</w:t>
      </w:r>
      <w:r w:rsidRPr="009E1ACE">
        <w:t>. (2021) se centr</w:t>
      </w:r>
      <w:r>
        <w:t>aron</w:t>
      </w:r>
      <w:r w:rsidRPr="009E1ACE">
        <w:t xml:space="preserve"> en examinar la relación entre la adopción de la cultura verde, la innovación, el desempeño verde, y la sostenibilidad con el compromiso medioambiental como mediador. Aunque este trabajo se enfocó en la industria textil, su relevancia radica en que las universidades desempeñan un papel crucial en la educación bajo principios de sustentabilidad. El estudio aborda los desafíos persistentes en el sector textil, como la contaminación del agua, las emisiones y el aumento de la huella de carbono. Estos problemas subrayan la necesidad imperante de cultivar una cultura ecológica, impulsar la innovación en procesos ecológicos, mejorar el rendimiento ecológico y fomentar el compromiso medioambiental dentro de las organizaciones, </w:t>
      </w:r>
      <w:r>
        <w:t>por lo que resaltan</w:t>
      </w:r>
      <w:r w:rsidRPr="009E1ACE">
        <w:t xml:space="preserve"> la importancia de crear conciencia sobre la responsabilidad de preservar nuestro entorno organizacional y prevenir problemas futuros que afecten a la sociedad.</w:t>
      </w:r>
    </w:p>
    <w:p w14:paraId="6936BA8E" w14:textId="3357697D" w:rsidR="004F191A" w:rsidRPr="009E1ACE" w:rsidRDefault="004F191A" w:rsidP="004F191A">
      <w:pPr>
        <w:spacing w:line="360" w:lineRule="auto"/>
        <w:ind w:firstLine="708"/>
        <w:jc w:val="both"/>
      </w:pPr>
      <w:r w:rsidRPr="009E1ACE">
        <w:t xml:space="preserve">En paralelo, </w:t>
      </w:r>
      <w:r w:rsidR="00C80662" w:rsidRPr="00C80662">
        <w:t>X</w:t>
      </w:r>
      <w:r w:rsidRPr="00C80662">
        <w:t xml:space="preserve">u </w:t>
      </w:r>
      <w:r w:rsidRPr="00C80662">
        <w:rPr>
          <w:i/>
          <w:iCs/>
        </w:rPr>
        <w:t>et al</w:t>
      </w:r>
      <w:r w:rsidRPr="00C80662">
        <w:t>. (2020)</w:t>
      </w:r>
      <w:r w:rsidRPr="009E1ACE">
        <w:t xml:space="preserve"> conduj</w:t>
      </w:r>
      <w:r>
        <w:t>eron</w:t>
      </w:r>
      <w:r w:rsidRPr="009E1ACE">
        <w:t xml:space="preserve"> su investigación en el ámbito empresarial en China, </w:t>
      </w:r>
      <w:r>
        <w:t xml:space="preserve">donde exploraron </w:t>
      </w:r>
      <w:r w:rsidRPr="009E1ACE">
        <w:t xml:space="preserve">el liderazgo medioambiental y su impacto en el rendimiento financiero y medioambiental, </w:t>
      </w:r>
      <w:r>
        <w:t>para lo cual consideraron</w:t>
      </w:r>
      <w:r w:rsidRPr="009E1ACE">
        <w:t xml:space="preserve"> prácticas de innovación ecológica y el aprendizaje de conocimientos medioambientales. Los resultados señalan que el liderazgo medioambiental actúa como variable antecedente, </w:t>
      </w:r>
      <w:r>
        <w:t>lo que beneficia</w:t>
      </w:r>
      <w:r w:rsidRPr="009E1ACE">
        <w:t xml:space="preserve"> los conocimientos medioambientales y las prácticas de innovación ecológica. Estos hallazgos tienen implicaciones prácticas significativas para la gestión empresarial y las autoridades gubernamentales. Además, Zhong </w:t>
      </w:r>
      <w:r w:rsidRPr="00A35EF3">
        <w:rPr>
          <w:i/>
          <w:iCs/>
        </w:rPr>
        <w:t>et al</w:t>
      </w:r>
      <w:r w:rsidRPr="009E1ACE">
        <w:t xml:space="preserve">. (2022) plantean que una tarea crucial de la universidad es transformar a sus profesores y estudiantes en emprendedores sostenibles, </w:t>
      </w:r>
      <w:r>
        <w:t>por lo que destacan</w:t>
      </w:r>
      <w:r w:rsidRPr="009E1ACE">
        <w:t xml:space="preserve"> la urgencia de abordar la crisis ecológica mundial (Sulphey </w:t>
      </w:r>
      <w:r w:rsidRPr="00A35EF3">
        <w:rPr>
          <w:i/>
          <w:iCs/>
        </w:rPr>
        <w:t>et al</w:t>
      </w:r>
      <w:r w:rsidRPr="009E1ACE">
        <w:t>., 2023).</w:t>
      </w:r>
    </w:p>
    <w:p w14:paraId="1086B3D2" w14:textId="77777777" w:rsidR="004F191A" w:rsidRDefault="004F191A" w:rsidP="00013B44">
      <w:pPr>
        <w:shd w:val="clear" w:color="auto" w:fill="FFFFFF"/>
        <w:spacing w:line="360" w:lineRule="atLeast"/>
        <w:jc w:val="center"/>
        <w:rPr>
          <w:rFonts w:ascii="Times" w:hAnsi="Times"/>
          <w:b/>
          <w:bCs/>
          <w:color w:val="131413"/>
          <w:sz w:val="28"/>
          <w:szCs w:val="28"/>
        </w:rPr>
      </w:pPr>
    </w:p>
    <w:p w14:paraId="0AD3BC1C" w14:textId="3FB4A765" w:rsidR="00366899" w:rsidRPr="00013B44" w:rsidRDefault="00366899" w:rsidP="00013B44">
      <w:pPr>
        <w:shd w:val="clear" w:color="auto" w:fill="FFFFFF"/>
        <w:spacing w:line="360" w:lineRule="atLeast"/>
        <w:jc w:val="center"/>
        <w:rPr>
          <w:rFonts w:ascii="Times" w:hAnsi="Times" w:cs="Calibri"/>
          <w:color w:val="000000"/>
          <w:sz w:val="28"/>
          <w:szCs w:val="28"/>
        </w:rPr>
      </w:pPr>
      <w:r w:rsidRPr="00013B44">
        <w:rPr>
          <w:rFonts w:ascii="Times" w:hAnsi="Times"/>
          <w:b/>
          <w:bCs/>
          <w:color w:val="131413"/>
          <w:sz w:val="28"/>
          <w:szCs w:val="28"/>
        </w:rPr>
        <w:t>Educación para la sustentabilidad</w:t>
      </w:r>
    </w:p>
    <w:p w14:paraId="1ACB768C" w14:textId="77777777" w:rsidR="004F191A" w:rsidRPr="00A35EF3" w:rsidRDefault="004F191A" w:rsidP="004F191A">
      <w:pPr>
        <w:spacing w:line="360" w:lineRule="auto"/>
        <w:ind w:firstLine="708"/>
        <w:jc w:val="both"/>
      </w:pPr>
      <w:r w:rsidRPr="00A35EF3">
        <w:t xml:space="preserve">Park y Savelyeva (2022) </w:t>
      </w:r>
      <w:r>
        <w:t>orientaron</w:t>
      </w:r>
      <w:r w:rsidRPr="00A35EF3">
        <w:t xml:space="preserve"> su atención hacia los objetivos de desarrollo sostenible (ODS) en el contexto universitario. </w:t>
      </w:r>
      <w:r>
        <w:t>Estos autores p</w:t>
      </w:r>
      <w:r w:rsidRPr="00A35EF3">
        <w:t xml:space="preserve">roponen que las universidades adopten una triple misión centrada en la enseñanza, la investigación y la transferencia de conocimientos sobre estos objetivos sostenibles. El propósito es fomentar entre la comunidad </w:t>
      </w:r>
      <w:r w:rsidRPr="00A35EF3">
        <w:lastRenderedPageBreak/>
        <w:t>universitaria los valores sostenibles a través de diversas formas de sostenibilidad:</w:t>
      </w:r>
      <w:r>
        <w:t xml:space="preserve"> 1) i</w:t>
      </w:r>
      <w:r w:rsidRPr="00A35EF3">
        <w:t>niciativas ecológicas</w:t>
      </w:r>
      <w:r>
        <w:t xml:space="preserve"> con el fin de </w:t>
      </w:r>
      <w:r w:rsidRPr="00A35EF3">
        <w:t>promover la cultura de reducir, reutilizar y reciclar, así como el ahorro de energía mediante la implementación de edificios ecocertificados. También se enfocan en impulsar proyectos comunitarios y actividades de divulgación</w:t>
      </w:r>
      <w:r>
        <w:t>; 2) c</w:t>
      </w:r>
      <w:r w:rsidRPr="00A35EF3">
        <w:t>iencias de la sostenibilidad</w:t>
      </w:r>
      <w:r>
        <w:t>, que</w:t>
      </w:r>
      <w:r w:rsidRPr="00A35EF3">
        <w:t xml:space="preserve"> </w:t>
      </w:r>
      <w:r>
        <w:t>i</w:t>
      </w:r>
      <w:r w:rsidRPr="00A35EF3">
        <w:t>mplican la promoción de la ciencia de la sostenibilidad a través de proyectos de investigación que beneficien al planeta. Este enfoque tiene como objetivo poner en práctica los valores sostenibles y las estrategias sustentables</w:t>
      </w:r>
      <w:r>
        <w:t xml:space="preserve"> y 3) s</w:t>
      </w:r>
      <w:r w:rsidRPr="00A35EF3">
        <w:t xml:space="preserve">ostenibilidad curricular </w:t>
      </w:r>
      <w:r>
        <w:t xml:space="preserve">para </w:t>
      </w:r>
      <w:r w:rsidRPr="00A35EF3">
        <w:t xml:space="preserve">integrar la sostenibilidad en las nuevas generaciones mediante su inclusión como un tema transversal en el proceso de enseñanza-aprendizaje, </w:t>
      </w:r>
      <w:r>
        <w:t xml:space="preserve">lo cual debe estar </w:t>
      </w:r>
      <w:r w:rsidRPr="00A35EF3">
        <w:t>alineado con un enfoque de liderazgo sostenible.</w:t>
      </w:r>
    </w:p>
    <w:p w14:paraId="4BEDD771" w14:textId="77777777" w:rsidR="00D507FB" w:rsidRDefault="00D507FB" w:rsidP="00D507FB">
      <w:pPr>
        <w:autoSpaceDE w:val="0"/>
        <w:autoSpaceDN w:val="0"/>
        <w:adjustRightInd w:val="0"/>
        <w:spacing w:line="360" w:lineRule="auto"/>
        <w:rPr>
          <w:rFonts w:ascii="Times" w:hAnsi="Times"/>
          <w:color w:val="131413"/>
          <w:sz w:val="27"/>
          <w:szCs w:val="27"/>
        </w:rPr>
      </w:pPr>
    </w:p>
    <w:p w14:paraId="07CE36D6" w14:textId="40E5D374" w:rsidR="006D6F9D" w:rsidRPr="00D507FB" w:rsidRDefault="000569CD" w:rsidP="00D507FB">
      <w:pPr>
        <w:autoSpaceDE w:val="0"/>
        <w:autoSpaceDN w:val="0"/>
        <w:adjustRightInd w:val="0"/>
        <w:spacing w:line="360" w:lineRule="auto"/>
        <w:jc w:val="center"/>
        <w:rPr>
          <w:rFonts w:ascii="Times" w:hAnsi="Times"/>
          <w:b/>
          <w:bCs/>
          <w:color w:val="131413"/>
          <w:sz w:val="32"/>
          <w:szCs w:val="36"/>
          <w:shd w:val="clear" w:color="auto" w:fill="FFFFFF"/>
        </w:rPr>
      </w:pPr>
      <w:r w:rsidRPr="00D507FB">
        <w:rPr>
          <w:rFonts w:ascii="Times" w:hAnsi="Times"/>
          <w:b/>
          <w:bCs/>
          <w:color w:val="131413"/>
          <w:sz w:val="32"/>
          <w:szCs w:val="36"/>
          <w:shd w:val="clear" w:color="auto" w:fill="FFFFFF"/>
        </w:rPr>
        <w:t>Materiales y método</w:t>
      </w:r>
    </w:p>
    <w:p w14:paraId="4772774D" w14:textId="77777777" w:rsidR="004F191A" w:rsidRPr="00A35EF3" w:rsidRDefault="004F191A" w:rsidP="004F191A">
      <w:pPr>
        <w:spacing w:line="360" w:lineRule="auto"/>
        <w:ind w:firstLine="708"/>
        <w:jc w:val="both"/>
      </w:pPr>
      <w:r>
        <w:t>E</w:t>
      </w:r>
      <w:r w:rsidRPr="00A35EF3">
        <w:t>l diseño de investigación</w:t>
      </w:r>
      <w:r>
        <w:t xml:space="preserve"> fue</w:t>
      </w:r>
      <w:r w:rsidRPr="00A35EF3">
        <w:t xml:space="preserve"> no experimental de alcance transeccional o transversal, con naturaleza exploratoria. La metodología </w:t>
      </w:r>
      <w:r>
        <w:t>consistió en</w:t>
      </w:r>
      <w:r w:rsidRPr="00A35EF3">
        <w:t xml:space="preserve"> el análisis de artículos evaluados estadísticamente mediante la modelación de ecuaciones estructurales. La muestra analizada incluyó seis artículos, </w:t>
      </w:r>
      <w:r>
        <w:t xml:space="preserve">en los cuales se identificaron </w:t>
      </w:r>
      <w:r w:rsidRPr="00A35EF3">
        <w:t>veinticuatro constructos operacionalizados.</w:t>
      </w:r>
    </w:p>
    <w:p w14:paraId="2C7F5E83" w14:textId="77777777" w:rsidR="000569CD" w:rsidRDefault="000569CD" w:rsidP="00366899">
      <w:pPr>
        <w:shd w:val="clear" w:color="auto" w:fill="FFFFFF"/>
        <w:spacing w:line="360" w:lineRule="atLeast"/>
        <w:ind w:firstLine="709"/>
        <w:jc w:val="both"/>
        <w:rPr>
          <w:rFonts w:ascii="Times" w:hAnsi="Times"/>
          <w:color w:val="131413"/>
          <w:sz w:val="27"/>
          <w:szCs w:val="27"/>
        </w:rPr>
      </w:pPr>
    </w:p>
    <w:p w14:paraId="12D11F43" w14:textId="79CC5098" w:rsidR="00CF182A" w:rsidRPr="00D507FB" w:rsidRDefault="00CF182A" w:rsidP="00D507FB">
      <w:pPr>
        <w:autoSpaceDE w:val="0"/>
        <w:autoSpaceDN w:val="0"/>
        <w:adjustRightInd w:val="0"/>
        <w:spacing w:line="360" w:lineRule="auto"/>
        <w:jc w:val="center"/>
        <w:rPr>
          <w:rFonts w:ascii="Times" w:hAnsi="Times"/>
          <w:b/>
          <w:bCs/>
          <w:color w:val="131413"/>
          <w:sz w:val="32"/>
          <w:szCs w:val="36"/>
          <w:shd w:val="clear" w:color="auto" w:fill="FFFFFF"/>
        </w:rPr>
      </w:pPr>
      <w:r w:rsidRPr="00D507FB">
        <w:rPr>
          <w:rFonts w:ascii="Times" w:hAnsi="Times"/>
          <w:b/>
          <w:bCs/>
          <w:color w:val="131413"/>
          <w:sz w:val="32"/>
          <w:szCs w:val="36"/>
          <w:shd w:val="clear" w:color="auto" w:fill="FFFFFF"/>
        </w:rPr>
        <w:t>Resultados</w:t>
      </w:r>
    </w:p>
    <w:p w14:paraId="6C895260" w14:textId="77777777" w:rsidR="004F191A" w:rsidRPr="00A35EF3" w:rsidRDefault="004F191A" w:rsidP="004F191A">
      <w:pPr>
        <w:spacing w:line="360" w:lineRule="auto"/>
        <w:ind w:firstLine="708"/>
        <w:jc w:val="both"/>
      </w:pPr>
      <w:r w:rsidRPr="00A35EF3">
        <w:t xml:space="preserve">Para </w:t>
      </w:r>
      <w:r>
        <w:t>identificar</w:t>
      </w:r>
      <w:r w:rsidRPr="00A35EF3">
        <w:t xml:space="preserve"> los constructos medioambientales que han sido objeto de estudio en el ámbito de la educación sustentable en instituciones universitarias, se llevó a cabo un análisis exhaustivo de la literatura comprendida entre 2019 y 2023. Este examen reveló la presencia de diversos constructos que, a su vez, brindan la posibilidad de estructurar nuevos modelos de investigación. Estos modelos pueden incorporar constructos moderadores o mediadores, </w:t>
      </w:r>
      <w:r>
        <w:t>lo que proporciona</w:t>
      </w:r>
      <w:r w:rsidRPr="00A35EF3">
        <w:t xml:space="preserve"> una comprensión más precisa sobre cómo configurar el perfil de las universidades sustentables. Este enfoque resulta particularmente relevante en contextos de economías emergentes, como el caso específico de México.</w:t>
      </w:r>
    </w:p>
    <w:p w14:paraId="76EB461A" w14:textId="77777777" w:rsidR="00366899" w:rsidRDefault="00366899" w:rsidP="00FF3DDD">
      <w:pPr>
        <w:autoSpaceDE w:val="0"/>
        <w:autoSpaceDN w:val="0"/>
        <w:adjustRightInd w:val="0"/>
        <w:spacing w:line="360" w:lineRule="auto"/>
        <w:ind w:firstLine="709"/>
        <w:jc w:val="both"/>
        <w:rPr>
          <w:rFonts w:ascii="Times" w:hAnsi="Times"/>
          <w:color w:val="FF0000"/>
        </w:rPr>
      </w:pPr>
    </w:p>
    <w:p w14:paraId="61B1C54B" w14:textId="77777777" w:rsidR="00160538" w:rsidRDefault="00160538" w:rsidP="00FF3DDD">
      <w:pPr>
        <w:autoSpaceDE w:val="0"/>
        <w:autoSpaceDN w:val="0"/>
        <w:adjustRightInd w:val="0"/>
        <w:spacing w:line="360" w:lineRule="auto"/>
        <w:ind w:firstLine="709"/>
        <w:jc w:val="both"/>
        <w:rPr>
          <w:rFonts w:ascii="Times" w:hAnsi="Times"/>
          <w:color w:val="FF0000"/>
        </w:rPr>
      </w:pPr>
    </w:p>
    <w:p w14:paraId="78E826FE" w14:textId="77777777" w:rsidR="00160538" w:rsidRDefault="00160538" w:rsidP="00FF3DDD">
      <w:pPr>
        <w:autoSpaceDE w:val="0"/>
        <w:autoSpaceDN w:val="0"/>
        <w:adjustRightInd w:val="0"/>
        <w:spacing w:line="360" w:lineRule="auto"/>
        <w:ind w:firstLine="709"/>
        <w:jc w:val="both"/>
        <w:rPr>
          <w:rFonts w:ascii="Times" w:hAnsi="Times"/>
          <w:color w:val="FF0000"/>
        </w:rPr>
      </w:pPr>
    </w:p>
    <w:p w14:paraId="3E5CB4B0" w14:textId="77777777" w:rsidR="00160538" w:rsidRDefault="00160538" w:rsidP="00FF3DDD">
      <w:pPr>
        <w:autoSpaceDE w:val="0"/>
        <w:autoSpaceDN w:val="0"/>
        <w:adjustRightInd w:val="0"/>
        <w:spacing w:line="360" w:lineRule="auto"/>
        <w:ind w:firstLine="709"/>
        <w:jc w:val="both"/>
        <w:rPr>
          <w:rFonts w:ascii="Times" w:hAnsi="Times"/>
          <w:color w:val="FF0000"/>
        </w:rPr>
      </w:pPr>
    </w:p>
    <w:p w14:paraId="7CEFBF96" w14:textId="77777777" w:rsidR="00160538" w:rsidRDefault="00160538" w:rsidP="00FF3DDD">
      <w:pPr>
        <w:autoSpaceDE w:val="0"/>
        <w:autoSpaceDN w:val="0"/>
        <w:adjustRightInd w:val="0"/>
        <w:spacing w:line="360" w:lineRule="auto"/>
        <w:ind w:firstLine="709"/>
        <w:jc w:val="both"/>
        <w:rPr>
          <w:rFonts w:ascii="Times" w:hAnsi="Times"/>
          <w:color w:val="FF0000"/>
        </w:rPr>
      </w:pPr>
    </w:p>
    <w:p w14:paraId="5147AB5D" w14:textId="77777777" w:rsidR="00160538" w:rsidRPr="0040084B" w:rsidRDefault="00160538" w:rsidP="00FF3DDD">
      <w:pPr>
        <w:autoSpaceDE w:val="0"/>
        <w:autoSpaceDN w:val="0"/>
        <w:adjustRightInd w:val="0"/>
        <w:spacing w:line="360" w:lineRule="auto"/>
        <w:ind w:firstLine="709"/>
        <w:jc w:val="both"/>
        <w:rPr>
          <w:rFonts w:ascii="Times" w:hAnsi="Times"/>
          <w:color w:val="FF0000"/>
        </w:rPr>
      </w:pPr>
    </w:p>
    <w:p w14:paraId="2B6E09C0" w14:textId="5ACFE64B" w:rsidR="008F6524" w:rsidRPr="0040084B" w:rsidRDefault="00366899" w:rsidP="00D507FB">
      <w:pPr>
        <w:autoSpaceDE w:val="0"/>
        <w:autoSpaceDN w:val="0"/>
        <w:adjustRightInd w:val="0"/>
        <w:spacing w:line="360" w:lineRule="auto"/>
        <w:jc w:val="center"/>
        <w:rPr>
          <w:rFonts w:ascii="Times" w:hAnsi="Times"/>
          <w:color w:val="131413"/>
        </w:rPr>
      </w:pPr>
      <w:r w:rsidRPr="0040084B">
        <w:rPr>
          <w:rFonts w:ascii="Times" w:hAnsi="Times"/>
          <w:b/>
          <w:bCs/>
          <w:color w:val="131413"/>
        </w:rPr>
        <w:lastRenderedPageBreak/>
        <w:t>Tabla 1</w:t>
      </w:r>
      <w:r w:rsidR="004F191A">
        <w:rPr>
          <w:rFonts w:ascii="Times" w:hAnsi="Times"/>
          <w:b/>
          <w:bCs/>
          <w:color w:val="131413"/>
        </w:rPr>
        <w:t>.</w:t>
      </w:r>
      <w:r w:rsidRPr="0040084B">
        <w:rPr>
          <w:rStyle w:val="gmail-apple-converted-space"/>
          <w:rFonts w:ascii="Times" w:hAnsi="Times"/>
          <w:color w:val="131413"/>
        </w:rPr>
        <w:t> </w:t>
      </w:r>
      <w:r w:rsidR="007A42C6">
        <w:rPr>
          <w:rFonts w:ascii="Times" w:hAnsi="Times"/>
          <w:color w:val="131413"/>
        </w:rPr>
        <w:t>E</w:t>
      </w:r>
      <w:r w:rsidRPr="0040084B">
        <w:rPr>
          <w:rFonts w:ascii="Times" w:hAnsi="Times"/>
          <w:color w:val="131413"/>
        </w:rPr>
        <w:t>studios empíricos: constructos medioambientales</w:t>
      </w:r>
    </w:p>
    <w:tbl>
      <w:tblPr>
        <w:tblStyle w:val="Tablaconcuadrcula"/>
        <w:tblW w:w="9498" w:type="dxa"/>
        <w:tblInd w:w="-289" w:type="dxa"/>
        <w:tblLook w:val="04A0" w:firstRow="1" w:lastRow="0" w:firstColumn="1" w:lastColumn="0" w:noHBand="0" w:noVBand="1"/>
      </w:tblPr>
      <w:tblGrid>
        <w:gridCol w:w="999"/>
        <w:gridCol w:w="1545"/>
        <w:gridCol w:w="3566"/>
        <w:gridCol w:w="3388"/>
      </w:tblGrid>
      <w:tr w:rsidR="008F6524" w:rsidRPr="00D507FB" w14:paraId="1E00ACAC" w14:textId="77777777" w:rsidTr="00E214E4">
        <w:tc>
          <w:tcPr>
            <w:tcW w:w="999" w:type="dxa"/>
          </w:tcPr>
          <w:p w14:paraId="170D326F" w14:textId="4BCA809A" w:rsidR="008F6524" w:rsidRPr="00D507FB" w:rsidRDefault="008F6524" w:rsidP="00997122">
            <w:pPr>
              <w:autoSpaceDE w:val="0"/>
              <w:autoSpaceDN w:val="0"/>
              <w:adjustRightInd w:val="0"/>
              <w:jc w:val="center"/>
              <w:rPr>
                <w:rFonts w:ascii="Times" w:hAnsi="Times"/>
                <w:color w:val="131413"/>
              </w:rPr>
            </w:pPr>
            <w:r w:rsidRPr="00D507FB">
              <w:rPr>
                <w:rFonts w:ascii="Times" w:hAnsi="Times"/>
                <w:color w:val="131413"/>
              </w:rPr>
              <w:t>Año</w:t>
            </w:r>
          </w:p>
        </w:tc>
        <w:tc>
          <w:tcPr>
            <w:tcW w:w="1545" w:type="dxa"/>
          </w:tcPr>
          <w:p w14:paraId="70547DA0" w14:textId="32B4671E" w:rsidR="008F6524" w:rsidRPr="00D507FB" w:rsidRDefault="008F6524" w:rsidP="00997122">
            <w:pPr>
              <w:autoSpaceDE w:val="0"/>
              <w:autoSpaceDN w:val="0"/>
              <w:adjustRightInd w:val="0"/>
              <w:jc w:val="center"/>
              <w:rPr>
                <w:rFonts w:ascii="Times" w:hAnsi="Times"/>
                <w:color w:val="131413"/>
              </w:rPr>
            </w:pPr>
            <w:r w:rsidRPr="00D507FB">
              <w:rPr>
                <w:rFonts w:ascii="Times" w:hAnsi="Times"/>
                <w:color w:val="131413"/>
              </w:rPr>
              <w:t>Autores</w:t>
            </w:r>
          </w:p>
        </w:tc>
        <w:tc>
          <w:tcPr>
            <w:tcW w:w="3566" w:type="dxa"/>
          </w:tcPr>
          <w:p w14:paraId="746450E4" w14:textId="77777777" w:rsidR="008F6524" w:rsidRPr="00D507FB" w:rsidRDefault="008F6524" w:rsidP="00997122">
            <w:pPr>
              <w:autoSpaceDE w:val="0"/>
              <w:autoSpaceDN w:val="0"/>
              <w:adjustRightInd w:val="0"/>
              <w:jc w:val="center"/>
              <w:rPr>
                <w:rFonts w:ascii="Times" w:hAnsi="Times"/>
                <w:color w:val="131413"/>
              </w:rPr>
            </w:pPr>
            <w:r w:rsidRPr="00D507FB">
              <w:rPr>
                <w:rFonts w:ascii="Times" w:hAnsi="Times"/>
                <w:color w:val="131413"/>
              </w:rPr>
              <w:t>Título del artículo</w:t>
            </w:r>
          </w:p>
        </w:tc>
        <w:tc>
          <w:tcPr>
            <w:tcW w:w="3388" w:type="dxa"/>
          </w:tcPr>
          <w:p w14:paraId="47803F14" w14:textId="616FD619" w:rsidR="008F6524" w:rsidRPr="00D507FB" w:rsidRDefault="008F6524" w:rsidP="00997122">
            <w:pPr>
              <w:autoSpaceDE w:val="0"/>
              <w:autoSpaceDN w:val="0"/>
              <w:adjustRightInd w:val="0"/>
              <w:jc w:val="center"/>
              <w:rPr>
                <w:rFonts w:ascii="Times" w:hAnsi="Times"/>
                <w:color w:val="131413"/>
              </w:rPr>
            </w:pPr>
            <w:r w:rsidRPr="00D507FB">
              <w:rPr>
                <w:rFonts w:ascii="Times" w:hAnsi="Times"/>
                <w:color w:val="131413"/>
              </w:rPr>
              <w:t>Constructos investigados</w:t>
            </w:r>
            <w:r w:rsidR="00EF77C2" w:rsidRPr="00D507FB">
              <w:rPr>
                <w:rFonts w:ascii="Times" w:hAnsi="Times"/>
                <w:color w:val="131413"/>
              </w:rPr>
              <w:t>/medioambientales</w:t>
            </w:r>
          </w:p>
        </w:tc>
      </w:tr>
      <w:tr w:rsidR="008F6524" w:rsidRPr="00D507FB" w14:paraId="433C8ADF" w14:textId="77777777" w:rsidTr="00E214E4">
        <w:tc>
          <w:tcPr>
            <w:tcW w:w="999" w:type="dxa"/>
          </w:tcPr>
          <w:p w14:paraId="1AED0420" w14:textId="77777777" w:rsidR="008F6524" w:rsidRPr="00D507FB" w:rsidRDefault="008F6524" w:rsidP="00DA3B9F">
            <w:pPr>
              <w:autoSpaceDE w:val="0"/>
              <w:autoSpaceDN w:val="0"/>
              <w:adjustRightInd w:val="0"/>
              <w:jc w:val="both"/>
              <w:rPr>
                <w:rFonts w:ascii="Times" w:hAnsi="Times"/>
                <w:color w:val="131413"/>
              </w:rPr>
            </w:pPr>
            <w:r w:rsidRPr="00D507FB">
              <w:rPr>
                <w:rFonts w:ascii="Times" w:hAnsi="Times"/>
                <w:color w:val="000000" w:themeColor="text1"/>
                <w:lang w:val="en-US"/>
              </w:rPr>
              <w:t>2023</w:t>
            </w:r>
          </w:p>
        </w:tc>
        <w:tc>
          <w:tcPr>
            <w:tcW w:w="1545" w:type="dxa"/>
          </w:tcPr>
          <w:p w14:paraId="11C3F799" w14:textId="77777777" w:rsidR="008F6524" w:rsidRPr="00D507FB" w:rsidRDefault="008F6524" w:rsidP="00DA3B9F">
            <w:pPr>
              <w:autoSpaceDE w:val="0"/>
              <w:autoSpaceDN w:val="0"/>
              <w:adjustRightInd w:val="0"/>
              <w:jc w:val="both"/>
              <w:rPr>
                <w:rFonts w:ascii="Times" w:hAnsi="Times"/>
                <w:color w:val="131413"/>
                <w:shd w:val="clear" w:color="auto" w:fill="FFFFFF"/>
              </w:rPr>
            </w:pPr>
            <w:r w:rsidRPr="00D507FB">
              <w:rPr>
                <w:rFonts w:ascii="Times" w:hAnsi="Times"/>
                <w:color w:val="131413"/>
                <w:lang w:val="en-US"/>
              </w:rPr>
              <w:t>Mohammadi et al.</w:t>
            </w:r>
          </w:p>
        </w:tc>
        <w:tc>
          <w:tcPr>
            <w:tcW w:w="3566" w:type="dxa"/>
          </w:tcPr>
          <w:p w14:paraId="25FE765C"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Explaining the Sustainability of Universities through the</w:t>
            </w:r>
          </w:p>
          <w:p w14:paraId="2E0F6FBB"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Contribution of Students’ Pro-Environmental Behavior and the</w:t>
            </w:r>
          </w:p>
          <w:p w14:paraId="213E1747"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Management System (Iran).</w:t>
            </w:r>
          </w:p>
        </w:tc>
        <w:tc>
          <w:tcPr>
            <w:tcW w:w="3388" w:type="dxa"/>
          </w:tcPr>
          <w:p w14:paraId="660FB710"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University leadership of sustainability-oriented services University Culture.</w:t>
            </w:r>
          </w:p>
          <w:p w14:paraId="03EECA77"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Participation in Sustainability Activities.</w:t>
            </w:r>
          </w:p>
          <w:p w14:paraId="7AD9EF0C"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Commitment to Sustainability.</w:t>
            </w:r>
          </w:p>
          <w:p w14:paraId="15B4ABEE"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Sustainability oriented Education.</w:t>
            </w:r>
          </w:p>
          <w:p w14:paraId="4F3473A5"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Knowledge of Sustainability.</w:t>
            </w:r>
          </w:p>
          <w:p w14:paraId="2A4564E6" w14:textId="77777777" w:rsidR="008F6524" w:rsidRPr="00D507FB" w:rsidRDefault="008F6524" w:rsidP="00DA3B9F">
            <w:pPr>
              <w:pStyle w:val="Prrafodelista"/>
              <w:autoSpaceDE w:val="0"/>
              <w:autoSpaceDN w:val="0"/>
              <w:adjustRightInd w:val="0"/>
              <w:ind w:left="360"/>
              <w:jc w:val="both"/>
              <w:rPr>
                <w:rFonts w:ascii="Times" w:hAnsi="Times" w:cs="Times New Roman"/>
                <w:color w:val="131413"/>
                <w:kern w:val="0"/>
                <w:lang w:val="en-US"/>
              </w:rPr>
            </w:pPr>
            <w:r w:rsidRPr="00D507FB">
              <w:rPr>
                <w:rFonts w:ascii="Times" w:hAnsi="Times" w:cs="Times New Roman"/>
                <w:color w:val="131413"/>
                <w:kern w:val="0"/>
                <w:lang w:val="en-US"/>
              </w:rPr>
              <w:t>Attitude toward Sustainability.</w:t>
            </w:r>
          </w:p>
        </w:tc>
      </w:tr>
      <w:tr w:rsidR="00E214E4" w:rsidRPr="00D507FB" w14:paraId="2AE3BAFF" w14:textId="77777777" w:rsidTr="00E214E4">
        <w:tc>
          <w:tcPr>
            <w:tcW w:w="999" w:type="dxa"/>
          </w:tcPr>
          <w:p w14:paraId="3DD279AC" w14:textId="753AC42B" w:rsidR="00E214E4" w:rsidRPr="00D507FB" w:rsidRDefault="00E214E4" w:rsidP="00E214E4">
            <w:pPr>
              <w:autoSpaceDE w:val="0"/>
              <w:autoSpaceDN w:val="0"/>
              <w:adjustRightInd w:val="0"/>
              <w:jc w:val="both"/>
              <w:rPr>
                <w:rFonts w:ascii="Times" w:hAnsi="Times"/>
                <w:color w:val="000000" w:themeColor="text1"/>
                <w:lang w:val="en-US"/>
              </w:rPr>
            </w:pPr>
            <w:r w:rsidRPr="00D507FB">
              <w:rPr>
                <w:rFonts w:ascii="Times" w:hAnsi="Times"/>
                <w:color w:val="131413"/>
                <w:lang w:val="en-US"/>
              </w:rPr>
              <w:t>2022</w:t>
            </w:r>
          </w:p>
        </w:tc>
        <w:tc>
          <w:tcPr>
            <w:tcW w:w="1545" w:type="dxa"/>
          </w:tcPr>
          <w:p w14:paraId="4E929A0B" w14:textId="79A751C4" w:rsidR="00E214E4" w:rsidRPr="00D507FB" w:rsidRDefault="00E214E4" w:rsidP="00E214E4">
            <w:pPr>
              <w:autoSpaceDE w:val="0"/>
              <w:autoSpaceDN w:val="0"/>
              <w:adjustRightInd w:val="0"/>
              <w:jc w:val="both"/>
              <w:rPr>
                <w:rFonts w:ascii="Times" w:hAnsi="Times"/>
                <w:color w:val="131413"/>
                <w:lang w:val="en-US"/>
              </w:rPr>
            </w:pPr>
            <w:r w:rsidRPr="00D507FB">
              <w:rPr>
                <w:rFonts w:ascii="Times" w:hAnsi="Times"/>
                <w:color w:val="131413"/>
                <w:lang w:val="en-US"/>
              </w:rPr>
              <w:t>Avelar et al.</w:t>
            </w:r>
          </w:p>
        </w:tc>
        <w:tc>
          <w:tcPr>
            <w:tcW w:w="3566" w:type="dxa"/>
          </w:tcPr>
          <w:p w14:paraId="22F8B34E" w14:textId="77777777" w:rsidR="00E214E4" w:rsidRPr="00D507FB" w:rsidRDefault="00E214E4" w:rsidP="00E214E4">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The relationship between the incorporation of sustainability in higher education and the student’s behavior: self-reported sustainable behavior scale.</w:t>
            </w:r>
          </w:p>
          <w:p w14:paraId="692C7AAD" w14:textId="77777777" w:rsidR="00E214E4" w:rsidRPr="00D507FB" w:rsidRDefault="00E214E4" w:rsidP="00E214E4">
            <w:pPr>
              <w:autoSpaceDE w:val="0"/>
              <w:autoSpaceDN w:val="0"/>
              <w:adjustRightInd w:val="0"/>
              <w:jc w:val="both"/>
              <w:rPr>
                <w:rFonts w:ascii="Times" w:hAnsi="Times"/>
                <w:color w:val="131413"/>
                <w:shd w:val="clear" w:color="auto" w:fill="FFFFFF"/>
                <w:lang w:val="en-US"/>
              </w:rPr>
            </w:pPr>
          </w:p>
        </w:tc>
        <w:tc>
          <w:tcPr>
            <w:tcW w:w="3388" w:type="dxa"/>
          </w:tcPr>
          <w:p w14:paraId="3A038EC7" w14:textId="77777777" w:rsidR="00E214E4" w:rsidRPr="00D507FB" w:rsidRDefault="00E214E4"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Sustainable behavior</w:t>
            </w:r>
          </w:p>
          <w:p w14:paraId="35894129" w14:textId="77777777" w:rsidR="00E214E4" w:rsidRPr="00D507FB" w:rsidRDefault="00E214E4"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Economic attitude.</w:t>
            </w:r>
          </w:p>
          <w:p w14:paraId="6D9585B4" w14:textId="77777777" w:rsidR="00E214E4" w:rsidRPr="00D507FB" w:rsidRDefault="00E214E4"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knowledge sustainability.</w:t>
            </w:r>
          </w:p>
          <w:p w14:paraId="1C3732FE" w14:textId="77777777" w:rsidR="00E214E4" w:rsidRPr="00D507FB" w:rsidRDefault="00E214E4"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Environmental attitude.</w:t>
            </w:r>
          </w:p>
          <w:p w14:paraId="0CAC03A2" w14:textId="77777777" w:rsidR="00E214E4" w:rsidRPr="00D507FB" w:rsidRDefault="00E214E4"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Environmental social attitude.</w:t>
            </w:r>
          </w:p>
          <w:p w14:paraId="6A6B2127" w14:textId="3E140AA9" w:rsidR="00E214E4" w:rsidRPr="00D507FB" w:rsidRDefault="00E214E4"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Self-reported sustainable behavior.</w:t>
            </w:r>
          </w:p>
        </w:tc>
      </w:tr>
      <w:tr w:rsidR="008F6524" w:rsidRPr="00D507FB" w14:paraId="6D633C83" w14:textId="77777777" w:rsidTr="00E214E4">
        <w:tc>
          <w:tcPr>
            <w:tcW w:w="999" w:type="dxa"/>
          </w:tcPr>
          <w:p w14:paraId="04A85326" w14:textId="77777777" w:rsidR="008F6524" w:rsidRPr="00D507FB" w:rsidRDefault="008F6524" w:rsidP="00DA3B9F">
            <w:pPr>
              <w:autoSpaceDE w:val="0"/>
              <w:autoSpaceDN w:val="0"/>
              <w:adjustRightInd w:val="0"/>
              <w:jc w:val="both"/>
              <w:rPr>
                <w:rFonts w:ascii="Times" w:hAnsi="Times"/>
                <w:color w:val="131413"/>
              </w:rPr>
            </w:pPr>
            <w:r w:rsidRPr="00D507FB">
              <w:rPr>
                <w:rFonts w:ascii="Times" w:hAnsi="Times"/>
                <w:color w:val="131413"/>
              </w:rPr>
              <w:t>2021</w:t>
            </w:r>
          </w:p>
        </w:tc>
        <w:tc>
          <w:tcPr>
            <w:tcW w:w="1545" w:type="dxa"/>
          </w:tcPr>
          <w:p w14:paraId="488A8CE1" w14:textId="77777777" w:rsidR="008F6524" w:rsidRPr="00D507FB" w:rsidRDefault="008F6524" w:rsidP="00DA3B9F">
            <w:pPr>
              <w:autoSpaceDE w:val="0"/>
              <w:autoSpaceDN w:val="0"/>
              <w:adjustRightInd w:val="0"/>
              <w:jc w:val="both"/>
              <w:rPr>
                <w:rFonts w:ascii="Times" w:hAnsi="Times"/>
                <w:color w:val="131413"/>
              </w:rPr>
            </w:pPr>
            <w:r w:rsidRPr="00D507FB">
              <w:rPr>
                <w:rFonts w:ascii="Times" w:hAnsi="Times"/>
                <w:color w:val="131413"/>
                <w:shd w:val="clear" w:color="auto" w:fill="FFFFFF"/>
              </w:rPr>
              <w:t>Sharma et al.</w:t>
            </w:r>
          </w:p>
        </w:tc>
        <w:tc>
          <w:tcPr>
            <w:tcW w:w="3566" w:type="dxa"/>
          </w:tcPr>
          <w:p w14:paraId="4CCF5032"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proofErr w:type="spellStart"/>
            <w:r w:rsidRPr="00D507FB">
              <w:rPr>
                <w:rFonts w:ascii="Times" w:hAnsi="Times"/>
                <w:color w:val="131413"/>
                <w:shd w:val="clear" w:color="auto" w:fill="FFFFFF"/>
                <w:lang w:val="en-US"/>
              </w:rPr>
              <w:t>Analysing</w:t>
            </w:r>
            <w:proofErr w:type="spellEnd"/>
            <w:r w:rsidRPr="00D507FB">
              <w:rPr>
                <w:rFonts w:ascii="Times" w:hAnsi="Times"/>
                <w:color w:val="131413"/>
                <w:shd w:val="clear" w:color="auto" w:fill="FFFFFF"/>
                <w:lang w:val="en-US"/>
              </w:rPr>
              <w:t xml:space="preserve"> the relationship of adaption of green culture, innovation, green performance for achieving sustainability: Mediating role of employee commitment.</w:t>
            </w:r>
          </w:p>
          <w:p w14:paraId="02346D1A" w14:textId="77777777" w:rsidR="00E214E4" w:rsidRPr="00D507FB" w:rsidRDefault="00E214E4" w:rsidP="00DA3B9F">
            <w:pPr>
              <w:autoSpaceDE w:val="0"/>
              <w:autoSpaceDN w:val="0"/>
              <w:adjustRightInd w:val="0"/>
              <w:jc w:val="both"/>
              <w:rPr>
                <w:rFonts w:ascii="Times" w:hAnsi="Times"/>
                <w:color w:val="131413"/>
                <w:shd w:val="clear" w:color="auto" w:fill="FFFFFF"/>
                <w:lang w:val="en-US"/>
              </w:rPr>
            </w:pPr>
          </w:p>
          <w:p w14:paraId="064B76CC" w14:textId="4844606F" w:rsidR="00E214E4" w:rsidRPr="00D507FB" w:rsidRDefault="00E214E4" w:rsidP="00DA3B9F">
            <w:pPr>
              <w:autoSpaceDE w:val="0"/>
              <w:autoSpaceDN w:val="0"/>
              <w:adjustRightInd w:val="0"/>
              <w:jc w:val="both"/>
              <w:rPr>
                <w:rFonts w:ascii="Times" w:hAnsi="Times"/>
                <w:color w:val="131413"/>
                <w:lang w:val="en-US"/>
              </w:rPr>
            </w:pPr>
          </w:p>
        </w:tc>
        <w:tc>
          <w:tcPr>
            <w:tcW w:w="3388" w:type="dxa"/>
          </w:tcPr>
          <w:p w14:paraId="18192888"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Adaptability culture.</w:t>
            </w:r>
          </w:p>
          <w:p w14:paraId="1834BAA2"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Green performance.</w:t>
            </w:r>
          </w:p>
          <w:p w14:paraId="39E8886F"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Innovation.</w:t>
            </w:r>
          </w:p>
          <w:p w14:paraId="28C6CAEA"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Commitment environmental.</w:t>
            </w:r>
          </w:p>
        </w:tc>
      </w:tr>
      <w:tr w:rsidR="008F6524" w:rsidRPr="00D507FB" w14:paraId="2FD48007" w14:textId="77777777" w:rsidTr="00E214E4">
        <w:tc>
          <w:tcPr>
            <w:tcW w:w="999" w:type="dxa"/>
          </w:tcPr>
          <w:p w14:paraId="13154EB3" w14:textId="77777777" w:rsidR="008F6524" w:rsidRPr="00D507FB" w:rsidRDefault="008F6524" w:rsidP="00DA3B9F">
            <w:pPr>
              <w:autoSpaceDE w:val="0"/>
              <w:autoSpaceDN w:val="0"/>
              <w:adjustRightInd w:val="0"/>
              <w:jc w:val="both"/>
              <w:rPr>
                <w:rFonts w:ascii="Times" w:hAnsi="Times"/>
                <w:color w:val="131413"/>
                <w:lang w:val="en-US"/>
              </w:rPr>
            </w:pPr>
            <w:r w:rsidRPr="00D507FB">
              <w:rPr>
                <w:rFonts w:ascii="Times" w:hAnsi="Times"/>
                <w:color w:val="131413"/>
                <w:lang w:val="en-US"/>
              </w:rPr>
              <w:t>2020</w:t>
            </w:r>
          </w:p>
        </w:tc>
        <w:tc>
          <w:tcPr>
            <w:tcW w:w="1545" w:type="dxa"/>
          </w:tcPr>
          <w:p w14:paraId="3378EC17" w14:textId="4D857691" w:rsidR="008F6524" w:rsidRPr="00D507FB" w:rsidRDefault="00F16620" w:rsidP="00DA3B9F">
            <w:pPr>
              <w:autoSpaceDE w:val="0"/>
              <w:autoSpaceDN w:val="0"/>
              <w:adjustRightInd w:val="0"/>
              <w:jc w:val="both"/>
              <w:rPr>
                <w:rFonts w:ascii="Times" w:hAnsi="Times"/>
                <w:color w:val="131413"/>
                <w:lang w:val="en-US"/>
              </w:rPr>
            </w:pPr>
            <w:r w:rsidRPr="00D507FB">
              <w:rPr>
                <w:rFonts w:ascii="Times" w:hAnsi="Times"/>
              </w:rPr>
              <w:t>X</w:t>
            </w:r>
            <w:r w:rsidR="008F6524" w:rsidRPr="00D507FB">
              <w:rPr>
                <w:rFonts w:ascii="Times" w:hAnsi="Times"/>
              </w:rPr>
              <w:t>u et al.</w:t>
            </w:r>
          </w:p>
        </w:tc>
        <w:tc>
          <w:tcPr>
            <w:tcW w:w="3566" w:type="dxa"/>
          </w:tcPr>
          <w:p w14:paraId="4105F7A3"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Environmental Leadership, Green</w:t>
            </w:r>
          </w:p>
          <w:p w14:paraId="1CF9F46B"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Innovation Practices, Environmental</w:t>
            </w:r>
          </w:p>
          <w:p w14:paraId="3C227C4C"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Knowledge Learning, and Firm</w:t>
            </w:r>
          </w:p>
          <w:p w14:paraId="120737C5" w14:textId="77777777" w:rsidR="008F6524" w:rsidRPr="00D507FB" w:rsidRDefault="008F6524" w:rsidP="00DA3B9F">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Performance.</w:t>
            </w:r>
          </w:p>
        </w:tc>
        <w:tc>
          <w:tcPr>
            <w:tcW w:w="3388" w:type="dxa"/>
          </w:tcPr>
          <w:p w14:paraId="39F330F9"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Environmental Leadership.</w:t>
            </w:r>
          </w:p>
          <w:p w14:paraId="41AA80F8"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Green innovation strategy.</w:t>
            </w:r>
          </w:p>
          <w:p w14:paraId="452292FE"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Green innovation actions.</w:t>
            </w:r>
          </w:p>
          <w:p w14:paraId="5A6DFF80"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Environmental knowledge learning.</w:t>
            </w:r>
          </w:p>
          <w:p w14:paraId="48EFBA8D" w14:textId="77777777" w:rsidR="008F6524" w:rsidRPr="00D507FB" w:rsidRDefault="008F6524" w:rsidP="00DA3B9F">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Environmental performance.</w:t>
            </w:r>
          </w:p>
        </w:tc>
      </w:tr>
      <w:tr w:rsidR="00E214E4" w:rsidRPr="00D507FB" w14:paraId="09A3380C" w14:textId="77777777" w:rsidTr="00E214E4">
        <w:tc>
          <w:tcPr>
            <w:tcW w:w="999" w:type="dxa"/>
          </w:tcPr>
          <w:p w14:paraId="52C82D2D" w14:textId="030CD96B" w:rsidR="00E214E4" w:rsidRPr="00D507FB" w:rsidRDefault="00E214E4" w:rsidP="00E214E4">
            <w:pPr>
              <w:autoSpaceDE w:val="0"/>
              <w:autoSpaceDN w:val="0"/>
              <w:adjustRightInd w:val="0"/>
              <w:jc w:val="both"/>
              <w:rPr>
                <w:rFonts w:ascii="Times" w:hAnsi="Times"/>
                <w:color w:val="131413"/>
              </w:rPr>
            </w:pPr>
            <w:r w:rsidRPr="00D507FB">
              <w:rPr>
                <w:rFonts w:ascii="Times" w:hAnsi="Times"/>
                <w:color w:val="131413"/>
                <w:lang w:val="en-US"/>
              </w:rPr>
              <w:t>2019</w:t>
            </w:r>
          </w:p>
        </w:tc>
        <w:tc>
          <w:tcPr>
            <w:tcW w:w="1545" w:type="dxa"/>
          </w:tcPr>
          <w:p w14:paraId="6479F980" w14:textId="1EFD9E50" w:rsidR="00E214E4" w:rsidRPr="00D507FB" w:rsidRDefault="00E214E4" w:rsidP="00E214E4">
            <w:pPr>
              <w:shd w:val="clear" w:color="auto" w:fill="FFFFFF"/>
              <w:rPr>
                <w:rFonts w:ascii="Times" w:hAnsi="Times"/>
                <w:color w:val="131413"/>
                <w:shd w:val="clear" w:color="auto" w:fill="FFFFFF"/>
                <w:lang w:val="en-US"/>
              </w:rPr>
            </w:pPr>
            <w:r w:rsidRPr="00D507FB">
              <w:rPr>
                <w:rFonts w:ascii="Times" w:hAnsi="Times"/>
                <w:color w:val="131413"/>
                <w:lang w:val="en-US"/>
              </w:rPr>
              <w:t>Govindaraju et al.</w:t>
            </w:r>
          </w:p>
        </w:tc>
        <w:tc>
          <w:tcPr>
            <w:tcW w:w="3566" w:type="dxa"/>
          </w:tcPr>
          <w:p w14:paraId="3665A1C1" w14:textId="02AF1EA3" w:rsidR="00E214E4" w:rsidRPr="00D507FB" w:rsidRDefault="00E214E4" w:rsidP="00E214E4">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A Structural Equation Model for the Study of Sustainable Performance by Private Universities in Malaysia.</w:t>
            </w:r>
          </w:p>
        </w:tc>
        <w:tc>
          <w:tcPr>
            <w:tcW w:w="3388" w:type="dxa"/>
          </w:tcPr>
          <w:p w14:paraId="133706D8" w14:textId="3B755DE3" w:rsidR="00E214E4" w:rsidRPr="00D507FB" w:rsidRDefault="00E214E4"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 xml:space="preserve">Sustainable Performance </w:t>
            </w:r>
          </w:p>
          <w:p w14:paraId="209F9267" w14:textId="097965B4" w:rsidR="005C6268" w:rsidRPr="00D507FB" w:rsidRDefault="005C6268"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Factor economic.</w:t>
            </w:r>
          </w:p>
          <w:p w14:paraId="113F67C3" w14:textId="352679C3" w:rsidR="005C6268" w:rsidRPr="00D507FB" w:rsidRDefault="005C6268"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Factor environmental.</w:t>
            </w:r>
          </w:p>
          <w:p w14:paraId="201A0668" w14:textId="4BE8597A" w:rsidR="005C6268" w:rsidRPr="00D507FB" w:rsidRDefault="005C6268" w:rsidP="00E214E4">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Factor social</w:t>
            </w:r>
          </w:p>
          <w:p w14:paraId="73FB456C" w14:textId="77777777" w:rsidR="00E214E4" w:rsidRPr="00D507FB" w:rsidRDefault="00E214E4" w:rsidP="005C6268">
            <w:pPr>
              <w:pStyle w:val="Prrafodelista"/>
              <w:autoSpaceDE w:val="0"/>
              <w:autoSpaceDN w:val="0"/>
              <w:adjustRightInd w:val="0"/>
              <w:ind w:left="360"/>
              <w:jc w:val="both"/>
              <w:rPr>
                <w:rFonts w:ascii="Times" w:hAnsi="Times" w:cs="Times New Roman"/>
                <w:color w:val="131413"/>
                <w:kern w:val="0"/>
                <w:lang w:val="en-US"/>
              </w:rPr>
            </w:pPr>
          </w:p>
        </w:tc>
      </w:tr>
      <w:tr w:rsidR="00206C85" w:rsidRPr="00D507FB" w14:paraId="6EA0BB40" w14:textId="77777777" w:rsidTr="00E214E4">
        <w:tc>
          <w:tcPr>
            <w:tcW w:w="999" w:type="dxa"/>
          </w:tcPr>
          <w:p w14:paraId="114C6844" w14:textId="523AA676" w:rsidR="00206C85" w:rsidRPr="00D507FB" w:rsidRDefault="00EF77C2" w:rsidP="00006CE4">
            <w:pPr>
              <w:autoSpaceDE w:val="0"/>
              <w:autoSpaceDN w:val="0"/>
              <w:adjustRightInd w:val="0"/>
              <w:jc w:val="both"/>
              <w:rPr>
                <w:rFonts w:ascii="Times" w:hAnsi="Times"/>
                <w:color w:val="131413"/>
              </w:rPr>
            </w:pPr>
            <w:r w:rsidRPr="00D507FB">
              <w:rPr>
                <w:rFonts w:ascii="Times" w:hAnsi="Times"/>
                <w:color w:val="131413"/>
              </w:rPr>
              <w:t>2018</w:t>
            </w:r>
          </w:p>
        </w:tc>
        <w:tc>
          <w:tcPr>
            <w:tcW w:w="1545" w:type="dxa"/>
          </w:tcPr>
          <w:p w14:paraId="40723C35" w14:textId="01D743D1" w:rsidR="00EF77C2" w:rsidRPr="00D507FB" w:rsidRDefault="00EF77C2" w:rsidP="00EF77C2">
            <w:pPr>
              <w:shd w:val="clear" w:color="auto" w:fill="FFFFFF"/>
              <w:rPr>
                <w:rFonts w:ascii="Times" w:hAnsi="Times"/>
                <w:color w:val="131413"/>
                <w:shd w:val="clear" w:color="auto" w:fill="FFFFFF"/>
                <w:lang w:val="en-US"/>
              </w:rPr>
            </w:pPr>
            <w:r w:rsidRPr="00D507FB">
              <w:rPr>
                <w:rFonts w:ascii="Times" w:hAnsi="Times"/>
                <w:color w:val="131413"/>
                <w:shd w:val="clear" w:color="auto" w:fill="FFFFFF"/>
                <w:lang w:val="en-US"/>
              </w:rPr>
              <w:t>Varela-</w:t>
            </w:r>
            <w:proofErr w:type="spellStart"/>
            <w:r w:rsidRPr="00D507FB">
              <w:rPr>
                <w:rFonts w:ascii="Times" w:hAnsi="Times"/>
                <w:color w:val="131413"/>
                <w:shd w:val="clear" w:color="auto" w:fill="FFFFFF"/>
                <w:lang w:val="en-US"/>
              </w:rPr>
              <w:t>Candamio</w:t>
            </w:r>
            <w:proofErr w:type="spellEnd"/>
            <w:r w:rsidRPr="00D507FB">
              <w:rPr>
                <w:rFonts w:ascii="Times" w:hAnsi="Times"/>
                <w:color w:val="131413"/>
                <w:shd w:val="clear" w:color="auto" w:fill="FFFFFF"/>
                <w:lang w:val="en-US"/>
              </w:rPr>
              <w:t xml:space="preserve"> et al.</w:t>
            </w:r>
          </w:p>
          <w:p w14:paraId="797CA6F9" w14:textId="77777777" w:rsidR="00EF77C2" w:rsidRPr="00D507FB" w:rsidRDefault="00EF77C2" w:rsidP="00EF77C2">
            <w:pPr>
              <w:rPr>
                <w:rFonts w:ascii="Times" w:hAnsi="Times"/>
              </w:rPr>
            </w:pPr>
          </w:p>
          <w:p w14:paraId="3B48A463" w14:textId="784365FA" w:rsidR="00206C85" w:rsidRPr="00D507FB" w:rsidRDefault="00206C85" w:rsidP="00006CE4">
            <w:pPr>
              <w:autoSpaceDE w:val="0"/>
              <w:autoSpaceDN w:val="0"/>
              <w:adjustRightInd w:val="0"/>
              <w:jc w:val="both"/>
              <w:rPr>
                <w:rFonts w:ascii="Times" w:hAnsi="Times"/>
                <w:color w:val="131413"/>
                <w:shd w:val="clear" w:color="auto" w:fill="FFFFFF"/>
              </w:rPr>
            </w:pPr>
          </w:p>
        </w:tc>
        <w:tc>
          <w:tcPr>
            <w:tcW w:w="3566" w:type="dxa"/>
          </w:tcPr>
          <w:p w14:paraId="0005F37D" w14:textId="7D39B637" w:rsidR="00206C85" w:rsidRPr="00D507FB" w:rsidRDefault="00EF77C2" w:rsidP="00EF77C2">
            <w:pPr>
              <w:autoSpaceDE w:val="0"/>
              <w:autoSpaceDN w:val="0"/>
              <w:adjustRightInd w:val="0"/>
              <w:jc w:val="both"/>
              <w:rPr>
                <w:rFonts w:ascii="Times" w:hAnsi="Times"/>
                <w:color w:val="131413"/>
                <w:shd w:val="clear" w:color="auto" w:fill="FFFFFF"/>
                <w:lang w:val="en-US"/>
              </w:rPr>
            </w:pPr>
            <w:r w:rsidRPr="00D507FB">
              <w:rPr>
                <w:rFonts w:ascii="Times" w:hAnsi="Times"/>
                <w:color w:val="131413"/>
                <w:shd w:val="clear" w:color="auto" w:fill="FFFFFF"/>
                <w:lang w:val="en-US"/>
              </w:rPr>
              <w:t>The importance of environmental education in the determinants of green behavior: A meta-analysis approach.</w:t>
            </w:r>
          </w:p>
        </w:tc>
        <w:tc>
          <w:tcPr>
            <w:tcW w:w="3388" w:type="dxa"/>
          </w:tcPr>
          <w:p w14:paraId="7E35D902" w14:textId="0D45428B" w:rsidR="00EF77C2" w:rsidRPr="00D507FB" w:rsidRDefault="00EF77C2" w:rsidP="00EF77C2">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Green behavior.</w:t>
            </w:r>
          </w:p>
          <w:p w14:paraId="19C145DD" w14:textId="4FE131ED" w:rsidR="00EF77C2" w:rsidRPr="00D507FB" w:rsidRDefault="00EF77C2" w:rsidP="00EF77C2">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Environmental education.</w:t>
            </w:r>
          </w:p>
          <w:p w14:paraId="593F5B5C" w14:textId="2A1056DD" w:rsidR="00EF77C2" w:rsidRPr="00D507FB" w:rsidRDefault="00EF77C2" w:rsidP="00EF77C2">
            <w:pPr>
              <w:pStyle w:val="Prrafodelista"/>
              <w:numPr>
                <w:ilvl w:val="0"/>
                <w:numId w:val="1"/>
              </w:numPr>
              <w:autoSpaceDE w:val="0"/>
              <w:autoSpaceDN w:val="0"/>
              <w:adjustRightInd w:val="0"/>
              <w:jc w:val="both"/>
              <w:rPr>
                <w:rFonts w:ascii="Times" w:hAnsi="Times" w:cs="Times New Roman"/>
                <w:color w:val="131413"/>
                <w:kern w:val="0"/>
                <w:lang w:val="en-US"/>
              </w:rPr>
            </w:pPr>
            <w:r w:rsidRPr="00D507FB">
              <w:rPr>
                <w:rFonts w:ascii="Times" w:hAnsi="Times" w:cs="Times New Roman"/>
                <w:color w:val="131413"/>
                <w:kern w:val="0"/>
                <w:lang w:val="en-US"/>
              </w:rPr>
              <w:t>Awareness.</w:t>
            </w:r>
          </w:p>
        </w:tc>
      </w:tr>
    </w:tbl>
    <w:p w14:paraId="6C72D38D" w14:textId="3298238A" w:rsidR="004F191A" w:rsidRPr="00D507FB" w:rsidRDefault="004F191A" w:rsidP="00D507FB">
      <w:pPr>
        <w:autoSpaceDE w:val="0"/>
        <w:autoSpaceDN w:val="0"/>
        <w:adjustRightInd w:val="0"/>
        <w:spacing w:line="360" w:lineRule="auto"/>
        <w:jc w:val="center"/>
        <w:rPr>
          <w:rFonts w:ascii="Times" w:hAnsi="Times"/>
          <w:color w:val="131413"/>
          <w:lang w:val="en-US"/>
        </w:rPr>
      </w:pPr>
      <w:r w:rsidRPr="004F191A">
        <w:rPr>
          <w:rFonts w:ascii="Times" w:hAnsi="Times"/>
          <w:color w:val="131413"/>
          <w:lang w:val="en-US"/>
        </w:rPr>
        <w:t xml:space="preserve">Fuente: </w:t>
      </w:r>
      <w:proofErr w:type="spellStart"/>
      <w:r w:rsidRPr="004F191A">
        <w:rPr>
          <w:rFonts w:ascii="Times" w:hAnsi="Times"/>
          <w:color w:val="131413"/>
          <w:lang w:val="en-US"/>
        </w:rPr>
        <w:t>Elaboración</w:t>
      </w:r>
      <w:proofErr w:type="spellEnd"/>
      <w:r w:rsidRPr="004F191A">
        <w:rPr>
          <w:rFonts w:ascii="Times" w:hAnsi="Times"/>
          <w:color w:val="131413"/>
          <w:lang w:val="en-US"/>
        </w:rPr>
        <w:t xml:space="preserve"> </w:t>
      </w:r>
      <w:proofErr w:type="spellStart"/>
      <w:r w:rsidRPr="004F191A">
        <w:rPr>
          <w:rFonts w:ascii="Times" w:hAnsi="Times"/>
          <w:color w:val="131413"/>
          <w:lang w:val="en-US"/>
        </w:rPr>
        <w:t>propia</w:t>
      </w:r>
      <w:proofErr w:type="spellEnd"/>
    </w:p>
    <w:p w14:paraId="153D0265" w14:textId="77777777" w:rsidR="007F7C68" w:rsidRDefault="007F7C68" w:rsidP="007F7C68">
      <w:pPr>
        <w:spacing w:line="360" w:lineRule="auto"/>
        <w:ind w:firstLine="708"/>
        <w:jc w:val="both"/>
      </w:pPr>
      <w:r w:rsidRPr="00A35EF3">
        <w:lastRenderedPageBreak/>
        <w:t xml:space="preserve">Los resultados de Mohammadi </w:t>
      </w:r>
      <w:r w:rsidRPr="00A35EF3">
        <w:rPr>
          <w:i/>
          <w:iCs/>
        </w:rPr>
        <w:t>et al</w:t>
      </w:r>
      <w:r w:rsidRPr="00A35EF3">
        <w:t xml:space="preserve">. (2023) ofrecen una comprensión detallada de la sustentabilidad universitaria. Este enfoque va más allá de la </w:t>
      </w:r>
      <w:r>
        <w:t>sola</w:t>
      </w:r>
      <w:r w:rsidRPr="00A35EF3">
        <w:t xml:space="preserve"> adopción de una educación orientada a la sustentabilidad, un liderazgo y una cultura universitaria</w:t>
      </w:r>
      <w:r>
        <w:t>, pues s</w:t>
      </w:r>
      <w:r w:rsidRPr="00A35EF3">
        <w:t>e destaca la importancia de fomentar conocimientos, actitudes y valores sustentables. Por ende, las autoridades universitarias deben implementar estrategias de gestión que generen compromiso, actitudes y valores sustentables</w:t>
      </w:r>
      <w:r>
        <w:t>, los cuales</w:t>
      </w:r>
      <w:r w:rsidRPr="00A35EF3">
        <w:t>, a su vez, deben influir en la participación en actividades de sustentabilidad para lograr el objetivo deseado de sustentabilidad universitaria.</w:t>
      </w:r>
    </w:p>
    <w:p w14:paraId="60919808" w14:textId="77777777" w:rsidR="007F7C68" w:rsidRDefault="007F7C68" w:rsidP="007F7C68">
      <w:pPr>
        <w:spacing w:line="360" w:lineRule="auto"/>
        <w:ind w:firstLine="708"/>
        <w:jc w:val="both"/>
      </w:pPr>
      <w:r>
        <w:t xml:space="preserve">Por su parte, </w:t>
      </w:r>
      <w:r w:rsidRPr="00A35EF3">
        <w:t xml:space="preserve">Avelar </w:t>
      </w:r>
      <w:r w:rsidRPr="00A35EF3">
        <w:rPr>
          <w:i/>
          <w:iCs/>
        </w:rPr>
        <w:t>et al</w:t>
      </w:r>
      <w:r w:rsidRPr="00A35EF3">
        <w:t xml:space="preserve">. (2022) exploran el comportamiento sostenible en relación con la incorporación de la sostenibilidad en la educación, la investigación y la divulgación. Introducen el constructo denominado </w:t>
      </w:r>
      <w:r w:rsidRPr="00A35EF3">
        <w:rPr>
          <w:i/>
          <w:iCs/>
        </w:rPr>
        <w:t>actitud económica</w:t>
      </w:r>
      <w:r w:rsidRPr="00A35EF3">
        <w:t>, dado que encontraron que las actitudes medioambientales y sociales no afectaron el comportamiento sostenible. Este hallazgo es significativo</w:t>
      </w:r>
      <w:r>
        <w:t xml:space="preserve">, ya que se </w:t>
      </w:r>
      <w:r w:rsidRPr="00FB3584">
        <w:rPr>
          <w:rFonts w:ascii="Times" w:hAnsi="Times"/>
        </w:rPr>
        <w:t>pensaría que los estudiantes mostrarían un cambio de paradigma hacia lo medioambiental y social</w:t>
      </w:r>
      <w:r>
        <w:rPr>
          <w:rFonts w:ascii="Times" w:hAnsi="Times"/>
        </w:rPr>
        <w:t xml:space="preserve">, lo cual </w:t>
      </w:r>
      <w:r w:rsidRPr="00A35EF3">
        <w:t>sugiere la necesidad de abordar más a fondo estos aspectos en el plan de estudios para contrarrestar diversos problemas medioambientales.</w:t>
      </w:r>
    </w:p>
    <w:p w14:paraId="4C8265B7" w14:textId="77777777" w:rsidR="007F7C68" w:rsidRDefault="007F7C68" w:rsidP="007F7C68">
      <w:pPr>
        <w:spacing w:line="360" w:lineRule="auto"/>
        <w:ind w:firstLine="708"/>
        <w:jc w:val="both"/>
      </w:pPr>
      <w:r w:rsidRPr="00A35EF3">
        <w:t xml:space="preserve">En su modelo propuesto, Sharma </w:t>
      </w:r>
      <w:r w:rsidRPr="00FB3584">
        <w:rPr>
          <w:i/>
          <w:iCs/>
        </w:rPr>
        <w:t>et al</w:t>
      </w:r>
      <w:r w:rsidRPr="00A35EF3">
        <w:t>. (2021) examinan la relación entre la conciencia medioambiental de los consumidores y el rendimiento ecológico, la innovación y el compromiso, con la innovación emergiendo como la clave para una cultura ecológica y el rendimiento ecológico. Sus hallazgos destacan que el compromiso actúa como variable mediadora esencial para fortalecer la relación causal. Esto subraya la necesidad de un plan estratégico que desarrolle la conciencia medioambiental para fortalecer la innovación y el rendimiento ecológico como elementos clave de la sustentabilidad medioambiental.</w:t>
      </w:r>
    </w:p>
    <w:p w14:paraId="4184EC28" w14:textId="77777777" w:rsidR="007F7C68" w:rsidRPr="00FB3584" w:rsidRDefault="007F7C68" w:rsidP="007F7C68">
      <w:pPr>
        <w:spacing w:line="360" w:lineRule="auto"/>
        <w:ind w:firstLine="708"/>
        <w:jc w:val="both"/>
        <w:rPr>
          <w:rFonts w:ascii="Times" w:hAnsi="Times"/>
        </w:rPr>
      </w:pPr>
      <w:r>
        <w:t xml:space="preserve">Asimismo, </w:t>
      </w:r>
      <w:r w:rsidRPr="00A35EF3">
        <w:t xml:space="preserve">Xu </w:t>
      </w:r>
      <w:r w:rsidRPr="00FB3584">
        <w:rPr>
          <w:i/>
          <w:iCs/>
        </w:rPr>
        <w:t>et al</w:t>
      </w:r>
      <w:r w:rsidRPr="00A35EF3">
        <w:t xml:space="preserve">. (2020) identifican un constructo moderador, el </w:t>
      </w:r>
      <w:r w:rsidRPr="00FB3584">
        <w:rPr>
          <w:i/>
          <w:iCs/>
        </w:rPr>
        <w:t>aprendizaje de conocimientos medioambientales</w:t>
      </w:r>
      <w:r w:rsidRPr="00A35EF3">
        <w:t>, en la relación entre el liderazgo medioambiental y las prácticas de innovación ecológica. Este moderador fortalece positivamente la relación causal, señalando la importancia del liderazgo medioambiental como predictor de prácticas de innovación ecológica.</w:t>
      </w:r>
      <w:r>
        <w:t xml:space="preserve"> Además, se debe tomar en cuenta que </w:t>
      </w:r>
      <w:r>
        <w:rPr>
          <w:rFonts w:ascii="Times" w:hAnsi="Times"/>
        </w:rPr>
        <w:t xml:space="preserve">si bien </w:t>
      </w:r>
      <w:r w:rsidRPr="00FB3584">
        <w:rPr>
          <w:rFonts w:ascii="Times" w:hAnsi="Times"/>
        </w:rPr>
        <w:t>el</w:t>
      </w:r>
      <w:r w:rsidRPr="00FB3584">
        <w:t> </w:t>
      </w:r>
      <w:r w:rsidRPr="00FB3584">
        <w:rPr>
          <w:rFonts w:ascii="Times" w:hAnsi="Times"/>
        </w:rPr>
        <w:t xml:space="preserve">crecimiento económico que presentan los mercados emergentes ha </w:t>
      </w:r>
      <w:r>
        <w:rPr>
          <w:rFonts w:ascii="Times" w:hAnsi="Times"/>
        </w:rPr>
        <w:t xml:space="preserve">servido para disminuir la pobreza de </w:t>
      </w:r>
      <w:r w:rsidRPr="00FB3584">
        <w:rPr>
          <w:rFonts w:ascii="Times" w:hAnsi="Times"/>
        </w:rPr>
        <w:t xml:space="preserve">millones de personas, </w:t>
      </w:r>
      <w:r>
        <w:rPr>
          <w:rFonts w:ascii="Times" w:hAnsi="Times"/>
        </w:rPr>
        <w:t xml:space="preserve">al mismo tiempo </w:t>
      </w:r>
      <w:r w:rsidRPr="00FB3584">
        <w:rPr>
          <w:rFonts w:ascii="Times" w:hAnsi="Times"/>
        </w:rPr>
        <w:t xml:space="preserve">ha incrementado el problema medioambiental (OCDE, 2017). </w:t>
      </w:r>
    </w:p>
    <w:p w14:paraId="236489BC" w14:textId="77777777" w:rsidR="007F7C68" w:rsidRDefault="007F7C68" w:rsidP="007F7C68">
      <w:pPr>
        <w:spacing w:line="360" w:lineRule="auto"/>
        <w:ind w:firstLine="708"/>
        <w:jc w:val="both"/>
      </w:pPr>
      <w:r w:rsidRPr="00A35EF3">
        <w:t xml:space="preserve">En la misma línea, Govindaraju </w:t>
      </w:r>
      <w:r w:rsidRPr="00FB3584">
        <w:rPr>
          <w:i/>
          <w:iCs/>
        </w:rPr>
        <w:t>et al</w:t>
      </w:r>
      <w:r w:rsidRPr="00A35EF3">
        <w:t xml:space="preserve">. (2019) concluyen que las prácticas sostenibles en la educación explican el rendimiento sustentable a través de factores económicos y </w:t>
      </w:r>
      <w:r w:rsidRPr="00A35EF3">
        <w:lastRenderedPageBreak/>
        <w:t xml:space="preserve">medioambientales, excluyendo el factor social. </w:t>
      </w:r>
      <w:r>
        <w:t>Por eso, d</w:t>
      </w:r>
      <w:r w:rsidRPr="00A35EF3">
        <w:t>estacan la necesidad de equilibrar las diversas dimensiones de la sostenibilidad en la estrategia organizacional.</w:t>
      </w:r>
    </w:p>
    <w:p w14:paraId="6304A48C" w14:textId="77777777" w:rsidR="007F7C68" w:rsidRDefault="007F7C68" w:rsidP="007F7C68">
      <w:pPr>
        <w:spacing w:line="360" w:lineRule="auto"/>
        <w:ind w:firstLine="708"/>
        <w:jc w:val="both"/>
      </w:pPr>
      <w:r w:rsidRPr="00FB3584">
        <w:t xml:space="preserve">Finalmente, Varela-Candamio </w:t>
      </w:r>
      <w:r w:rsidRPr="00FB3584">
        <w:rPr>
          <w:i/>
          <w:iCs/>
        </w:rPr>
        <w:t>et al</w:t>
      </w:r>
      <w:r w:rsidRPr="00FB3584">
        <w:t xml:space="preserve">. (2018) </w:t>
      </w:r>
      <w:r>
        <w:t xml:space="preserve">confirman </w:t>
      </w:r>
      <w:r w:rsidRPr="00FB3584">
        <w:t xml:space="preserve">la importancia de la educación ambiental en el desarrollo de comportamientos verdes o ecológicos, </w:t>
      </w:r>
      <w:r>
        <w:t>para lo cual consideran</w:t>
      </w:r>
      <w:r w:rsidRPr="00FB3584">
        <w:t xml:space="preserve"> factores intrapersonales, motivacionales, interpersonales y educativos. Los resultados de los modelos de ecuaciones estructurales analizados evidencian diversos constructos con implicaciones significativas para respaldar a los directivos y tomadores de decisiones estratégicas en la adopción de representaciones sustentables en las cuales deben operar las organizaciones, especialmente en el ámbito educativo.</w:t>
      </w:r>
    </w:p>
    <w:p w14:paraId="442971FD" w14:textId="77777777" w:rsidR="007F7C68" w:rsidRPr="00FB3584" w:rsidRDefault="007F7C68" w:rsidP="007F7C68">
      <w:pPr>
        <w:spacing w:line="360" w:lineRule="auto"/>
        <w:ind w:firstLine="708"/>
        <w:jc w:val="both"/>
      </w:pPr>
      <w:r>
        <w:t>Ahora bien, c</w:t>
      </w:r>
      <w:r w:rsidRPr="00FB3584">
        <w:t xml:space="preserve">on el propósito de aclarar los conceptos de mediación y moderación, </w:t>
      </w:r>
      <w:r>
        <w:t xml:space="preserve">a continuación </w:t>
      </w:r>
      <w:r w:rsidRPr="00FB3584">
        <w:t xml:space="preserve">se ofrece una explicación. Una variable </w:t>
      </w:r>
      <w:r>
        <w:t>“</w:t>
      </w:r>
      <w:r w:rsidRPr="00FB3584">
        <w:t>mediadora</w:t>
      </w:r>
      <w:r>
        <w:t>”</w:t>
      </w:r>
      <w:r w:rsidRPr="00FB3584">
        <w:t xml:space="preserve"> </w:t>
      </w:r>
      <w:r>
        <w:t>es</w:t>
      </w:r>
      <w:r w:rsidRPr="00FB3584">
        <w:t xml:space="preserve"> considera</w:t>
      </w:r>
      <w:r>
        <w:t>da</w:t>
      </w:r>
      <w:r w:rsidRPr="00FB3584">
        <w:t xml:space="preserve"> una tercera variable que interviene entre dos constructos relacionados. Su función principal es provocar, a partir de un cambio en un constructo exógeno (variable independiente), un efecto positivo en la variable mediadora. A su vez, esta variable mediadora tendrá un efecto positivo en el constructo endógeno (variable dependiente), </w:t>
      </w:r>
      <w:r>
        <w:t xml:space="preserve">lo que fortalece </w:t>
      </w:r>
      <w:r w:rsidRPr="00FB3584">
        <w:t xml:space="preserve">la relación causa-efecto. En otras palabras, sigue una trayectoria de efectos indirectos positivos. En contraste, un constructo </w:t>
      </w:r>
      <w:r>
        <w:t>“</w:t>
      </w:r>
      <w:r w:rsidRPr="00FB3584">
        <w:t>moderador</w:t>
      </w:r>
      <w:r>
        <w:t>”</w:t>
      </w:r>
      <w:r w:rsidRPr="00FB3584">
        <w:t xml:space="preserve"> permite que la fuerza o dirección de una relación entre dos constructos dependa de una tercera variable moderadora. Esto significa que la relación varía en función de los valores de esta tercera variable (Hair </w:t>
      </w:r>
      <w:r w:rsidRPr="00A00326">
        <w:rPr>
          <w:i/>
          <w:iCs/>
        </w:rPr>
        <w:t>et al</w:t>
      </w:r>
      <w:r w:rsidRPr="00FB3584">
        <w:t>., 2022).</w:t>
      </w:r>
    </w:p>
    <w:p w14:paraId="59C66E51" w14:textId="77777777" w:rsidR="007F7C68" w:rsidRDefault="007F7C68" w:rsidP="00D426CD">
      <w:pPr>
        <w:pStyle w:val="Prrafodelista"/>
        <w:autoSpaceDE w:val="0"/>
        <w:autoSpaceDN w:val="0"/>
        <w:adjustRightInd w:val="0"/>
        <w:spacing w:line="360" w:lineRule="auto"/>
        <w:ind w:left="1440"/>
        <w:rPr>
          <w:rFonts w:ascii="Times" w:hAnsi="Times" w:cs="Times New Roman"/>
          <w:b/>
          <w:bCs/>
          <w:color w:val="000000" w:themeColor="text1"/>
          <w:kern w:val="0"/>
          <w:sz w:val="28"/>
          <w:szCs w:val="28"/>
        </w:rPr>
      </w:pPr>
    </w:p>
    <w:p w14:paraId="60E894DF" w14:textId="0FF33E72" w:rsidR="007C5755" w:rsidRPr="00D507FB" w:rsidRDefault="007C5755" w:rsidP="00D507FB">
      <w:pPr>
        <w:autoSpaceDE w:val="0"/>
        <w:autoSpaceDN w:val="0"/>
        <w:adjustRightInd w:val="0"/>
        <w:spacing w:line="360" w:lineRule="auto"/>
        <w:jc w:val="center"/>
        <w:rPr>
          <w:rFonts w:ascii="Times" w:hAnsi="Times"/>
          <w:b/>
          <w:bCs/>
          <w:color w:val="000000" w:themeColor="text1"/>
          <w:sz w:val="32"/>
          <w:szCs w:val="36"/>
        </w:rPr>
      </w:pPr>
      <w:r w:rsidRPr="00D507FB">
        <w:rPr>
          <w:rFonts w:ascii="Times" w:hAnsi="Times"/>
          <w:b/>
          <w:bCs/>
          <w:color w:val="000000" w:themeColor="text1"/>
          <w:sz w:val="32"/>
          <w:szCs w:val="36"/>
        </w:rPr>
        <w:t>Discusión</w:t>
      </w:r>
    </w:p>
    <w:p w14:paraId="5283346C" w14:textId="77777777" w:rsidR="007F7C68" w:rsidRDefault="007F7C68" w:rsidP="007F7C68">
      <w:pPr>
        <w:spacing w:line="360" w:lineRule="auto"/>
        <w:ind w:firstLine="708"/>
        <w:jc w:val="both"/>
      </w:pPr>
      <w:r w:rsidRPr="00A00326">
        <w:t xml:space="preserve">Como se </w:t>
      </w:r>
      <w:r>
        <w:t>ha enseñado</w:t>
      </w:r>
      <w:r w:rsidRPr="00A00326">
        <w:t xml:space="preserve"> en la </w:t>
      </w:r>
      <w:r>
        <w:t>t</w:t>
      </w:r>
      <w:r w:rsidRPr="00A00326">
        <w:t xml:space="preserve">abla 1, se han identificado diversos constructos medioambientales susceptibles de ser explorados en distintos contextos. Sin embargo, la </w:t>
      </w:r>
      <w:r>
        <w:t>simple</w:t>
      </w:r>
      <w:r w:rsidRPr="00A00326">
        <w:t xml:space="preserve"> replicación de estudios carece de aportes sustanciales al conocimiento científico. Es imperativo, </w:t>
      </w:r>
      <w:r>
        <w:t>por ende</w:t>
      </w:r>
      <w:r w:rsidRPr="00A00326">
        <w:t>, adoptar enfoques teóricos que posibiliten la construcción de relaciones estructurales</w:t>
      </w:r>
      <w:r>
        <w:t xml:space="preserve"> para permitir </w:t>
      </w:r>
      <w:r w:rsidRPr="00A00326">
        <w:t>la formulación y prueba de nuevos modelos que contribuyan a la comprensión de la sostenibilidad en entornos universitarios. Este enfoque debe alinearse con la taxonomía de contribuciones teóricas aplicable a artículos científicos (Colquitt y Zapata-Phelan, 2007).</w:t>
      </w:r>
    </w:p>
    <w:p w14:paraId="0E7EF88A" w14:textId="77777777" w:rsidR="007F7C68" w:rsidRPr="00A00326" w:rsidRDefault="007F7C68" w:rsidP="007F7C68">
      <w:pPr>
        <w:spacing w:line="360" w:lineRule="auto"/>
        <w:ind w:firstLine="708"/>
        <w:jc w:val="both"/>
      </w:pPr>
      <w:r w:rsidRPr="00A00326">
        <w:t xml:space="preserve">En este contexto, considero que uno de los primeros constructos </w:t>
      </w:r>
      <w:r>
        <w:t>por</w:t>
      </w:r>
      <w:r w:rsidRPr="00A00326">
        <w:t xml:space="preserve"> </w:t>
      </w:r>
      <w:r>
        <w:t>analizar</w:t>
      </w:r>
      <w:r w:rsidRPr="00A00326">
        <w:t xml:space="preserve"> es el </w:t>
      </w:r>
      <w:r w:rsidRPr="00A00326">
        <w:rPr>
          <w:i/>
          <w:iCs/>
        </w:rPr>
        <w:t>liderazgo medioambiental</w:t>
      </w:r>
      <w:r w:rsidRPr="00A00326">
        <w:t xml:space="preserve">, dado que las universidades requieren líderes comprometidos con la sostenibilidad, capaces de alinear los perfiles organizativos con este nuevo paradigma. En segundo lugar, </w:t>
      </w:r>
      <w:r>
        <w:t xml:space="preserve">elegiría </w:t>
      </w:r>
      <w:r w:rsidRPr="00A00326">
        <w:t xml:space="preserve">el constructo </w:t>
      </w:r>
      <w:r w:rsidRPr="00A00326">
        <w:rPr>
          <w:i/>
          <w:iCs/>
        </w:rPr>
        <w:t>conocimiento sostenible</w:t>
      </w:r>
      <w:r w:rsidRPr="00A00326">
        <w:t xml:space="preserve">, cuya integración debería ser </w:t>
      </w:r>
      <w:r w:rsidRPr="00A00326">
        <w:lastRenderedPageBreak/>
        <w:t xml:space="preserve">transversal en los programas educativos de la institución. En tercer lugar, destaco la importancia de investigar la </w:t>
      </w:r>
      <w:r w:rsidRPr="00A00326">
        <w:rPr>
          <w:i/>
          <w:iCs/>
        </w:rPr>
        <w:t>cultura de adaptabilidad a la sostenibilidad en el ámbito educativo</w:t>
      </w:r>
      <w:r>
        <w:t xml:space="preserve">, específicamente </w:t>
      </w:r>
      <w:r w:rsidRPr="00A00326">
        <w:t xml:space="preserve">en el contexto universitario. Finalmente, </w:t>
      </w:r>
      <w:r>
        <w:t xml:space="preserve">a partir de lo anterior, se podrían </w:t>
      </w:r>
      <w:r w:rsidRPr="00A00326">
        <w:t>proponer modelos de investigación relacionados con el comportamiento medioambiental, las actitudes medioambientales, el desempeño medioambiental, la innovación medioambiental, el compromiso medioambiental, entre otros constructos, los cuales podrían proporcionar explicaciones significativas a través de relaciones estructurales.</w:t>
      </w:r>
    </w:p>
    <w:p w14:paraId="678A4AED" w14:textId="77777777" w:rsidR="004C0423" w:rsidRPr="005A786F" w:rsidRDefault="004C0423" w:rsidP="004C0423">
      <w:pPr>
        <w:autoSpaceDE w:val="0"/>
        <w:autoSpaceDN w:val="0"/>
        <w:adjustRightInd w:val="0"/>
        <w:spacing w:line="360" w:lineRule="auto"/>
        <w:ind w:firstLine="709"/>
        <w:jc w:val="both"/>
        <w:rPr>
          <w:rFonts w:ascii="Times" w:hAnsi="Times"/>
          <w:b/>
          <w:bCs/>
          <w:color w:val="FF0000"/>
        </w:rPr>
      </w:pPr>
    </w:p>
    <w:p w14:paraId="3C69D3F4" w14:textId="01AF5D81" w:rsidR="00E01253" w:rsidRPr="00D507FB" w:rsidRDefault="00687773" w:rsidP="00D507FB">
      <w:pPr>
        <w:autoSpaceDE w:val="0"/>
        <w:autoSpaceDN w:val="0"/>
        <w:adjustRightInd w:val="0"/>
        <w:spacing w:line="360" w:lineRule="auto"/>
        <w:jc w:val="center"/>
        <w:rPr>
          <w:rFonts w:ascii="Times" w:hAnsi="Times"/>
          <w:b/>
          <w:bCs/>
          <w:color w:val="131413"/>
          <w:sz w:val="32"/>
          <w:szCs w:val="40"/>
        </w:rPr>
      </w:pPr>
      <w:r w:rsidRPr="00D507FB">
        <w:rPr>
          <w:rFonts w:ascii="Times" w:hAnsi="Times"/>
          <w:b/>
          <w:bCs/>
          <w:color w:val="131413"/>
          <w:sz w:val="32"/>
          <w:szCs w:val="40"/>
        </w:rPr>
        <w:t>Conclusione</w:t>
      </w:r>
      <w:r w:rsidR="00385857" w:rsidRPr="00D507FB">
        <w:rPr>
          <w:rFonts w:ascii="Times" w:hAnsi="Times"/>
          <w:b/>
          <w:bCs/>
          <w:color w:val="131413"/>
          <w:sz w:val="32"/>
          <w:szCs w:val="40"/>
        </w:rPr>
        <w:t>s</w:t>
      </w:r>
    </w:p>
    <w:p w14:paraId="725EBCBC" w14:textId="77777777" w:rsidR="007F7C68" w:rsidRDefault="007F7C68" w:rsidP="007F7C68">
      <w:pPr>
        <w:spacing w:line="360" w:lineRule="auto"/>
        <w:ind w:firstLine="708"/>
        <w:jc w:val="both"/>
      </w:pPr>
      <w:r w:rsidRPr="00A00326">
        <w:t>Es una prioridad que las instituciones de educación superior (IES) en México se sumen al llamado por el cuidado medioambiental y promuevan esta conciencia dentro de la comunidad universitaria, especialmente entre los estudiantes, quienes representan el presente y el futuro de las nuevas generaciones que inevitablemente enfrentarán un entorno afectado por problemas medioambientales. Estos desafíos no solo impactan los recursos naturales, sino también la salud, la vida y la alimentación de los seres vivos.</w:t>
      </w:r>
    </w:p>
    <w:p w14:paraId="377B7594" w14:textId="77777777" w:rsidR="007F7C68" w:rsidRDefault="007F7C68" w:rsidP="007F7C68">
      <w:pPr>
        <w:spacing w:line="360" w:lineRule="auto"/>
        <w:ind w:firstLine="708"/>
        <w:jc w:val="both"/>
      </w:pPr>
      <w:r w:rsidRPr="00A00326">
        <w:t>Cuando las universidades respaldan iniciativas dirigidas a abordar este problema y, lo que es más importante, hacen un seguimiento para asegurar su implementación, pueden contribuir a la formación de una cultura organizacional verde o ecológica</w:t>
      </w:r>
      <w:r>
        <w:t xml:space="preserve">, lo cual </w:t>
      </w:r>
      <w:r w:rsidRPr="00A00326">
        <w:t>podría tener un impacto significativo en el comportamiento sostenible de los estudiantes. Este comportamiento no solo beneficia a la industria, la comunidad y la economía, sino que también se vuelve fundamental para la empleabilidad de los universitarios, especialmente cuando buscan ingresar a empresas con prácticas verdes o ecológicas.</w:t>
      </w:r>
    </w:p>
    <w:p w14:paraId="165A7D38" w14:textId="77777777" w:rsidR="007F7C68" w:rsidRPr="00A00326" w:rsidRDefault="007F7C68" w:rsidP="007F7C68">
      <w:pPr>
        <w:spacing w:line="360" w:lineRule="auto"/>
        <w:ind w:firstLine="708"/>
        <w:jc w:val="both"/>
      </w:pPr>
      <w:r w:rsidRPr="00A00326">
        <w:t>En este contexto, a medida que la conciencia sobre prácticas sostenibles y el logro de los 17 objetivos de desarrollo sostenible (ODS) de la ONU crece a nivel mundial, las universidades deben incorporar en sus planes y programas de estudio unidades de aprendizaje que aborden este tipo de prácticas sostenibles.</w:t>
      </w:r>
    </w:p>
    <w:p w14:paraId="4C3FE3DE" w14:textId="77777777" w:rsidR="00E01253" w:rsidRDefault="00E01253" w:rsidP="00B579DA">
      <w:pPr>
        <w:autoSpaceDE w:val="0"/>
        <w:autoSpaceDN w:val="0"/>
        <w:adjustRightInd w:val="0"/>
        <w:spacing w:line="360" w:lineRule="auto"/>
        <w:jc w:val="both"/>
        <w:rPr>
          <w:rFonts w:ascii="Times" w:hAnsi="Times"/>
          <w:b/>
          <w:bCs/>
          <w:color w:val="131413"/>
        </w:rPr>
      </w:pPr>
    </w:p>
    <w:p w14:paraId="540E7A25" w14:textId="77777777" w:rsidR="003218D4" w:rsidRDefault="003218D4" w:rsidP="00B579DA">
      <w:pPr>
        <w:autoSpaceDE w:val="0"/>
        <w:autoSpaceDN w:val="0"/>
        <w:adjustRightInd w:val="0"/>
        <w:spacing w:line="360" w:lineRule="auto"/>
        <w:jc w:val="both"/>
        <w:rPr>
          <w:rFonts w:ascii="Times" w:hAnsi="Times"/>
          <w:b/>
          <w:bCs/>
          <w:color w:val="131413"/>
        </w:rPr>
      </w:pPr>
    </w:p>
    <w:p w14:paraId="6344FF08" w14:textId="77777777" w:rsidR="003218D4" w:rsidRDefault="003218D4" w:rsidP="00B579DA">
      <w:pPr>
        <w:autoSpaceDE w:val="0"/>
        <w:autoSpaceDN w:val="0"/>
        <w:adjustRightInd w:val="0"/>
        <w:spacing w:line="360" w:lineRule="auto"/>
        <w:jc w:val="both"/>
        <w:rPr>
          <w:rFonts w:ascii="Times" w:hAnsi="Times"/>
          <w:b/>
          <w:bCs/>
          <w:color w:val="131413"/>
        </w:rPr>
      </w:pPr>
    </w:p>
    <w:p w14:paraId="28C2B551" w14:textId="77777777" w:rsidR="003218D4" w:rsidRDefault="003218D4" w:rsidP="00B579DA">
      <w:pPr>
        <w:autoSpaceDE w:val="0"/>
        <w:autoSpaceDN w:val="0"/>
        <w:adjustRightInd w:val="0"/>
        <w:spacing w:line="360" w:lineRule="auto"/>
        <w:jc w:val="both"/>
        <w:rPr>
          <w:rFonts w:ascii="Times" w:hAnsi="Times"/>
          <w:b/>
          <w:bCs/>
          <w:color w:val="131413"/>
        </w:rPr>
      </w:pPr>
    </w:p>
    <w:p w14:paraId="72BE9971" w14:textId="77777777" w:rsidR="003218D4" w:rsidRDefault="003218D4" w:rsidP="00B579DA">
      <w:pPr>
        <w:autoSpaceDE w:val="0"/>
        <w:autoSpaceDN w:val="0"/>
        <w:adjustRightInd w:val="0"/>
        <w:spacing w:line="360" w:lineRule="auto"/>
        <w:jc w:val="both"/>
        <w:rPr>
          <w:rFonts w:ascii="Times" w:hAnsi="Times"/>
          <w:b/>
          <w:bCs/>
          <w:color w:val="131413"/>
        </w:rPr>
      </w:pPr>
    </w:p>
    <w:p w14:paraId="5D02B83D" w14:textId="77777777" w:rsidR="003218D4" w:rsidRDefault="003218D4" w:rsidP="00B579DA">
      <w:pPr>
        <w:autoSpaceDE w:val="0"/>
        <w:autoSpaceDN w:val="0"/>
        <w:adjustRightInd w:val="0"/>
        <w:spacing w:line="360" w:lineRule="auto"/>
        <w:jc w:val="both"/>
        <w:rPr>
          <w:rFonts w:ascii="Times" w:hAnsi="Times"/>
          <w:b/>
          <w:bCs/>
          <w:color w:val="131413"/>
        </w:rPr>
      </w:pPr>
    </w:p>
    <w:p w14:paraId="0653F434" w14:textId="77777777" w:rsidR="003218D4" w:rsidRDefault="003218D4" w:rsidP="00B579DA">
      <w:pPr>
        <w:autoSpaceDE w:val="0"/>
        <w:autoSpaceDN w:val="0"/>
        <w:adjustRightInd w:val="0"/>
        <w:spacing w:line="360" w:lineRule="auto"/>
        <w:jc w:val="both"/>
        <w:rPr>
          <w:rFonts w:ascii="Times" w:hAnsi="Times"/>
          <w:b/>
          <w:bCs/>
          <w:color w:val="131413"/>
        </w:rPr>
      </w:pPr>
    </w:p>
    <w:p w14:paraId="5B4D6343" w14:textId="6616F681" w:rsidR="00DF3484" w:rsidRPr="00D507FB" w:rsidRDefault="00F001E2" w:rsidP="00D507FB">
      <w:pPr>
        <w:autoSpaceDE w:val="0"/>
        <w:autoSpaceDN w:val="0"/>
        <w:adjustRightInd w:val="0"/>
        <w:spacing w:line="360" w:lineRule="auto"/>
        <w:jc w:val="center"/>
        <w:rPr>
          <w:rFonts w:ascii="Times" w:hAnsi="Times"/>
          <w:b/>
          <w:bCs/>
          <w:color w:val="131413"/>
          <w:sz w:val="28"/>
          <w:szCs w:val="32"/>
        </w:rPr>
      </w:pPr>
      <w:r w:rsidRPr="00D507FB">
        <w:rPr>
          <w:rFonts w:ascii="Times" w:hAnsi="Times"/>
          <w:b/>
          <w:bCs/>
          <w:color w:val="131413"/>
          <w:sz w:val="28"/>
          <w:szCs w:val="32"/>
        </w:rPr>
        <w:lastRenderedPageBreak/>
        <w:t>Futu</w:t>
      </w:r>
      <w:r w:rsidR="00B53481" w:rsidRPr="00D507FB">
        <w:rPr>
          <w:rFonts w:ascii="Times" w:hAnsi="Times"/>
          <w:b/>
          <w:bCs/>
          <w:color w:val="131413"/>
          <w:sz w:val="28"/>
          <w:szCs w:val="32"/>
        </w:rPr>
        <w:t>r</w:t>
      </w:r>
      <w:r w:rsidRPr="00D507FB">
        <w:rPr>
          <w:rFonts w:ascii="Times" w:hAnsi="Times"/>
          <w:b/>
          <w:bCs/>
          <w:color w:val="131413"/>
          <w:sz w:val="28"/>
          <w:szCs w:val="32"/>
        </w:rPr>
        <w:t>as líneas de investigación</w:t>
      </w:r>
    </w:p>
    <w:p w14:paraId="6B707DAF" w14:textId="44C5521A" w:rsidR="007F7C68" w:rsidRPr="00A00326" w:rsidRDefault="007F7C68" w:rsidP="007F7C68">
      <w:pPr>
        <w:spacing w:line="360" w:lineRule="auto"/>
        <w:ind w:firstLine="708"/>
        <w:jc w:val="both"/>
      </w:pPr>
      <w:r w:rsidRPr="00A00326">
        <w:t xml:space="preserve">Se han </w:t>
      </w:r>
      <w:r>
        <w:t xml:space="preserve">desarrollado </w:t>
      </w:r>
      <w:r w:rsidRPr="00A00326">
        <w:t xml:space="preserve">diversos estudios sobre los comportamientos sostenibles en universitarios (Chih-Hsing </w:t>
      </w:r>
      <w:r w:rsidRPr="00A00326">
        <w:rPr>
          <w:i/>
          <w:iCs/>
        </w:rPr>
        <w:t>et al</w:t>
      </w:r>
      <w:r w:rsidRPr="00A00326">
        <w:t xml:space="preserve">., 2023). No obstante, persisten varios vacíos en la literatura científica que podrían contribuir a mitigar los problemas medioambientales. </w:t>
      </w:r>
      <w:r>
        <w:t>En consecuencia</w:t>
      </w:r>
      <w:r w:rsidRPr="00A00326">
        <w:t>, la presente investigación propone líneas futuras de investigación destinadas a consolidar la sostenibilidad universitaria, con un enfoque primordial en la instauración de una cultura verde o ecológica</w:t>
      </w:r>
      <w:r>
        <w:t>, ya que</w:t>
      </w:r>
      <w:r w:rsidRPr="00A00326">
        <w:t xml:space="preserve"> esta cultura constituye el cimiento para la formulación de objetivos estratégicos alineados con las iniciativas de la OCDE y la ONU en </w:t>
      </w:r>
      <w:r>
        <w:t xml:space="preserve">materia de </w:t>
      </w:r>
      <w:r w:rsidRPr="00A00326">
        <w:t>la sostenibilidad universitaria.</w:t>
      </w:r>
    </w:p>
    <w:p w14:paraId="65767A92" w14:textId="77777777" w:rsidR="00D507FB" w:rsidRPr="00E76C9C" w:rsidRDefault="00D507FB" w:rsidP="00B579DA">
      <w:pPr>
        <w:autoSpaceDE w:val="0"/>
        <w:autoSpaceDN w:val="0"/>
        <w:adjustRightInd w:val="0"/>
        <w:spacing w:line="360" w:lineRule="auto"/>
        <w:jc w:val="both"/>
        <w:rPr>
          <w:rFonts w:ascii="Times" w:hAnsi="Times"/>
          <w:b/>
          <w:bCs/>
          <w:color w:val="131413"/>
        </w:rPr>
      </w:pPr>
    </w:p>
    <w:p w14:paraId="2AC3791C" w14:textId="41E3F2DB" w:rsidR="001A75D7" w:rsidRPr="003218D4" w:rsidRDefault="00B579DA" w:rsidP="00B579DA">
      <w:pPr>
        <w:autoSpaceDE w:val="0"/>
        <w:autoSpaceDN w:val="0"/>
        <w:adjustRightInd w:val="0"/>
        <w:spacing w:line="360" w:lineRule="auto"/>
        <w:jc w:val="both"/>
        <w:rPr>
          <w:rFonts w:asciiTheme="minorHAnsi" w:hAnsiTheme="minorHAnsi" w:cstheme="minorHAnsi"/>
          <w:b/>
          <w:bCs/>
          <w:color w:val="131413"/>
          <w:sz w:val="28"/>
          <w:szCs w:val="28"/>
          <w:lang w:val="en-US"/>
        </w:rPr>
      </w:pPr>
      <w:proofErr w:type="spellStart"/>
      <w:r w:rsidRPr="003218D4">
        <w:rPr>
          <w:rFonts w:asciiTheme="minorHAnsi" w:hAnsiTheme="minorHAnsi" w:cstheme="minorHAnsi"/>
          <w:b/>
          <w:bCs/>
          <w:color w:val="131413"/>
          <w:sz w:val="28"/>
          <w:szCs w:val="28"/>
          <w:lang w:val="en-US"/>
        </w:rPr>
        <w:t>Referencias</w:t>
      </w:r>
      <w:proofErr w:type="spellEnd"/>
    </w:p>
    <w:p w14:paraId="4EDF0953"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Asmelash, A.G. and Kumar, S. (2019). Assessing progress of tourism sustainability: Developing and validating T sustainability indicators. </w:t>
      </w:r>
      <w:r w:rsidRPr="003934FD">
        <w:rPr>
          <w:i/>
          <w:iCs/>
          <w:lang w:val="en-US"/>
        </w:rPr>
        <w:t>Tourism Management</w:t>
      </w:r>
      <w:r w:rsidRPr="003934FD">
        <w:rPr>
          <w:lang w:val="en-US"/>
        </w:rPr>
        <w:t>, 71, 67–83.</w:t>
      </w:r>
    </w:p>
    <w:p w14:paraId="5D7582ED" w14:textId="77777777" w:rsidR="00E80806" w:rsidRPr="003934FD" w:rsidRDefault="00E80806" w:rsidP="00E80806">
      <w:pPr>
        <w:autoSpaceDE w:val="0"/>
        <w:autoSpaceDN w:val="0"/>
        <w:adjustRightInd w:val="0"/>
        <w:spacing w:line="360" w:lineRule="auto"/>
        <w:ind w:left="709" w:hanging="709"/>
        <w:jc w:val="both"/>
        <w:rPr>
          <w:u w:val="single"/>
          <w:lang w:val="en-US"/>
        </w:rPr>
      </w:pPr>
      <w:r w:rsidRPr="003934FD">
        <w:rPr>
          <w:lang w:val="en-US"/>
        </w:rPr>
        <w:t>Avelar, A. B. A. and </w:t>
      </w:r>
      <w:hyperlink r:id="rId9" w:tooltip="Milton Carlos Farina" w:history="1">
        <w:r w:rsidRPr="003934FD">
          <w:rPr>
            <w:lang w:val="en-US"/>
          </w:rPr>
          <w:t>Farina, M. C.</w:t>
        </w:r>
      </w:hyperlink>
      <w:r w:rsidRPr="003934FD">
        <w:rPr>
          <w:lang w:val="en-US"/>
        </w:rPr>
        <w:t xml:space="preserve"> (2022). The relationship between the incorporation of sustainability in higher education and the student’s behavior: </w:t>
      </w:r>
      <w:r w:rsidRPr="00AC1B75">
        <w:rPr>
          <w:lang w:val="en-US"/>
        </w:rPr>
        <w:t>self-reported sustainable behavior scale</w:t>
      </w:r>
      <w:r w:rsidRPr="003934FD">
        <w:rPr>
          <w:i/>
          <w:iCs/>
          <w:lang w:val="en-US"/>
        </w:rPr>
        <w:t>. International Journal of Sustainability in Higher Education</w:t>
      </w:r>
      <w:r w:rsidRPr="003934FD">
        <w:rPr>
          <w:lang w:val="en-US"/>
        </w:rPr>
        <w:t xml:space="preserve">, </w:t>
      </w:r>
      <w:r w:rsidRPr="003934FD">
        <w:rPr>
          <w:i/>
          <w:iCs/>
          <w:lang w:val="en-US"/>
        </w:rPr>
        <w:t>23</w:t>
      </w:r>
      <w:r w:rsidRPr="003934FD">
        <w:rPr>
          <w:lang w:val="en-US"/>
        </w:rPr>
        <w:t xml:space="preserve">(7), 1749-1767. </w:t>
      </w:r>
    </w:p>
    <w:p w14:paraId="002CACC5"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Barney, J. (1991). Firm Resources and Sustained Competitive Advantage. </w:t>
      </w:r>
      <w:r w:rsidRPr="003934FD">
        <w:rPr>
          <w:i/>
          <w:iCs/>
          <w:lang w:val="en-US"/>
        </w:rPr>
        <w:t>J. Manag</w:t>
      </w:r>
      <w:r w:rsidRPr="003934FD">
        <w:rPr>
          <w:lang w:val="en-US"/>
        </w:rPr>
        <w:t xml:space="preserve">., </w:t>
      </w:r>
      <w:r w:rsidRPr="003934FD">
        <w:rPr>
          <w:i/>
          <w:iCs/>
          <w:lang w:val="en-US"/>
        </w:rPr>
        <w:t>17</w:t>
      </w:r>
      <w:r w:rsidRPr="003934FD">
        <w:rPr>
          <w:lang w:val="en-US"/>
        </w:rPr>
        <w:t xml:space="preserve">, 99–120. </w:t>
      </w:r>
    </w:p>
    <w:p w14:paraId="4CECBFE8" w14:textId="77777777" w:rsidR="00E80806" w:rsidRPr="003934FD" w:rsidRDefault="00E80806" w:rsidP="00E80806">
      <w:pPr>
        <w:autoSpaceDE w:val="0"/>
        <w:autoSpaceDN w:val="0"/>
        <w:adjustRightInd w:val="0"/>
        <w:spacing w:line="360" w:lineRule="auto"/>
        <w:ind w:left="709" w:hanging="709"/>
        <w:jc w:val="both"/>
        <w:rPr>
          <w:rStyle w:val="Hipervnculo"/>
          <w:color w:val="auto"/>
          <w:u w:val="none"/>
          <w:lang w:val="en-US"/>
        </w:rPr>
      </w:pPr>
      <w:r w:rsidRPr="003934FD">
        <w:rPr>
          <w:lang w:val="en-US"/>
        </w:rPr>
        <w:t xml:space="preserve">Barney, J., Ketchen, D. J., and Wright, M. (2011). The Future of Resource-Based Theory: Revitalization or Decline? </w:t>
      </w:r>
      <w:r w:rsidRPr="003934FD">
        <w:rPr>
          <w:i/>
          <w:iCs/>
          <w:lang w:val="en-US"/>
        </w:rPr>
        <w:t>Journal of Management</w:t>
      </w:r>
      <w:r w:rsidRPr="003934FD">
        <w:rPr>
          <w:lang w:val="en-US"/>
        </w:rPr>
        <w:t xml:space="preserve">, </w:t>
      </w:r>
      <w:r w:rsidRPr="003934FD">
        <w:rPr>
          <w:i/>
          <w:iCs/>
          <w:lang w:val="en-US"/>
        </w:rPr>
        <w:t>37</w:t>
      </w:r>
      <w:r w:rsidRPr="003934FD">
        <w:rPr>
          <w:lang w:val="en-US"/>
        </w:rPr>
        <w:t>(5), 1299-1315.</w:t>
      </w:r>
    </w:p>
    <w:p w14:paraId="318B05EB"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Chih-Hsing Liu, </w:t>
      </w:r>
      <w:proofErr w:type="spellStart"/>
      <w:r w:rsidRPr="003934FD">
        <w:rPr>
          <w:lang w:val="en-US"/>
        </w:rPr>
        <w:t>Jeou</w:t>
      </w:r>
      <w:proofErr w:type="spellEnd"/>
      <w:r w:rsidRPr="003934FD">
        <w:rPr>
          <w:lang w:val="en-US"/>
        </w:rPr>
        <w:t xml:space="preserve">-Shyan Horng, Sheng-Fang Chou, Tai-Yi Yu, Ming-Tsung Lee, Maria Carmen B. Lapuz. (2023). Digital capability, digital learning, and sustainable </w:t>
      </w:r>
      <w:proofErr w:type="spellStart"/>
      <w:r w:rsidRPr="003934FD">
        <w:rPr>
          <w:lang w:val="en-US"/>
        </w:rPr>
        <w:t>behaviour</w:t>
      </w:r>
      <w:proofErr w:type="spellEnd"/>
      <w:r w:rsidRPr="003934FD">
        <w:rPr>
          <w:lang w:val="en-US"/>
        </w:rPr>
        <w:t xml:space="preserve"> among university students in Taiwan: A comparison design of integrated mediation-moderation models. </w:t>
      </w:r>
      <w:r w:rsidRPr="003934FD">
        <w:rPr>
          <w:i/>
          <w:iCs/>
          <w:lang w:val="en-US"/>
        </w:rPr>
        <w:t>The International Journal of Management Education</w:t>
      </w:r>
      <w:r w:rsidRPr="003934FD">
        <w:rPr>
          <w:lang w:val="en-US"/>
        </w:rPr>
        <w:t xml:space="preserve">, </w:t>
      </w:r>
      <w:r w:rsidRPr="003934FD">
        <w:rPr>
          <w:i/>
          <w:iCs/>
          <w:lang w:val="en-US"/>
        </w:rPr>
        <w:t>21</w:t>
      </w:r>
      <w:r w:rsidRPr="003934FD">
        <w:rPr>
          <w:lang w:val="en-US"/>
        </w:rPr>
        <w:t xml:space="preserve">(3), 1-12. </w:t>
      </w:r>
      <w:hyperlink r:id="rId10" w:history="1">
        <w:r w:rsidRPr="003934FD">
          <w:rPr>
            <w:rStyle w:val="Hipervnculo"/>
            <w:color w:val="auto"/>
            <w:lang w:val="en-US"/>
          </w:rPr>
          <w:t>https://doi.org/10.1016/j.ijme.2023.100835</w:t>
        </w:r>
      </w:hyperlink>
    </w:p>
    <w:p w14:paraId="60AFB162" w14:textId="0B4B69CC" w:rsidR="00E80806" w:rsidRPr="003934FD" w:rsidRDefault="00E80806" w:rsidP="00E80806">
      <w:pPr>
        <w:autoSpaceDE w:val="0"/>
        <w:autoSpaceDN w:val="0"/>
        <w:adjustRightInd w:val="0"/>
        <w:spacing w:line="360" w:lineRule="auto"/>
        <w:ind w:left="709" w:hanging="709"/>
        <w:jc w:val="both"/>
        <w:rPr>
          <w:rStyle w:val="Hipervnculo"/>
          <w:color w:val="auto"/>
          <w:lang w:val="en-US"/>
        </w:rPr>
      </w:pPr>
      <w:r w:rsidRPr="003934FD">
        <w:rPr>
          <w:shd w:val="clear" w:color="auto" w:fill="FFFFFF"/>
          <w:lang w:val="en-US"/>
        </w:rPr>
        <w:t xml:space="preserve">Colquitt, J. A. and Zapata-Phelan, C. P. (2007). Trends in theory building and theory testing: A five-decade study of the Academy of Management </w:t>
      </w:r>
      <w:proofErr w:type="spellStart"/>
      <w:r w:rsidRPr="003934FD">
        <w:rPr>
          <w:shd w:val="clear" w:color="auto" w:fill="FFFFFF"/>
          <w:lang w:val="en-US"/>
        </w:rPr>
        <w:t>Jounal</w:t>
      </w:r>
      <w:proofErr w:type="spellEnd"/>
      <w:r w:rsidR="00AC1B75">
        <w:rPr>
          <w:shd w:val="clear" w:color="auto" w:fill="FFFFFF"/>
          <w:lang w:val="en-US"/>
        </w:rPr>
        <w:t xml:space="preserve">. </w:t>
      </w:r>
      <w:r w:rsidR="00AC1B75" w:rsidRPr="00AC1B75">
        <w:rPr>
          <w:i/>
          <w:iCs/>
          <w:shd w:val="clear" w:color="auto" w:fill="FFFFFF"/>
          <w:lang w:val="en-US"/>
        </w:rPr>
        <w:t xml:space="preserve">Academy of Management </w:t>
      </w:r>
      <w:proofErr w:type="spellStart"/>
      <w:r w:rsidR="00AC1B75" w:rsidRPr="00AC1B75">
        <w:rPr>
          <w:i/>
          <w:iCs/>
          <w:shd w:val="clear" w:color="auto" w:fill="FFFFFF"/>
          <w:lang w:val="en-US"/>
        </w:rPr>
        <w:t>Jounal</w:t>
      </w:r>
      <w:proofErr w:type="spellEnd"/>
      <w:r w:rsidR="00AC1B75">
        <w:rPr>
          <w:shd w:val="clear" w:color="auto" w:fill="FFFFFF"/>
          <w:lang w:val="en-US"/>
        </w:rPr>
        <w:t>,</w:t>
      </w:r>
      <w:r w:rsidRPr="003934FD">
        <w:rPr>
          <w:shd w:val="clear" w:color="auto" w:fill="FFFFFF"/>
          <w:lang w:val="en-US"/>
        </w:rPr>
        <w:t xml:space="preserve"> </w:t>
      </w:r>
      <w:r w:rsidRPr="003934FD">
        <w:rPr>
          <w:i/>
          <w:iCs/>
          <w:shd w:val="clear" w:color="auto" w:fill="FFFFFF"/>
          <w:lang w:val="en-US"/>
        </w:rPr>
        <w:t>50</w:t>
      </w:r>
      <w:r w:rsidRPr="003934FD">
        <w:rPr>
          <w:shd w:val="clear" w:color="auto" w:fill="FFFFFF"/>
          <w:lang w:val="en-US"/>
        </w:rPr>
        <w:t>(6), 1281-103.</w:t>
      </w:r>
    </w:p>
    <w:p w14:paraId="3D15B08E" w14:textId="77777777" w:rsidR="00E80806" w:rsidRPr="003934FD" w:rsidRDefault="00E80806" w:rsidP="00E80806">
      <w:pPr>
        <w:pStyle w:val="Default"/>
        <w:spacing w:line="360" w:lineRule="auto"/>
        <w:ind w:left="709" w:hanging="709"/>
        <w:jc w:val="both"/>
        <w:rPr>
          <w:rFonts w:eastAsia="Times New Roman"/>
          <w:color w:val="auto"/>
          <w:lang w:val="en-US" w:eastAsia="es-MX"/>
          <w14:ligatures w14:val="none"/>
        </w:rPr>
      </w:pPr>
      <w:r w:rsidRPr="003934FD">
        <w:rPr>
          <w:color w:val="auto"/>
          <w:lang w:val="en-US"/>
        </w:rPr>
        <w:t xml:space="preserve">Govindaraju, B., </w:t>
      </w:r>
      <w:proofErr w:type="spellStart"/>
      <w:r w:rsidRPr="003934FD">
        <w:rPr>
          <w:color w:val="auto"/>
          <w:lang w:val="en-US"/>
        </w:rPr>
        <w:t>Jeyasingam</w:t>
      </w:r>
      <w:proofErr w:type="spellEnd"/>
      <w:r w:rsidRPr="003934FD">
        <w:rPr>
          <w:color w:val="auto"/>
          <w:lang w:val="en-US"/>
        </w:rPr>
        <w:t xml:space="preserve">, J., Habib, M., </w:t>
      </w:r>
      <w:proofErr w:type="spellStart"/>
      <w:proofErr w:type="gramStart"/>
      <w:r w:rsidRPr="003934FD">
        <w:rPr>
          <w:color w:val="auto"/>
          <w:lang w:val="en-US"/>
        </w:rPr>
        <w:t>ULetchmana,U</w:t>
      </w:r>
      <w:proofErr w:type="spellEnd"/>
      <w:r w:rsidRPr="003934FD">
        <w:rPr>
          <w:color w:val="auto"/>
          <w:lang w:val="en-US"/>
        </w:rPr>
        <w:t>.</w:t>
      </w:r>
      <w:proofErr w:type="gramEnd"/>
      <w:r w:rsidRPr="003934FD">
        <w:rPr>
          <w:color w:val="auto"/>
          <w:lang w:val="en-US"/>
        </w:rPr>
        <w:t xml:space="preserve">, </w:t>
      </w:r>
      <w:proofErr w:type="spellStart"/>
      <w:r w:rsidRPr="003934FD">
        <w:rPr>
          <w:color w:val="auto"/>
          <w:lang w:val="en-US"/>
        </w:rPr>
        <w:t>SaRatnam</w:t>
      </w:r>
      <w:proofErr w:type="spellEnd"/>
      <w:r w:rsidRPr="003934FD">
        <w:rPr>
          <w:color w:val="auto"/>
          <w:lang w:val="en-US"/>
        </w:rPr>
        <w:t xml:space="preserve">, S. (2019). A </w:t>
      </w:r>
      <w:r w:rsidRPr="003934FD">
        <w:rPr>
          <w:rFonts w:eastAsia="Times New Roman"/>
          <w:color w:val="auto"/>
          <w:lang w:val="en-US" w:eastAsia="es-MX"/>
          <w14:ligatures w14:val="none"/>
        </w:rPr>
        <w:t xml:space="preserve">Structural Equation Model for the Study of Sustainable Performance by Private </w:t>
      </w:r>
      <w:r w:rsidRPr="003934FD">
        <w:rPr>
          <w:rFonts w:eastAsia="Times New Roman"/>
          <w:color w:val="auto"/>
          <w:lang w:val="en-US" w:eastAsia="es-MX"/>
          <w14:ligatures w14:val="none"/>
        </w:rPr>
        <w:lastRenderedPageBreak/>
        <w:t xml:space="preserve">Universities in Malaysia. </w:t>
      </w:r>
      <w:r w:rsidRPr="003934FD">
        <w:rPr>
          <w:rFonts w:eastAsia="Times New Roman"/>
          <w:i/>
          <w:iCs/>
          <w:color w:val="auto"/>
          <w:lang w:val="en-US" w:eastAsia="es-MX"/>
          <w14:ligatures w14:val="none"/>
        </w:rPr>
        <w:t>International Journal of Supply Chain Management</w:t>
      </w:r>
      <w:r w:rsidRPr="003934FD">
        <w:rPr>
          <w:rFonts w:eastAsia="Times New Roman"/>
          <w:color w:val="auto"/>
          <w:lang w:val="en-US" w:eastAsia="es-MX"/>
          <w14:ligatures w14:val="none"/>
        </w:rPr>
        <w:t xml:space="preserve">, </w:t>
      </w:r>
      <w:r w:rsidRPr="003934FD">
        <w:rPr>
          <w:rFonts w:eastAsia="Times New Roman"/>
          <w:i/>
          <w:iCs/>
          <w:color w:val="auto"/>
          <w:lang w:val="en-US" w:eastAsia="es-MX"/>
          <w14:ligatures w14:val="none"/>
        </w:rPr>
        <w:t>8</w:t>
      </w:r>
      <w:r w:rsidRPr="003934FD">
        <w:rPr>
          <w:rFonts w:eastAsia="Times New Roman"/>
          <w:color w:val="auto"/>
          <w:lang w:val="en-US" w:eastAsia="es-MX"/>
          <w14:ligatures w14:val="none"/>
        </w:rPr>
        <w:t>(1), 32-42.</w:t>
      </w:r>
    </w:p>
    <w:p w14:paraId="04230391" w14:textId="77777777" w:rsidR="00E80806" w:rsidRPr="003934FD" w:rsidRDefault="00E80806" w:rsidP="00E80806">
      <w:pPr>
        <w:pStyle w:val="Default"/>
        <w:spacing w:line="360" w:lineRule="auto"/>
        <w:ind w:left="709" w:hanging="709"/>
        <w:jc w:val="both"/>
        <w:rPr>
          <w:rFonts w:eastAsia="Times New Roman"/>
          <w:color w:val="auto"/>
          <w:lang w:val="en-US" w:eastAsia="es-MX"/>
          <w14:ligatures w14:val="none"/>
        </w:rPr>
      </w:pPr>
      <w:r w:rsidRPr="003934FD">
        <w:rPr>
          <w:rFonts w:eastAsia="Times New Roman"/>
          <w:color w:val="auto"/>
          <w:lang w:val="en-US" w:eastAsia="es-MX"/>
          <w14:ligatures w14:val="none"/>
        </w:rPr>
        <w:t xml:space="preserve">Hair, J., Hult, G., Ringle, C. and Sarstedt, M. (2022). </w:t>
      </w:r>
      <w:r w:rsidRPr="003934FD">
        <w:rPr>
          <w:rFonts w:eastAsia="Times New Roman"/>
          <w:i/>
          <w:iCs/>
          <w:color w:val="auto"/>
          <w:lang w:val="en-US" w:eastAsia="es-MX"/>
          <w14:ligatures w14:val="none"/>
        </w:rPr>
        <w:t>A primer on partial least squares structural equation modeling (PLS-SEM)</w:t>
      </w:r>
      <w:r w:rsidRPr="003934FD">
        <w:rPr>
          <w:rFonts w:eastAsia="Times New Roman"/>
          <w:color w:val="auto"/>
          <w:lang w:val="en-US" w:eastAsia="es-MX"/>
          <w14:ligatures w14:val="none"/>
        </w:rPr>
        <w:t xml:space="preserve"> (3</w:t>
      </w:r>
      <w:r w:rsidRPr="003934FD">
        <w:rPr>
          <w:rFonts w:eastAsia="Times New Roman"/>
          <w:color w:val="auto"/>
          <w:vertAlign w:val="superscript"/>
          <w:lang w:val="en-US" w:eastAsia="es-MX"/>
          <w14:ligatures w14:val="none"/>
        </w:rPr>
        <w:t>rd</w:t>
      </w:r>
      <w:r w:rsidRPr="003934FD">
        <w:rPr>
          <w:rFonts w:eastAsia="Times New Roman"/>
          <w:color w:val="auto"/>
          <w:lang w:val="en-US" w:eastAsia="es-MX"/>
          <w14:ligatures w14:val="none"/>
        </w:rPr>
        <w:t xml:space="preserve"> ed.). Sage: Thousand Oaks.</w:t>
      </w:r>
    </w:p>
    <w:p w14:paraId="4E4C8C32" w14:textId="77777777" w:rsidR="00E80806" w:rsidRPr="003934FD" w:rsidRDefault="00E80806" w:rsidP="00E80806">
      <w:pPr>
        <w:pStyle w:val="Default"/>
        <w:spacing w:line="360" w:lineRule="auto"/>
        <w:ind w:left="709" w:hanging="709"/>
        <w:jc w:val="both"/>
        <w:rPr>
          <w:rFonts w:eastAsia="Times New Roman"/>
          <w:color w:val="auto"/>
          <w:lang w:val="en-US" w:eastAsia="es-MX"/>
          <w14:ligatures w14:val="none"/>
        </w:rPr>
      </w:pPr>
      <w:r w:rsidRPr="003934FD">
        <w:rPr>
          <w:rFonts w:eastAsia="Times New Roman"/>
          <w:color w:val="auto"/>
          <w:lang w:val="en-US" w:eastAsia="es-MX"/>
          <w14:ligatures w14:val="none"/>
        </w:rPr>
        <w:t xml:space="preserve">Henseler, J. (2018). Partial least squares path modeling: Quo </w:t>
      </w:r>
      <w:proofErr w:type="spellStart"/>
      <w:r w:rsidRPr="003934FD">
        <w:rPr>
          <w:rFonts w:eastAsia="Times New Roman"/>
          <w:color w:val="auto"/>
          <w:lang w:val="en-US" w:eastAsia="es-MX"/>
          <w14:ligatures w14:val="none"/>
        </w:rPr>
        <w:t>vadis</w:t>
      </w:r>
      <w:proofErr w:type="spellEnd"/>
      <w:r w:rsidRPr="003934FD">
        <w:rPr>
          <w:rFonts w:eastAsia="Times New Roman"/>
          <w:color w:val="auto"/>
          <w:lang w:val="en-US" w:eastAsia="es-MX"/>
          <w14:ligatures w14:val="none"/>
        </w:rPr>
        <w:t xml:space="preserve">? </w:t>
      </w:r>
      <w:r w:rsidRPr="003934FD">
        <w:rPr>
          <w:rFonts w:eastAsia="Times New Roman"/>
          <w:i/>
          <w:iCs/>
          <w:color w:val="auto"/>
          <w:lang w:val="en-US" w:eastAsia="es-MX"/>
          <w14:ligatures w14:val="none"/>
        </w:rPr>
        <w:t>Qual. Quant</w:t>
      </w:r>
      <w:r w:rsidRPr="003934FD">
        <w:rPr>
          <w:rFonts w:eastAsia="Times New Roman"/>
          <w:color w:val="auto"/>
          <w:lang w:val="en-US" w:eastAsia="es-MX"/>
          <w14:ligatures w14:val="none"/>
        </w:rPr>
        <w:t xml:space="preserve">., </w:t>
      </w:r>
      <w:r w:rsidRPr="003934FD">
        <w:rPr>
          <w:rFonts w:eastAsia="Times New Roman"/>
          <w:i/>
          <w:iCs/>
          <w:color w:val="auto"/>
          <w:lang w:val="en-US" w:eastAsia="es-MX"/>
          <w14:ligatures w14:val="none"/>
        </w:rPr>
        <w:t>52</w:t>
      </w:r>
      <w:r w:rsidRPr="003934FD">
        <w:rPr>
          <w:rFonts w:eastAsia="Times New Roman"/>
          <w:color w:val="auto"/>
          <w:lang w:val="en-US" w:eastAsia="es-MX"/>
          <w14:ligatures w14:val="none"/>
        </w:rPr>
        <w:t>, 1–8.</w:t>
      </w:r>
    </w:p>
    <w:p w14:paraId="69AB2EAE"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Lim, C. K., </w:t>
      </w:r>
      <w:proofErr w:type="spellStart"/>
      <w:r w:rsidRPr="003934FD">
        <w:rPr>
          <w:lang w:val="en-US"/>
        </w:rPr>
        <w:t>Haufiku</w:t>
      </w:r>
      <w:proofErr w:type="spellEnd"/>
      <w:r w:rsidRPr="003934FD">
        <w:rPr>
          <w:lang w:val="en-US"/>
        </w:rPr>
        <w:t xml:space="preserve">, M. S., Tan, K. L., Farid Ahmed, M. and Ng, T. F. (2022). Systematic Review of Education Sustainable Development in Higher Education Institutions. </w:t>
      </w:r>
      <w:r w:rsidRPr="003934FD">
        <w:rPr>
          <w:i/>
          <w:iCs/>
          <w:lang w:val="en-US"/>
        </w:rPr>
        <w:t>Sustainability</w:t>
      </w:r>
      <w:r w:rsidRPr="003934FD">
        <w:rPr>
          <w:lang w:val="en-US"/>
        </w:rPr>
        <w:t xml:space="preserve">, </w:t>
      </w:r>
      <w:r w:rsidRPr="003934FD">
        <w:rPr>
          <w:i/>
          <w:iCs/>
          <w:lang w:val="en-US"/>
        </w:rPr>
        <w:t>14</w:t>
      </w:r>
      <w:r w:rsidRPr="003934FD">
        <w:rPr>
          <w:lang w:val="en-US"/>
        </w:rPr>
        <w:t>, 13241, 1-22.</w:t>
      </w:r>
    </w:p>
    <w:p w14:paraId="672AC537"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Mohammadi, Y., </w:t>
      </w:r>
      <w:proofErr w:type="spellStart"/>
      <w:r w:rsidRPr="003934FD">
        <w:rPr>
          <w:lang w:val="en-US"/>
        </w:rPr>
        <w:t>Monavvarifard</w:t>
      </w:r>
      <w:proofErr w:type="spellEnd"/>
      <w:r w:rsidRPr="003934FD">
        <w:rPr>
          <w:lang w:val="en-US"/>
        </w:rPr>
        <w:t xml:space="preserve">, F., Salehi, L., Movahedi, R., Karimi, S., </w:t>
      </w:r>
      <w:proofErr w:type="spellStart"/>
      <w:r w:rsidRPr="003934FD">
        <w:rPr>
          <w:lang w:val="en-US"/>
        </w:rPr>
        <w:t>Liobikien</w:t>
      </w:r>
      <w:proofErr w:type="spellEnd"/>
      <w:r w:rsidRPr="003934FD">
        <w:rPr>
          <w:lang w:val="en-US"/>
        </w:rPr>
        <w:t>˙ E,</w:t>
      </w:r>
    </w:p>
    <w:p w14:paraId="6EDCC06B"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OCDE (2017). </w:t>
      </w:r>
      <w:r w:rsidRPr="003934FD">
        <w:rPr>
          <w:i/>
          <w:iCs/>
          <w:lang w:val="en-US"/>
        </w:rPr>
        <w:t>Better Life Index – Organization for Economic Co-operation and Development</w:t>
      </w:r>
      <w:r w:rsidRPr="003934FD">
        <w:rPr>
          <w:lang w:val="en-US"/>
        </w:rPr>
        <w:t xml:space="preserve">. </w:t>
      </w:r>
      <w:hyperlink r:id="rId11" w:history="1">
        <w:r w:rsidRPr="003934FD">
          <w:rPr>
            <w:rStyle w:val="Hipervnculo"/>
            <w:lang w:val="en-US"/>
          </w:rPr>
          <w:t>http://www.oecdbetterlifeindex.org</w:t>
        </w:r>
      </w:hyperlink>
    </w:p>
    <w:p w14:paraId="25CEC93A" w14:textId="6726700E"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Park, J. and Savelyeva, T. (2022). An interpretive analysis of the 2030 Sustainable Development Goals in Hong Kong public universities. </w:t>
      </w:r>
      <w:r w:rsidRPr="003934FD">
        <w:rPr>
          <w:i/>
          <w:iCs/>
          <w:lang w:val="en-US"/>
        </w:rPr>
        <w:t>Asia Pacific Educ. Rev.</w:t>
      </w:r>
      <w:r w:rsidR="00AC1B75">
        <w:rPr>
          <w:lang w:val="en-US"/>
        </w:rPr>
        <w:t>,</w:t>
      </w:r>
      <w:r w:rsidRPr="003934FD">
        <w:rPr>
          <w:lang w:val="en-US"/>
        </w:rPr>
        <w:t xml:space="preserve"> 23, 543–558. </w:t>
      </w:r>
    </w:p>
    <w:p w14:paraId="090A6F65"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Sharma, S., Prakash, G., Kumar, A., </w:t>
      </w:r>
      <w:proofErr w:type="spellStart"/>
      <w:r w:rsidRPr="003934FD">
        <w:rPr>
          <w:lang w:val="en-US"/>
        </w:rPr>
        <w:t>Mussada</w:t>
      </w:r>
      <w:proofErr w:type="spellEnd"/>
      <w:r w:rsidRPr="003934FD">
        <w:rPr>
          <w:lang w:val="en-US"/>
        </w:rPr>
        <w:t xml:space="preserve">, E. K., Antony, J., Luthra, S. (2021). Analyzing the relationship of adaption of green culture, innovation, green performance for achieving sustainability: Mediating role of employee commitment. </w:t>
      </w:r>
      <w:r w:rsidRPr="003934FD">
        <w:rPr>
          <w:i/>
          <w:iCs/>
          <w:lang w:val="en-US"/>
        </w:rPr>
        <w:t>Journal of Cleaner Production</w:t>
      </w:r>
      <w:r w:rsidRPr="003934FD">
        <w:rPr>
          <w:lang w:val="en-US"/>
        </w:rPr>
        <w:t xml:space="preserve">, </w:t>
      </w:r>
      <w:r w:rsidRPr="003934FD">
        <w:rPr>
          <w:i/>
          <w:iCs/>
          <w:lang w:val="en-US"/>
        </w:rPr>
        <w:t>303</w:t>
      </w:r>
      <w:r w:rsidRPr="003934FD">
        <w:rPr>
          <w:lang w:val="en-US"/>
        </w:rPr>
        <w:t xml:space="preserve">, 1-11. </w:t>
      </w:r>
    </w:p>
    <w:p w14:paraId="70602771" w14:textId="77777777" w:rsidR="00E80806" w:rsidRPr="003934FD" w:rsidRDefault="00E80806" w:rsidP="00E80806">
      <w:pPr>
        <w:autoSpaceDE w:val="0"/>
        <w:autoSpaceDN w:val="0"/>
        <w:adjustRightInd w:val="0"/>
        <w:spacing w:line="360" w:lineRule="auto"/>
        <w:ind w:left="709" w:hanging="709"/>
        <w:jc w:val="both"/>
        <w:rPr>
          <w:lang w:val="en-US"/>
        </w:rPr>
      </w:pPr>
      <w:proofErr w:type="spellStart"/>
      <w:r w:rsidRPr="003934FD">
        <w:rPr>
          <w:lang w:val="en-US"/>
        </w:rPr>
        <w:t>Sulphey</w:t>
      </w:r>
      <w:proofErr w:type="spellEnd"/>
      <w:r w:rsidRPr="003934FD">
        <w:rPr>
          <w:lang w:val="en-US"/>
        </w:rPr>
        <w:t xml:space="preserve">, M. M., </w:t>
      </w:r>
      <w:proofErr w:type="spellStart"/>
      <w:r w:rsidRPr="003934FD">
        <w:rPr>
          <w:lang w:val="en-US"/>
        </w:rPr>
        <w:t>AlKahtani</w:t>
      </w:r>
      <w:proofErr w:type="spellEnd"/>
      <w:r w:rsidRPr="003934FD">
        <w:rPr>
          <w:lang w:val="en-US"/>
        </w:rPr>
        <w:t xml:space="preserve">, N. S., Senan, N. and Adow, A. (2023). New Environmental Paradigm, Environmental Attitude, and </w:t>
      </w:r>
      <w:proofErr w:type="spellStart"/>
      <w:r w:rsidRPr="003934FD">
        <w:rPr>
          <w:lang w:val="en-US"/>
        </w:rPr>
        <w:t>Proenvironmental</w:t>
      </w:r>
      <w:proofErr w:type="spellEnd"/>
      <w:r w:rsidRPr="003934FD">
        <w:rPr>
          <w:lang w:val="en-US"/>
        </w:rPr>
        <w:t xml:space="preserve"> </w:t>
      </w:r>
      <w:proofErr w:type="spellStart"/>
      <w:r w:rsidRPr="003934FD">
        <w:rPr>
          <w:lang w:val="en-US"/>
        </w:rPr>
        <w:t>Behaviour</w:t>
      </w:r>
      <w:proofErr w:type="spellEnd"/>
      <w:r w:rsidRPr="003934FD">
        <w:rPr>
          <w:lang w:val="en-US"/>
        </w:rPr>
        <w:t xml:space="preserve"> as Antecedents of Environmental Sustainability. </w:t>
      </w:r>
      <w:r w:rsidRPr="003934FD">
        <w:rPr>
          <w:i/>
          <w:iCs/>
          <w:lang w:val="en-US"/>
        </w:rPr>
        <w:t>International Journal of Energy Economics and Policy</w:t>
      </w:r>
      <w:r w:rsidRPr="003934FD">
        <w:rPr>
          <w:lang w:val="en-US"/>
        </w:rPr>
        <w:t xml:space="preserve">, </w:t>
      </w:r>
      <w:r w:rsidRPr="003934FD">
        <w:rPr>
          <w:i/>
          <w:iCs/>
          <w:lang w:val="en-US"/>
        </w:rPr>
        <w:t>13</w:t>
      </w:r>
      <w:r w:rsidRPr="003934FD">
        <w:rPr>
          <w:lang w:val="en-US"/>
        </w:rPr>
        <w:t>(3), 418-427.</w:t>
      </w:r>
    </w:p>
    <w:p w14:paraId="33D60B45"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Varela-</w:t>
      </w:r>
      <w:proofErr w:type="spellStart"/>
      <w:r w:rsidRPr="003934FD">
        <w:rPr>
          <w:lang w:val="en-US"/>
        </w:rPr>
        <w:t>Candamio</w:t>
      </w:r>
      <w:proofErr w:type="spellEnd"/>
      <w:r w:rsidRPr="003934FD">
        <w:rPr>
          <w:lang w:val="en-US"/>
        </w:rPr>
        <w:t xml:space="preserve">, L., Novo-Corti, I. and García-Álvarez, M. T. (2018). The importance of environmental education in the determinants of green behavior: A meta-analysis approach. </w:t>
      </w:r>
      <w:r w:rsidRPr="003934FD">
        <w:rPr>
          <w:i/>
          <w:iCs/>
          <w:lang w:val="en-US"/>
        </w:rPr>
        <w:t>Journal of Cleaner Production</w:t>
      </w:r>
      <w:r w:rsidRPr="003934FD">
        <w:rPr>
          <w:lang w:val="en-US"/>
        </w:rPr>
        <w:t xml:space="preserve">, </w:t>
      </w:r>
      <w:r w:rsidRPr="003934FD">
        <w:rPr>
          <w:i/>
          <w:iCs/>
          <w:lang w:val="en-US"/>
        </w:rPr>
        <w:t>170</w:t>
      </w:r>
      <w:r w:rsidRPr="003934FD">
        <w:rPr>
          <w:lang w:val="en-US"/>
        </w:rPr>
        <w:t>, 1565–1578.</w:t>
      </w:r>
    </w:p>
    <w:p w14:paraId="357B1B3A"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Wernerfelt, B. A. (1984). Resource-based view of the firm. </w:t>
      </w:r>
      <w:proofErr w:type="spellStart"/>
      <w:r w:rsidRPr="003934FD">
        <w:rPr>
          <w:i/>
          <w:iCs/>
          <w:lang w:val="en-US"/>
        </w:rPr>
        <w:t>Strateg</w:t>
      </w:r>
      <w:proofErr w:type="spellEnd"/>
      <w:r w:rsidRPr="003934FD">
        <w:rPr>
          <w:i/>
          <w:iCs/>
          <w:lang w:val="en-US"/>
        </w:rPr>
        <w:t>. Manag</w:t>
      </w:r>
      <w:r w:rsidRPr="003934FD">
        <w:rPr>
          <w:lang w:val="en-US"/>
        </w:rPr>
        <w:t xml:space="preserve">. </w:t>
      </w:r>
      <w:r w:rsidRPr="003934FD">
        <w:rPr>
          <w:i/>
          <w:iCs/>
          <w:lang w:val="en-US"/>
        </w:rPr>
        <w:t>J</w:t>
      </w:r>
      <w:r w:rsidRPr="003934FD">
        <w:rPr>
          <w:lang w:val="en-US"/>
        </w:rPr>
        <w:t xml:space="preserve">., </w:t>
      </w:r>
      <w:r w:rsidRPr="003934FD">
        <w:rPr>
          <w:i/>
          <w:iCs/>
          <w:lang w:val="en-US"/>
        </w:rPr>
        <w:t>5</w:t>
      </w:r>
      <w:r w:rsidRPr="003934FD">
        <w:rPr>
          <w:lang w:val="en-US"/>
        </w:rPr>
        <w:t>, 171–180.</w:t>
      </w:r>
    </w:p>
    <w:p w14:paraId="4ED04CA5" w14:textId="77777777" w:rsidR="00E80806" w:rsidRPr="003934FD" w:rsidRDefault="00E80806" w:rsidP="00E80806">
      <w:pPr>
        <w:autoSpaceDE w:val="0"/>
        <w:autoSpaceDN w:val="0"/>
        <w:adjustRightInd w:val="0"/>
        <w:spacing w:line="360" w:lineRule="auto"/>
        <w:ind w:left="709" w:hanging="709"/>
        <w:jc w:val="both"/>
        <w:rPr>
          <w:lang w:val="en-US"/>
        </w:rPr>
      </w:pPr>
      <w:r w:rsidRPr="003934FD">
        <w:rPr>
          <w:lang w:val="en-US"/>
        </w:rPr>
        <w:t xml:space="preserve">Xu, X. S., Xu, A., Lin, W., Chen, Y., Liu, S., and Xu, W. (2020). Environmental Leadership, Green Innovation Practices, Environmental Knowledge Learning, and Firm Performance. </w:t>
      </w:r>
      <w:r w:rsidRPr="003934FD">
        <w:rPr>
          <w:i/>
          <w:iCs/>
          <w:lang w:val="en-US"/>
        </w:rPr>
        <w:t>SAGE Open</w:t>
      </w:r>
      <w:r w:rsidRPr="003934FD">
        <w:rPr>
          <w:lang w:val="en-US"/>
        </w:rPr>
        <w:t xml:space="preserve">, </w:t>
      </w:r>
      <w:r w:rsidRPr="003934FD">
        <w:rPr>
          <w:i/>
          <w:iCs/>
          <w:lang w:val="en-US"/>
        </w:rPr>
        <w:t>10</w:t>
      </w:r>
      <w:r w:rsidRPr="003934FD">
        <w:rPr>
          <w:lang w:val="en-US"/>
        </w:rPr>
        <w:t>(2), 1-14.</w:t>
      </w:r>
    </w:p>
    <w:p w14:paraId="28194835" w14:textId="77777777" w:rsidR="00E80806" w:rsidRPr="00B27DB8" w:rsidRDefault="00E80806" w:rsidP="00E80806">
      <w:pPr>
        <w:autoSpaceDE w:val="0"/>
        <w:autoSpaceDN w:val="0"/>
        <w:adjustRightInd w:val="0"/>
        <w:spacing w:line="360" w:lineRule="auto"/>
        <w:ind w:left="709" w:hanging="709"/>
        <w:jc w:val="both"/>
        <w:rPr>
          <w:lang w:val="en-US"/>
        </w:rPr>
      </w:pPr>
      <w:r w:rsidRPr="003934FD">
        <w:rPr>
          <w:lang w:val="en-US"/>
        </w:rPr>
        <w:t>Zhong, Z., Feng, F., Li, J., Liu, X., Cao, Y. and Liao (2022). Making university and curricular sustainable entrepreneurship: a case study of Tsinghua University. </w:t>
      </w:r>
      <w:r w:rsidRPr="003934FD">
        <w:rPr>
          <w:i/>
          <w:iCs/>
          <w:lang w:val="en-US"/>
        </w:rPr>
        <w:t xml:space="preserve">Asia Pacific Education Review, </w:t>
      </w:r>
      <w:r w:rsidRPr="00AC1B75">
        <w:rPr>
          <w:i/>
          <w:iCs/>
          <w:lang w:val="en-US"/>
        </w:rPr>
        <w:t>23</w:t>
      </w:r>
      <w:r w:rsidRPr="003934FD">
        <w:rPr>
          <w:lang w:val="en-US"/>
        </w:rPr>
        <w:t>, 559–569.</w:t>
      </w:r>
      <w:r w:rsidRPr="00B27DB8">
        <w:rPr>
          <w:lang w:val="en-US"/>
        </w:rPr>
        <w:t xml:space="preserve"> </w:t>
      </w:r>
    </w:p>
    <w:p w14:paraId="6CF3F32A" w14:textId="77777777" w:rsidR="00E80806" w:rsidRPr="00B27DB8" w:rsidRDefault="00E80806" w:rsidP="00E80806">
      <w:pPr>
        <w:autoSpaceDE w:val="0"/>
        <w:autoSpaceDN w:val="0"/>
        <w:adjustRightInd w:val="0"/>
        <w:spacing w:line="360" w:lineRule="auto"/>
        <w:ind w:left="709" w:hanging="709"/>
        <w:jc w:val="both"/>
        <w:rPr>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60538" w:rsidRPr="00160538" w14:paraId="76C2A559" w14:textId="77777777" w:rsidTr="00160538">
        <w:trPr>
          <w:jc w:val="center"/>
        </w:trPr>
        <w:tc>
          <w:tcPr>
            <w:tcW w:w="3045" w:type="dxa"/>
            <w:shd w:val="clear" w:color="auto" w:fill="auto"/>
            <w:tcMar>
              <w:top w:w="100" w:type="dxa"/>
              <w:left w:w="100" w:type="dxa"/>
              <w:bottom w:w="100" w:type="dxa"/>
              <w:right w:w="100" w:type="dxa"/>
            </w:tcMar>
          </w:tcPr>
          <w:p w14:paraId="5B453246" w14:textId="77777777" w:rsidR="00160538" w:rsidRPr="00160538" w:rsidRDefault="00160538" w:rsidP="007F147A">
            <w:pPr>
              <w:pStyle w:val="Ttulo3"/>
              <w:widowControl w:val="0"/>
              <w:spacing w:before="0"/>
              <w:rPr>
                <w:rFonts w:ascii="Times New Roman" w:hAnsi="Times New Roman" w:cs="Times New Roman"/>
                <w:color w:val="auto"/>
              </w:rPr>
            </w:pPr>
            <w:r w:rsidRPr="00160538">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08A6817F" w14:textId="2FDBD7EA" w:rsidR="00160538" w:rsidRPr="00160538" w:rsidRDefault="00160538" w:rsidP="007F147A">
            <w:pPr>
              <w:pStyle w:val="Ttulo3"/>
              <w:widowControl w:val="0"/>
              <w:spacing w:before="0"/>
              <w:rPr>
                <w:rFonts w:ascii="Times New Roman" w:hAnsi="Times New Roman" w:cs="Times New Roman"/>
                <w:color w:val="auto"/>
              </w:rPr>
            </w:pPr>
            <w:bookmarkStart w:id="0" w:name="_btsjgdfgjwkr" w:colFirst="0" w:colLast="0"/>
            <w:bookmarkEnd w:id="0"/>
            <w:r>
              <w:rPr>
                <w:rFonts w:ascii="Times New Roman" w:hAnsi="Times New Roman" w:cs="Times New Roman"/>
                <w:color w:val="auto"/>
              </w:rPr>
              <w:t>Autor (es)</w:t>
            </w:r>
          </w:p>
        </w:tc>
      </w:tr>
      <w:tr w:rsidR="00160538" w:rsidRPr="00160538" w14:paraId="05492124" w14:textId="77777777" w:rsidTr="00160538">
        <w:trPr>
          <w:jc w:val="center"/>
        </w:trPr>
        <w:tc>
          <w:tcPr>
            <w:tcW w:w="3045" w:type="dxa"/>
            <w:shd w:val="clear" w:color="auto" w:fill="auto"/>
            <w:tcMar>
              <w:top w:w="100" w:type="dxa"/>
              <w:left w:w="100" w:type="dxa"/>
              <w:bottom w:w="100" w:type="dxa"/>
              <w:right w:w="100" w:type="dxa"/>
            </w:tcMar>
          </w:tcPr>
          <w:p w14:paraId="244E3AB9" w14:textId="77777777" w:rsidR="00160538" w:rsidRPr="00160538" w:rsidRDefault="00160538" w:rsidP="007F147A">
            <w:pPr>
              <w:widowControl w:val="0"/>
            </w:pPr>
            <w:r w:rsidRPr="00160538">
              <w:t>Conceptualización</w:t>
            </w:r>
          </w:p>
        </w:tc>
        <w:tc>
          <w:tcPr>
            <w:tcW w:w="6315" w:type="dxa"/>
            <w:shd w:val="clear" w:color="auto" w:fill="auto"/>
            <w:tcMar>
              <w:top w:w="100" w:type="dxa"/>
              <w:left w:w="100" w:type="dxa"/>
              <w:bottom w:w="100" w:type="dxa"/>
              <w:right w:w="100" w:type="dxa"/>
            </w:tcMar>
          </w:tcPr>
          <w:p w14:paraId="682F9A8E" w14:textId="77777777" w:rsidR="00160538" w:rsidRPr="00160538" w:rsidRDefault="00160538" w:rsidP="007F147A">
            <w:pPr>
              <w:widowControl w:val="0"/>
            </w:pPr>
            <w:r w:rsidRPr="00160538">
              <w:t xml:space="preserve">Minerva Martínez </w:t>
            </w:r>
            <w:proofErr w:type="spellStart"/>
            <w:r w:rsidRPr="00160538">
              <w:t>Avila</w:t>
            </w:r>
            <w:proofErr w:type="spellEnd"/>
            <w:r w:rsidRPr="00160538">
              <w:t>.</w:t>
            </w:r>
          </w:p>
        </w:tc>
      </w:tr>
      <w:tr w:rsidR="00160538" w:rsidRPr="00160538" w14:paraId="022C19D7" w14:textId="77777777" w:rsidTr="00160538">
        <w:trPr>
          <w:jc w:val="center"/>
        </w:trPr>
        <w:tc>
          <w:tcPr>
            <w:tcW w:w="3045" w:type="dxa"/>
            <w:shd w:val="clear" w:color="auto" w:fill="auto"/>
            <w:tcMar>
              <w:top w:w="100" w:type="dxa"/>
              <w:left w:w="100" w:type="dxa"/>
              <w:bottom w:w="100" w:type="dxa"/>
              <w:right w:w="100" w:type="dxa"/>
            </w:tcMar>
          </w:tcPr>
          <w:p w14:paraId="6189169A" w14:textId="77777777" w:rsidR="00160538" w:rsidRPr="00160538" w:rsidRDefault="00160538" w:rsidP="007F147A">
            <w:pPr>
              <w:widowControl w:val="0"/>
            </w:pPr>
            <w:r w:rsidRPr="00160538">
              <w:t>Metodología</w:t>
            </w:r>
          </w:p>
        </w:tc>
        <w:tc>
          <w:tcPr>
            <w:tcW w:w="6315" w:type="dxa"/>
            <w:shd w:val="clear" w:color="auto" w:fill="auto"/>
            <w:tcMar>
              <w:top w:w="100" w:type="dxa"/>
              <w:left w:w="100" w:type="dxa"/>
              <w:bottom w:w="100" w:type="dxa"/>
              <w:right w:w="100" w:type="dxa"/>
            </w:tcMar>
          </w:tcPr>
          <w:p w14:paraId="6334F872" w14:textId="77777777" w:rsidR="00160538" w:rsidRPr="00160538" w:rsidRDefault="00160538" w:rsidP="007F147A">
            <w:pPr>
              <w:widowControl w:val="0"/>
            </w:pPr>
            <w:r w:rsidRPr="00160538">
              <w:t xml:space="preserve">Minerva Martínez </w:t>
            </w:r>
            <w:proofErr w:type="spellStart"/>
            <w:r w:rsidRPr="00160538">
              <w:t>Avila</w:t>
            </w:r>
            <w:proofErr w:type="spellEnd"/>
            <w:r w:rsidRPr="00160538">
              <w:t>.</w:t>
            </w:r>
          </w:p>
        </w:tc>
      </w:tr>
      <w:tr w:rsidR="00160538" w:rsidRPr="00160538" w14:paraId="7F34F128" w14:textId="77777777" w:rsidTr="00160538">
        <w:trPr>
          <w:jc w:val="center"/>
        </w:trPr>
        <w:tc>
          <w:tcPr>
            <w:tcW w:w="3045" w:type="dxa"/>
            <w:shd w:val="clear" w:color="auto" w:fill="auto"/>
            <w:tcMar>
              <w:top w:w="100" w:type="dxa"/>
              <w:left w:w="100" w:type="dxa"/>
              <w:bottom w:w="100" w:type="dxa"/>
              <w:right w:w="100" w:type="dxa"/>
            </w:tcMar>
          </w:tcPr>
          <w:p w14:paraId="70E7FA36" w14:textId="77777777" w:rsidR="00160538" w:rsidRPr="00160538" w:rsidRDefault="00160538" w:rsidP="007F147A">
            <w:pPr>
              <w:widowControl w:val="0"/>
            </w:pPr>
            <w:r w:rsidRPr="00160538">
              <w:t>Software</w:t>
            </w:r>
          </w:p>
        </w:tc>
        <w:tc>
          <w:tcPr>
            <w:tcW w:w="6315" w:type="dxa"/>
            <w:shd w:val="clear" w:color="auto" w:fill="auto"/>
            <w:tcMar>
              <w:top w:w="100" w:type="dxa"/>
              <w:left w:w="100" w:type="dxa"/>
              <w:bottom w:w="100" w:type="dxa"/>
              <w:right w:w="100" w:type="dxa"/>
            </w:tcMar>
          </w:tcPr>
          <w:p w14:paraId="0E76D0CD" w14:textId="77777777" w:rsidR="00160538" w:rsidRPr="00160538" w:rsidRDefault="00160538" w:rsidP="007F147A">
            <w:pPr>
              <w:widowControl w:val="0"/>
            </w:pPr>
            <w:r w:rsidRPr="00160538">
              <w:t xml:space="preserve">Minerva </w:t>
            </w:r>
            <w:proofErr w:type="spellStart"/>
            <w:r w:rsidRPr="00160538">
              <w:t>Martinez</w:t>
            </w:r>
            <w:proofErr w:type="spellEnd"/>
            <w:r w:rsidRPr="00160538">
              <w:t xml:space="preserve"> </w:t>
            </w:r>
            <w:proofErr w:type="spellStart"/>
            <w:r w:rsidRPr="00160538">
              <w:t>Avila</w:t>
            </w:r>
            <w:proofErr w:type="spellEnd"/>
            <w:r w:rsidRPr="00160538">
              <w:t>.</w:t>
            </w:r>
          </w:p>
        </w:tc>
      </w:tr>
      <w:tr w:rsidR="00160538" w:rsidRPr="00160538" w14:paraId="2DE873BB" w14:textId="77777777" w:rsidTr="00160538">
        <w:trPr>
          <w:jc w:val="center"/>
        </w:trPr>
        <w:tc>
          <w:tcPr>
            <w:tcW w:w="3045" w:type="dxa"/>
            <w:shd w:val="clear" w:color="auto" w:fill="auto"/>
            <w:tcMar>
              <w:top w:w="100" w:type="dxa"/>
              <w:left w:w="100" w:type="dxa"/>
              <w:bottom w:w="100" w:type="dxa"/>
              <w:right w:w="100" w:type="dxa"/>
            </w:tcMar>
          </w:tcPr>
          <w:p w14:paraId="2D147D93" w14:textId="77777777" w:rsidR="00160538" w:rsidRPr="00160538" w:rsidRDefault="00160538" w:rsidP="007F147A">
            <w:pPr>
              <w:widowControl w:val="0"/>
            </w:pPr>
            <w:r w:rsidRPr="00160538">
              <w:t>Validación</w:t>
            </w:r>
          </w:p>
        </w:tc>
        <w:tc>
          <w:tcPr>
            <w:tcW w:w="6315" w:type="dxa"/>
            <w:shd w:val="clear" w:color="auto" w:fill="auto"/>
            <w:tcMar>
              <w:top w:w="100" w:type="dxa"/>
              <w:left w:w="100" w:type="dxa"/>
              <w:bottom w:w="100" w:type="dxa"/>
              <w:right w:w="100" w:type="dxa"/>
            </w:tcMar>
          </w:tcPr>
          <w:p w14:paraId="06223591" w14:textId="77777777" w:rsidR="00160538" w:rsidRPr="00160538" w:rsidRDefault="00160538" w:rsidP="007F147A">
            <w:pPr>
              <w:pStyle w:val="Default"/>
              <w:rPr>
                <w:color w:val="auto"/>
              </w:rPr>
            </w:pPr>
          </w:p>
          <w:p w14:paraId="696DA1E3" w14:textId="77777777" w:rsidR="00160538" w:rsidRPr="00160538" w:rsidRDefault="00160538" w:rsidP="007F147A">
            <w:pPr>
              <w:widowControl w:val="0"/>
            </w:pPr>
            <w:r w:rsidRPr="00160538">
              <w:t xml:space="preserve"> Filiberto Enrique Valdés Medina.</w:t>
            </w:r>
          </w:p>
        </w:tc>
      </w:tr>
      <w:tr w:rsidR="00160538" w:rsidRPr="00160538" w14:paraId="69557DD1" w14:textId="77777777" w:rsidTr="00160538">
        <w:trPr>
          <w:jc w:val="center"/>
        </w:trPr>
        <w:tc>
          <w:tcPr>
            <w:tcW w:w="3045" w:type="dxa"/>
            <w:shd w:val="clear" w:color="auto" w:fill="auto"/>
            <w:tcMar>
              <w:top w:w="100" w:type="dxa"/>
              <w:left w:w="100" w:type="dxa"/>
              <w:bottom w:w="100" w:type="dxa"/>
              <w:right w:w="100" w:type="dxa"/>
            </w:tcMar>
          </w:tcPr>
          <w:p w14:paraId="49ACA6D9" w14:textId="77777777" w:rsidR="00160538" w:rsidRPr="00160538" w:rsidRDefault="00160538" w:rsidP="007F147A">
            <w:pPr>
              <w:widowControl w:val="0"/>
            </w:pPr>
            <w:r w:rsidRPr="00160538">
              <w:t>Análisis Formal</w:t>
            </w:r>
          </w:p>
        </w:tc>
        <w:tc>
          <w:tcPr>
            <w:tcW w:w="6315" w:type="dxa"/>
            <w:shd w:val="clear" w:color="auto" w:fill="auto"/>
            <w:tcMar>
              <w:top w:w="100" w:type="dxa"/>
              <w:left w:w="100" w:type="dxa"/>
              <w:bottom w:w="100" w:type="dxa"/>
              <w:right w:w="100" w:type="dxa"/>
            </w:tcMar>
          </w:tcPr>
          <w:p w14:paraId="7F89AB78" w14:textId="77777777" w:rsidR="00160538" w:rsidRPr="00160538" w:rsidRDefault="00160538" w:rsidP="007F147A">
            <w:pPr>
              <w:pStyle w:val="Default"/>
              <w:rPr>
                <w:color w:val="auto"/>
              </w:rPr>
            </w:pPr>
          </w:p>
          <w:p w14:paraId="5F841639" w14:textId="77777777" w:rsidR="00160538" w:rsidRPr="00160538" w:rsidRDefault="00160538" w:rsidP="007F147A">
            <w:pPr>
              <w:widowControl w:val="0"/>
            </w:pPr>
            <w:r w:rsidRPr="00160538">
              <w:t xml:space="preserve"> Filiberto Enrique Valdés Medina.</w:t>
            </w:r>
          </w:p>
        </w:tc>
      </w:tr>
      <w:tr w:rsidR="00160538" w:rsidRPr="00160538" w14:paraId="1DE25150" w14:textId="77777777" w:rsidTr="00160538">
        <w:trPr>
          <w:jc w:val="center"/>
        </w:trPr>
        <w:tc>
          <w:tcPr>
            <w:tcW w:w="3045" w:type="dxa"/>
            <w:shd w:val="clear" w:color="auto" w:fill="auto"/>
            <w:tcMar>
              <w:top w:w="100" w:type="dxa"/>
              <w:left w:w="100" w:type="dxa"/>
              <w:bottom w:w="100" w:type="dxa"/>
              <w:right w:w="100" w:type="dxa"/>
            </w:tcMar>
          </w:tcPr>
          <w:p w14:paraId="0FC8B776" w14:textId="77777777" w:rsidR="00160538" w:rsidRPr="00160538" w:rsidRDefault="00160538" w:rsidP="007F147A">
            <w:pPr>
              <w:widowControl w:val="0"/>
            </w:pPr>
            <w:r w:rsidRPr="00160538">
              <w:t>Investigación</w:t>
            </w:r>
          </w:p>
        </w:tc>
        <w:tc>
          <w:tcPr>
            <w:tcW w:w="6315" w:type="dxa"/>
            <w:shd w:val="clear" w:color="auto" w:fill="auto"/>
            <w:tcMar>
              <w:top w:w="100" w:type="dxa"/>
              <w:left w:w="100" w:type="dxa"/>
              <w:bottom w:w="100" w:type="dxa"/>
              <w:right w:w="100" w:type="dxa"/>
            </w:tcMar>
          </w:tcPr>
          <w:p w14:paraId="2232D900" w14:textId="77777777" w:rsidR="00160538" w:rsidRPr="00160538" w:rsidRDefault="00160538" w:rsidP="007F147A">
            <w:pPr>
              <w:pStyle w:val="Default"/>
              <w:rPr>
                <w:color w:val="auto"/>
              </w:rPr>
            </w:pPr>
          </w:p>
          <w:p w14:paraId="13BB9225" w14:textId="77777777" w:rsidR="00160538" w:rsidRPr="00160538" w:rsidRDefault="00160538" w:rsidP="007F147A">
            <w:pPr>
              <w:widowControl w:val="0"/>
            </w:pPr>
            <w:r w:rsidRPr="00160538">
              <w:t xml:space="preserve"> Filiberto Enrique Valdés Medina.</w:t>
            </w:r>
          </w:p>
        </w:tc>
      </w:tr>
      <w:tr w:rsidR="00160538" w:rsidRPr="00160538" w14:paraId="12A69CE2" w14:textId="77777777" w:rsidTr="00160538">
        <w:trPr>
          <w:jc w:val="center"/>
        </w:trPr>
        <w:tc>
          <w:tcPr>
            <w:tcW w:w="3045" w:type="dxa"/>
            <w:shd w:val="clear" w:color="auto" w:fill="auto"/>
            <w:tcMar>
              <w:top w:w="100" w:type="dxa"/>
              <w:left w:w="100" w:type="dxa"/>
              <w:bottom w:w="100" w:type="dxa"/>
              <w:right w:w="100" w:type="dxa"/>
            </w:tcMar>
          </w:tcPr>
          <w:p w14:paraId="0E562290" w14:textId="77777777" w:rsidR="00160538" w:rsidRPr="00160538" w:rsidRDefault="00160538" w:rsidP="007F147A">
            <w:pPr>
              <w:widowControl w:val="0"/>
            </w:pPr>
            <w:r w:rsidRPr="00160538">
              <w:t>Recursos</w:t>
            </w:r>
          </w:p>
        </w:tc>
        <w:tc>
          <w:tcPr>
            <w:tcW w:w="6315" w:type="dxa"/>
            <w:shd w:val="clear" w:color="auto" w:fill="auto"/>
            <w:tcMar>
              <w:top w:w="100" w:type="dxa"/>
              <w:left w:w="100" w:type="dxa"/>
              <w:bottom w:w="100" w:type="dxa"/>
              <w:right w:w="100" w:type="dxa"/>
            </w:tcMar>
          </w:tcPr>
          <w:p w14:paraId="1978A024" w14:textId="77777777" w:rsidR="00160538" w:rsidRPr="00160538" w:rsidRDefault="00160538" w:rsidP="007F147A">
            <w:pPr>
              <w:pStyle w:val="Default"/>
              <w:rPr>
                <w:color w:val="auto"/>
              </w:rPr>
            </w:pPr>
          </w:p>
          <w:p w14:paraId="43A456E6" w14:textId="77777777" w:rsidR="00160538" w:rsidRPr="00160538" w:rsidRDefault="00160538" w:rsidP="007F147A">
            <w:pPr>
              <w:widowControl w:val="0"/>
            </w:pPr>
            <w:r w:rsidRPr="00160538">
              <w:t xml:space="preserve"> Filiberto Enrique Valdés Medina.</w:t>
            </w:r>
          </w:p>
        </w:tc>
      </w:tr>
      <w:tr w:rsidR="00160538" w:rsidRPr="00160538" w14:paraId="115C5513" w14:textId="77777777" w:rsidTr="00160538">
        <w:trPr>
          <w:jc w:val="center"/>
        </w:trPr>
        <w:tc>
          <w:tcPr>
            <w:tcW w:w="3045" w:type="dxa"/>
            <w:shd w:val="clear" w:color="auto" w:fill="auto"/>
            <w:tcMar>
              <w:top w:w="100" w:type="dxa"/>
              <w:left w:w="100" w:type="dxa"/>
              <w:bottom w:w="100" w:type="dxa"/>
              <w:right w:w="100" w:type="dxa"/>
            </w:tcMar>
          </w:tcPr>
          <w:p w14:paraId="1CDD5016" w14:textId="77777777" w:rsidR="00160538" w:rsidRPr="00160538" w:rsidRDefault="00160538" w:rsidP="007F147A">
            <w:pPr>
              <w:widowControl w:val="0"/>
            </w:pPr>
            <w:r w:rsidRPr="00160538">
              <w:t>Curación de datos</w:t>
            </w:r>
          </w:p>
        </w:tc>
        <w:tc>
          <w:tcPr>
            <w:tcW w:w="6315" w:type="dxa"/>
            <w:shd w:val="clear" w:color="auto" w:fill="auto"/>
            <w:tcMar>
              <w:top w:w="100" w:type="dxa"/>
              <w:left w:w="100" w:type="dxa"/>
              <w:bottom w:w="100" w:type="dxa"/>
              <w:right w:w="100" w:type="dxa"/>
            </w:tcMar>
          </w:tcPr>
          <w:p w14:paraId="7156287E" w14:textId="77777777" w:rsidR="00160538" w:rsidRPr="00160538" w:rsidRDefault="00160538" w:rsidP="007F147A">
            <w:pPr>
              <w:widowControl w:val="0"/>
            </w:pPr>
            <w:r w:rsidRPr="00160538">
              <w:t xml:space="preserve">Minerva Martínez </w:t>
            </w:r>
            <w:proofErr w:type="spellStart"/>
            <w:r w:rsidRPr="00160538">
              <w:t>Avila</w:t>
            </w:r>
            <w:proofErr w:type="spellEnd"/>
            <w:r w:rsidRPr="00160538">
              <w:t>.</w:t>
            </w:r>
          </w:p>
        </w:tc>
      </w:tr>
      <w:tr w:rsidR="00160538" w:rsidRPr="00160538" w14:paraId="58A934E9" w14:textId="77777777" w:rsidTr="00160538">
        <w:trPr>
          <w:jc w:val="center"/>
        </w:trPr>
        <w:tc>
          <w:tcPr>
            <w:tcW w:w="3045" w:type="dxa"/>
            <w:shd w:val="clear" w:color="auto" w:fill="auto"/>
            <w:tcMar>
              <w:top w:w="100" w:type="dxa"/>
              <w:left w:w="100" w:type="dxa"/>
              <w:bottom w:w="100" w:type="dxa"/>
              <w:right w:w="100" w:type="dxa"/>
            </w:tcMar>
          </w:tcPr>
          <w:p w14:paraId="1E387194" w14:textId="77777777" w:rsidR="00160538" w:rsidRPr="00160538" w:rsidRDefault="00160538" w:rsidP="007F147A">
            <w:pPr>
              <w:widowControl w:val="0"/>
            </w:pPr>
            <w:r w:rsidRPr="00160538">
              <w:t>Escritura - Preparación del borrador original</w:t>
            </w:r>
          </w:p>
        </w:tc>
        <w:tc>
          <w:tcPr>
            <w:tcW w:w="6315" w:type="dxa"/>
            <w:shd w:val="clear" w:color="auto" w:fill="auto"/>
            <w:tcMar>
              <w:top w:w="100" w:type="dxa"/>
              <w:left w:w="100" w:type="dxa"/>
              <w:bottom w:w="100" w:type="dxa"/>
              <w:right w:w="100" w:type="dxa"/>
            </w:tcMar>
          </w:tcPr>
          <w:p w14:paraId="7669ECAA" w14:textId="77777777" w:rsidR="00160538" w:rsidRPr="00160538" w:rsidRDefault="00160538" w:rsidP="007F147A">
            <w:pPr>
              <w:widowControl w:val="0"/>
            </w:pPr>
            <w:r w:rsidRPr="00160538">
              <w:t xml:space="preserve">Minerva </w:t>
            </w:r>
            <w:proofErr w:type="spellStart"/>
            <w:r w:rsidRPr="00160538">
              <w:t>Martinez</w:t>
            </w:r>
            <w:proofErr w:type="spellEnd"/>
            <w:r w:rsidRPr="00160538">
              <w:t xml:space="preserve"> </w:t>
            </w:r>
            <w:proofErr w:type="spellStart"/>
            <w:r w:rsidRPr="00160538">
              <w:t>Avila</w:t>
            </w:r>
            <w:proofErr w:type="spellEnd"/>
            <w:r w:rsidRPr="00160538">
              <w:t>.</w:t>
            </w:r>
          </w:p>
        </w:tc>
      </w:tr>
      <w:tr w:rsidR="00160538" w:rsidRPr="00160538" w14:paraId="057F8076" w14:textId="77777777" w:rsidTr="00160538">
        <w:trPr>
          <w:jc w:val="center"/>
        </w:trPr>
        <w:tc>
          <w:tcPr>
            <w:tcW w:w="3045" w:type="dxa"/>
            <w:shd w:val="clear" w:color="auto" w:fill="auto"/>
            <w:tcMar>
              <w:top w:w="100" w:type="dxa"/>
              <w:left w:w="100" w:type="dxa"/>
              <w:bottom w:w="100" w:type="dxa"/>
              <w:right w:w="100" w:type="dxa"/>
            </w:tcMar>
          </w:tcPr>
          <w:p w14:paraId="6E5FB1EC" w14:textId="77777777" w:rsidR="00160538" w:rsidRPr="00160538" w:rsidRDefault="00160538" w:rsidP="007F147A">
            <w:pPr>
              <w:widowControl w:val="0"/>
            </w:pPr>
            <w:r w:rsidRPr="00160538">
              <w:t>Escritura - Revisión y edición</w:t>
            </w:r>
          </w:p>
        </w:tc>
        <w:tc>
          <w:tcPr>
            <w:tcW w:w="6315" w:type="dxa"/>
            <w:shd w:val="clear" w:color="auto" w:fill="auto"/>
            <w:tcMar>
              <w:top w:w="100" w:type="dxa"/>
              <w:left w:w="100" w:type="dxa"/>
              <w:bottom w:w="100" w:type="dxa"/>
              <w:right w:w="100" w:type="dxa"/>
            </w:tcMar>
          </w:tcPr>
          <w:p w14:paraId="68399E6C" w14:textId="77777777" w:rsidR="00160538" w:rsidRPr="00160538" w:rsidRDefault="00160538" w:rsidP="007F147A">
            <w:pPr>
              <w:widowControl w:val="0"/>
            </w:pPr>
            <w:r w:rsidRPr="00160538">
              <w:t>Minerva Martínez y Filiberto Enrique Valdés Medina (igual).</w:t>
            </w:r>
          </w:p>
        </w:tc>
      </w:tr>
      <w:tr w:rsidR="00160538" w:rsidRPr="00160538" w14:paraId="6E42EE03" w14:textId="77777777" w:rsidTr="00160538">
        <w:trPr>
          <w:jc w:val="center"/>
        </w:trPr>
        <w:tc>
          <w:tcPr>
            <w:tcW w:w="3045" w:type="dxa"/>
            <w:shd w:val="clear" w:color="auto" w:fill="auto"/>
            <w:tcMar>
              <w:top w:w="100" w:type="dxa"/>
              <w:left w:w="100" w:type="dxa"/>
              <w:bottom w:w="100" w:type="dxa"/>
              <w:right w:w="100" w:type="dxa"/>
            </w:tcMar>
          </w:tcPr>
          <w:p w14:paraId="076FDF93" w14:textId="77777777" w:rsidR="00160538" w:rsidRPr="00160538" w:rsidRDefault="00160538" w:rsidP="007F147A">
            <w:pPr>
              <w:widowControl w:val="0"/>
            </w:pPr>
            <w:r w:rsidRPr="00160538">
              <w:t>Visualización</w:t>
            </w:r>
          </w:p>
        </w:tc>
        <w:tc>
          <w:tcPr>
            <w:tcW w:w="6315" w:type="dxa"/>
            <w:shd w:val="clear" w:color="auto" w:fill="auto"/>
            <w:tcMar>
              <w:top w:w="100" w:type="dxa"/>
              <w:left w:w="100" w:type="dxa"/>
              <w:bottom w:w="100" w:type="dxa"/>
              <w:right w:w="100" w:type="dxa"/>
            </w:tcMar>
          </w:tcPr>
          <w:p w14:paraId="69E0C06C" w14:textId="77777777" w:rsidR="00160538" w:rsidRPr="00160538" w:rsidRDefault="00160538" w:rsidP="007F147A">
            <w:pPr>
              <w:widowControl w:val="0"/>
            </w:pPr>
            <w:r w:rsidRPr="00160538">
              <w:t xml:space="preserve">Minerva Martínez y Filiberto Enrique Valdés Medina (igual). </w:t>
            </w:r>
          </w:p>
        </w:tc>
      </w:tr>
      <w:tr w:rsidR="00160538" w:rsidRPr="00160538" w14:paraId="233454CF" w14:textId="77777777" w:rsidTr="00160538">
        <w:trPr>
          <w:jc w:val="center"/>
        </w:trPr>
        <w:tc>
          <w:tcPr>
            <w:tcW w:w="3045" w:type="dxa"/>
            <w:shd w:val="clear" w:color="auto" w:fill="auto"/>
            <w:tcMar>
              <w:top w:w="100" w:type="dxa"/>
              <w:left w:w="100" w:type="dxa"/>
              <w:bottom w:w="100" w:type="dxa"/>
              <w:right w:w="100" w:type="dxa"/>
            </w:tcMar>
          </w:tcPr>
          <w:p w14:paraId="18B1CFD2" w14:textId="77777777" w:rsidR="00160538" w:rsidRPr="00160538" w:rsidRDefault="00160538" w:rsidP="007F147A">
            <w:pPr>
              <w:widowControl w:val="0"/>
            </w:pPr>
            <w:r w:rsidRPr="00160538">
              <w:t>Supervisión</w:t>
            </w:r>
          </w:p>
        </w:tc>
        <w:tc>
          <w:tcPr>
            <w:tcW w:w="6315" w:type="dxa"/>
            <w:shd w:val="clear" w:color="auto" w:fill="auto"/>
            <w:tcMar>
              <w:top w:w="100" w:type="dxa"/>
              <w:left w:w="100" w:type="dxa"/>
              <w:bottom w:w="100" w:type="dxa"/>
              <w:right w:w="100" w:type="dxa"/>
            </w:tcMar>
          </w:tcPr>
          <w:p w14:paraId="787E5FF6" w14:textId="77777777" w:rsidR="00160538" w:rsidRPr="00160538" w:rsidRDefault="00160538" w:rsidP="007F147A">
            <w:pPr>
              <w:widowControl w:val="0"/>
            </w:pPr>
            <w:r w:rsidRPr="00160538">
              <w:t>Minerva Martínez y Filiberto Enrique Valdés Medina (igual).</w:t>
            </w:r>
          </w:p>
        </w:tc>
      </w:tr>
      <w:tr w:rsidR="00160538" w:rsidRPr="00160538" w14:paraId="38BAD266" w14:textId="77777777" w:rsidTr="00160538">
        <w:trPr>
          <w:jc w:val="center"/>
        </w:trPr>
        <w:tc>
          <w:tcPr>
            <w:tcW w:w="3045" w:type="dxa"/>
            <w:shd w:val="clear" w:color="auto" w:fill="auto"/>
            <w:tcMar>
              <w:top w:w="100" w:type="dxa"/>
              <w:left w:w="100" w:type="dxa"/>
              <w:bottom w:w="100" w:type="dxa"/>
              <w:right w:w="100" w:type="dxa"/>
            </w:tcMar>
          </w:tcPr>
          <w:p w14:paraId="29A6472B" w14:textId="77777777" w:rsidR="00160538" w:rsidRPr="00160538" w:rsidRDefault="00160538" w:rsidP="007F147A">
            <w:pPr>
              <w:widowControl w:val="0"/>
            </w:pPr>
            <w:r w:rsidRPr="00160538">
              <w:t>Administración de Proyectos</w:t>
            </w:r>
          </w:p>
        </w:tc>
        <w:tc>
          <w:tcPr>
            <w:tcW w:w="6315" w:type="dxa"/>
            <w:shd w:val="clear" w:color="auto" w:fill="auto"/>
            <w:tcMar>
              <w:top w:w="100" w:type="dxa"/>
              <w:left w:w="100" w:type="dxa"/>
              <w:bottom w:w="100" w:type="dxa"/>
              <w:right w:w="100" w:type="dxa"/>
            </w:tcMar>
          </w:tcPr>
          <w:p w14:paraId="6B04F869" w14:textId="77777777" w:rsidR="00160538" w:rsidRPr="00160538" w:rsidRDefault="00160538" w:rsidP="007F147A">
            <w:pPr>
              <w:widowControl w:val="0"/>
            </w:pPr>
            <w:r w:rsidRPr="00160538">
              <w:t>Minerva Martínez y Filiberto Enrique Valdés Medina (igual).</w:t>
            </w:r>
          </w:p>
        </w:tc>
      </w:tr>
      <w:tr w:rsidR="00160538" w:rsidRPr="00160538" w14:paraId="02E1EAF9" w14:textId="77777777" w:rsidTr="00160538">
        <w:trPr>
          <w:jc w:val="center"/>
        </w:trPr>
        <w:tc>
          <w:tcPr>
            <w:tcW w:w="3045" w:type="dxa"/>
            <w:shd w:val="clear" w:color="auto" w:fill="auto"/>
            <w:tcMar>
              <w:top w:w="100" w:type="dxa"/>
              <w:left w:w="100" w:type="dxa"/>
              <w:bottom w:w="100" w:type="dxa"/>
              <w:right w:w="100" w:type="dxa"/>
            </w:tcMar>
          </w:tcPr>
          <w:p w14:paraId="72266F70" w14:textId="77777777" w:rsidR="00160538" w:rsidRPr="00160538" w:rsidRDefault="00160538" w:rsidP="007F147A">
            <w:pPr>
              <w:widowControl w:val="0"/>
            </w:pPr>
            <w:r w:rsidRPr="00160538">
              <w:t>Adquisición de fondos</w:t>
            </w:r>
          </w:p>
        </w:tc>
        <w:tc>
          <w:tcPr>
            <w:tcW w:w="6315" w:type="dxa"/>
            <w:shd w:val="clear" w:color="auto" w:fill="auto"/>
            <w:tcMar>
              <w:top w:w="100" w:type="dxa"/>
              <w:left w:w="100" w:type="dxa"/>
              <w:bottom w:w="100" w:type="dxa"/>
              <w:right w:w="100" w:type="dxa"/>
            </w:tcMar>
          </w:tcPr>
          <w:p w14:paraId="478E1A77" w14:textId="77777777" w:rsidR="00160538" w:rsidRPr="00160538" w:rsidRDefault="00160538" w:rsidP="007F147A">
            <w:pPr>
              <w:widowControl w:val="0"/>
            </w:pPr>
            <w:r w:rsidRPr="00160538">
              <w:t>Sin apoyo financiero.</w:t>
            </w:r>
          </w:p>
          <w:p w14:paraId="319A2DF5" w14:textId="77777777" w:rsidR="00160538" w:rsidRPr="00160538" w:rsidRDefault="00160538" w:rsidP="007F147A">
            <w:pPr>
              <w:widowControl w:val="0"/>
            </w:pPr>
            <w:r w:rsidRPr="00160538">
              <w:t>publicación.</w:t>
            </w:r>
          </w:p>
        </w:tc>
      </w:tr>
    </w:tbl>
    <w:p w14:paraId="4786045F" w14:textId="77777777" w:rsidR="00160538" w:rsidRPr="00013B44" w:rsidRDefault="00160538" w:rsidP="00B579DA">
      <w:pPr>
        <w:autoSpaceDE w:val="0"/>
        <w:autoSpaceDN w:val="0"/>
        <w:adjustRightInd w:val="0"/>
        <w:spacing w:line="360" w:lineRule="auto"/>
        <w:jc w:val="both"/>
        <w:rPr>
          <w:rFonts w:ascii="Times" w:hAnsi="Times"/>
          <w:b/>
          <w:bCs/>
          <w:color w:val="131413"/>
          <w:sz w:val="28"/>
          <w:szCs w:val="28"/>
          <w:lang w:val="en-US"/>
        </w:rPr>
      </w:pPr>
    </w:p>
    <w:sectPr w:rsidR="00160538" w:rsidRPr="00013B44" w:rsidSect="0010198C">
      <w:headerReference w:type="default" r:id="rId12"/>
      <w:footerReference w:type="default" r:id="rId13"/>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AE983" w14:textId="77777777" w:rsidR="00AE11D2" w:rsidRDefault="00AE11D2" w:rsidP="00D507FB">
      <w:r>
        <w:separator/>
      </w:r>
    </w:p>
  </w:endnote>
  <w:endnote w:type="continuationSeparator" w:id="0">
    <w:p w14:paraId="62AFA96C" w14:textId="77777777" w:rsidR="00AE11D2" w:rsidRDefault="00AE11D2" w:rsidP="00D5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Í¥Í">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91C6" w14:textId="0AE60494" w:rsidR="00D507FB" w:rsidRDefault="00D507FB">
    <w:pPr>
      <w:pStyle w:val="Piedepgina"/>
    </w:pPr>
    <w:r>
      <w:t xml:space="preserve">              </w:t>
    </w:r>
    <w:r w:rsidRPr="002A3D98">
      <w:rPr>
        <w:noProof/>
        <w:lang w:val="es-ES" w:eastAsia="es-ES"/>
      </w:rPr>
      <w:drawing>
        <wp:inline distT="0" distB="0" distL="0" distR="0" wp14:anchorId="75600872" wp14:editId="0030F468">
          <wp:extent cx="1600200" cy="419100"/>
          <wp:effectExtent l="0" t="0" r="0" b="0"/>
          <wp:docPr id="1097183192" name="Imagen 109718319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507FB">
      <w:rPr>
        <w:rFonts w:asciiTheme="minorHAnsi" w:hAnsiTheme="minorHAnsi" w:cstheme="minorHAnsi"/>
        <w:b/>
        <w:sz w:val="22"/>
        <w:szCs w:val="12"/>
      </w:rPr>
      <w:t xml:space="preserve">Vol. 14, Núm. 27 Julio - </w:t>
    </w:r>
    <w:proofErr w:type="gramStart"/>
    <w:r w:rsidRPr="00D507FB">
      <w:rPr>
        <w:rFonts w:asciiTheme="minorHAnsi" w:hAnsiTheme="minorHAnsi" w:cstheme="minorHAnsi"/>
        <w:b/>
        <w:sz w:val="22"/>
        <w:szCs w:val="12"/>
      </w:rPr>
      <w:t>Diciembre</w:t>
    </w:r>
    <w:proofErr w:type="gramEnd"/>
    <w:r w:rsidRPr="00D507FB">
      <w:rPr>
        <w:rFonts w:asciiTheme="minorHAnsi" w:hAnsiTheme="minorHAnsi" w:cstheme="minorHAnsi"/>
        <w:b/>
        <w:sz w:val="22"/>
        <w:szCs w:val="12"/>
      </w:rPr>
      <w:t xml:space="preserve"> 2023, e</w:t>
    </w:r>
    <w:r w:rsidR="003218D4">
      <w:rPr>
        <w:rFonts w:asciiTheme="minorHAnsi" w:hAnsiTheme="minorHAnsi" w:cstheme="minorHAnsi"/>
        <w:b/>
        <w:sz w:val="22"/>
        <w:szCs w:val="12"/>
      </w:rPr>
      <w:t>59</w:t>
    </w:r>
    <w:r w:rsidR="00EF28C0">
      <w:rPr>
        <w:rFonts w:asciiTheme="minorHAnsi" w:hAnsiTheme="minorHAnsi" w:cstheme="minorHAnsi"/>
        <w:b/>
        <w:sz w:val="2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78D0F" w14:textId="77777777" w:rsidR="00AE11D2" w:rsidRDefault="00AE11D2" w:rsidP="00D507FB">
      <w:r>
        <w:separator/>
      </w:r>
    </w:p>
  </w:footnote>
  <w:footnote w:type="continuationSeparator" w:id="0">
    <w:p w14:paraId="06795C93" w14:textId="77777777" w:rsidR="00AE11D2" w:rsidRDefault="00AE11D2" w:rsidP="00D5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0E18A" w14:textId="4E84CDC4" w:rsidR="00D507FB" w:rsidRDefault="00D507FB" w:rsidP="00D507FB">
    <w:pPr>
      <w:pStyle w:val="Encabezado"/>
      <w:jc w:val="center"/>
    </w:pPr>
    <w:r w:rsidRPr="002A3D98">
      <w:rPr>
        <w:noProof/>
        <w:lang w:val="es-ES" w:eastAsia="es-ES"/>
      </w:rPr>
      <w:drawing>
        <wp:inline distT="0" distB="0" distL="0" distR="0" wp14:anchorId="57D6ABD2" wp14:editId="618A8C66">
          <wp:extent cx="5397500" cy="635000"/>
          <wp:effectExtent l="0" t="0" r="0" b="0"/>
          <wp:docPr id="1864271638" name="Imagen 18642716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21C7"/>
    <w:multiLevelType w:val="hybridMultilevel"/>
    <w:tmpl w:val="C68C928A"/>
    <w:lvl w:ilvl="0" w:tplc="B4C46F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C51B1B"/>
    <w:multiLevelType w:val="hybridMultilevel"/>
    <w:tmpl w:val="F5CA05C8"/>
    <w:lvl w:ilvl="0" w:tplc="FB86FFC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BAE0080"/>
    <w:multiLevelType w:val="hybridMultilevel"/>
    <w:tmpl w:val="AB02F3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772823050">
    <w:abstractNumId w:val="2"/>
  </w:num>
  <w:num w:numId="2" w16cid:durableId="1928491899">
    <w:abstractNumId w:val="0"/>
  </w:num>
  <w:num w:numId="3" w16cid:durableId="3095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DF"/>
    <w:rsid w:val="0000011E"/>
    <w:rsid w:val="00013B44"/>
    <w:rsid w:val="00021E99"/>
    <w:rsid w:val="00024F29"/>
    <w:rsid w:val="00026151"/>
    <w:rsid w:val="000371C3"/>
    <w:rsid w:val="00041E93"/>
    <w:rsid w:val="00043F50"/>
    <w:rsid w:val="00044661"/>
    <w:rsid w:val="000458A5"/>
    <w:rsid w:val="000569CD"/>
    <w:rsid w:val="00070D2E"/>
    <w:rsid w:val="000A0F19"/>
    <w:rsid w:val="000B5404"/>
    <w:rsid w:val="000B77B0"/>
    <w:rsid w:val="000C3FD5"/>
    <w:rsid w:val="000D4781"/>
    <w:rsid w:val="000D6799"/>
    <w:rsid w:val="000E0B55"/>
    <w:rsid w:val="000F29B8"/>
    <w:rsid w:val="0010198C"/>
    <w:rsid w:val="00101CAC"/>
    <w:rsid w:val="001025D2"/>
    <w:rsid w:val="001310C9"/>
    <w:rsid w:val="00132E3E"/>
    <w:rsid w:val="00145323"/>
    <w:rsid w:val="00145BD9"/>
    <w:rsid w:val="001537A1"/>
    <w:rsid w:val="001564DB"/>
    <w:rsid w:val="00157248"/>
    <w:rsid w:val="00157D9C"/>
    <w:rsid w:val="00160538"/>
    <w:rsid w:val="001644E8"/>
    <w:rsid w:val="00170251"/>
    <w:rsid w:val="00174F71"/>
    <w:rsid w:val="001A3D3B"/>
    <w:rsid w:val="001A75D7"/>
    <w:rsid w:val="001B4D2D"/>
    <w:rsid w:val="001C35F5"/>
    <w:rsid w:val="001C5C02"/>
    <w:rsid w:val="001C62E9"/>
    <w:rsid w:val="001D01CA"/>
    <w:rsid w:val="001D4A14"/>
    <w:rsid w:val="001D69BC"/>
    <w:rsid w:val="001E275B"/>
    <w:rsid w:val="001F0546"/>
    <w:rsid w:val="001F3AFC"/>
    <w:rsid w:val="001F4AE3"/>
    <w:rsid w:val="00206C85"/>
    <w:rsid w:val="00222C1D"/>
    <w:rsid w:val="0022666B"/>
    <w:rsid w:val="002322CD"/>
    <w:rsid w:val="00240E01"/>
    <w:rsid w:val="00242DF7"/>
    <w:rsid w:val="00246432"/>
    <w:rsid w:val="0025790A"/>
    <w:rsid w:val="002734A6"/>
    <w:rsid w:val="002900DB"/>
    <w:rsid w:val="00297D3A"/>
    <w:rsid w:val="002A2ABF"/>
    <w:rsid w:val="002C3E4C"/>
    <w:rsid w:val="002D34F5"/>
    <w:rsid w:val="002D6A6E"/>
    <w:rsid w:val="00305628"/>
    <w:rsid w:val="00316BC4"/>
    <w:rsid w:val="003212BA"/>
    <w:rsid w:val="003218D4"/>
    <w:rsid w:val="0032391A"/>
    <w:rsid w:val="00324C46"/>
    <w:rsid w:val="00341B39"/>
    <w:rsid w:val="00346AFE"/>
    <w:rsid w:val="003556BC"/>
    <w:rsid w:val="00363861"/>
    <w:rsid w:val="00366899"/>
    <w:rsid w:val="003701BD"/>
    <w:rsid w:val="00385857"/>
    <w:rsid w:val="00391879"/>
    <w:rsid w:val="00393359"/>
    <w:rsid w:val="003A42E5"/>
    <w:rsid w:val="003A71D9"/>
    <w:rsid w:val="003E778E"/>
    <w:rsid w:val="003F6D49"/>
    <w:rsid w:val="003F77F9"/>
    <w:rsid w:val="0040084B"/>
    <w:rsid w:val="004114EF"/>
    <w:rsid w:val="0042047F"/>
    <w:rsid w:val="00426841"/>
    <w:rsid w:val="00430505"/>
    <w:rsid w:val="004306E4"/>
    <w:rsid w:val="0044596A"/>
    <w:rsid w:val="004472E0"/>
    <w:rsid w:val="0047550B"/>
    <w:rsid w:val="00482FD9"/>
    <w:rsid w:val="004C0423"/>
    <w:rsid w:val="004C3AE7"/>
    <w:rsid w:val="004D4FE1"/>
    <w:rsid w:val="004E0406"/>
    <w:rsid w:val="004E66A4"/>
    <w:rsid w:val="004E78ED"/>
    <w:rsid w:val="004F191A"/>
    <w:rsid w:val="004F237D"/>
    <w:rsid w:val="004F6244"/>
    <w:rsid w:val="0050540D"/>
    <w:rsid w:val="00532EFE"/>
    <w:rsid w:val="00536E70"/>
    <w:rsid w:val="0054544B"/>
    <w:rsid w:val="00555EEF"/>
    <w:rsid w:val="005657EF"/>
    <w:rsid w:val="00574888"/>
    <w:rsid w:val="00590FAC"/>
    <w:rsid w:val="005A786F"/>
    <w:rsid w:val="005C0D29"/>
    <w:rsid w:val="005C34E1"/>
    <w:rsid w:val="005C53E7"/>
    <w:rsid w:val="005C6268"/>
    <w:rsid w:val="005C6406"/>
    <w:rsid w:val="005E5B35"/>
    <w:rsid w:val="005E66D8"/>
    <w:rsid w:val="005F7240"/>
    <w:rsid w:val="006052AD"/>
    <w:rsid w:val="006147FC"/>
    <w:rsid w:val="0062795C"/>
    <w:rsid w:val="00631FB0"/>
    <w:rsid w:val="006550CE"/>
    <w:rsid w:val="00674C69"/>
    <w:rsid w:val="00675377"/>
    <w:rsid w:val="00682CFD"/>
    <w:rsid w:val="00684A72"/>
    <w:rsid w:val="00687773"/>
    <w:rsid w:val="006B4A52"/>
    <w:rsid w:val="006C5FA2"/>
    <w:rsid w:val="006C7B19"/>
    <w:rsid w:val="006D6F9D"/>
    <w:rsid w:val="006D74E7"/>
    <w:rsid w:val="006E2966"/>
    <w:rsid w:val="006E5101"/>
    <w:rsid w:val="006E6CDA"/>
    <w:rsid w:val="006E7CEB"/>
    <w:rsid w:val="006F1412"/>
    <w:rsid w:val="006F1CBF"/>
    <w:rsid w:val="00700DEC"/>
    <w:rsid w:val="00710B22"/>
    <w:rsid w:val="0071103A"/>
    <w:rsid w:val="007142FA"/>
    <w:rsid w:val="00715A86"/>
    <w:rsid w:val="007303F4"/>
    <w:rsid w:val="0074628E"/>
    <w:rsid w:val="007536D5"/>
    <w:rsid w:val="00755779"/>
    <w:rsid w:val="0077107A"/>
    <w:rsid w:val="007738B5"/>
    <w:rsid w:val="007858DC"/>
    <w:rsid w:val="007923A5"/>
    <w:rsid w:val="007A42C6"/>
    <w:rsid w:val="007B4DD1"/>
    <w:rsid w:val="007C5755"/>
    <w:rsid w:val="007D3287"/>
    <w:rsid w:val="007F7C68"/>
    <w:rsid w:val="0080006E"/>
    <w:rsid w:val="008014F0"/>
    <w:rsid w:val="00807228"/>
    <w:rsid w:val="008078E3"/>
    <w:rsid w:val="008328A0"/>
    <w:rsid w:val="00834D50"/>
    <w:rsid w:val="0084577F"/>
    <w:rsid w:val="00846D97"/>
    <w:rsid w:val="00860E0E"/>
    <w:rsid w:val="00861599"/>
    <w:rsid w:val="00866171"/>
    <w:rsid w:val="00872CFB"/>
    <w:rsid w:val="00877A88"/>
    <w:rsid w:val="00890FD3"/>
    <w:rsid w:val="00896ABF"/>
    <w:rsid w:val="008A7422"/>
    <w:rsid w:val="008D1803"/>
    <w:rsid w:val="008D244D"/>
    <w:rsid w:val="008E05D5"/>
    <w:rsid w:val="008E3088"/>
    <w:rsid w:val="008E399C"/>
    <w:rsid w:val="008F31A2"/>
    <w:rsid w:val="008F6524"/>
    <w:rsid w:val="00902753"/>
    <w:rsid w:val="00904607"/>
    <w:rsid w:val="00916B9E"/>
    <w:rsid w:val="0092259B"/>
    <w:rsid w:val="009254C3"/>
    <w:rsid w:val="00926474"/>
    <w:rsid w:val="00927DFC"/>
    <w:rsid w:val="00936CD1"/>
    <w:rsid w:val="0095482E"/>
    <w:rsid w:val="009568DA"/>
    <w:rsid w:val="00971B27"/>
    <w:rsid w:val="009873BF"/>
    <w:rsid w:val="00997122"/>
    <w:rsid w:val="009A7D4B"/>
    <w:rsid w:val="009B1A7B"/>
    <w:rsid w:val="009B63DF"/>
    <w:rsid w:val="009B6A2A"/>
    <w:rsid w:val="009B7EB7"/>
    <w:rsid w:val="009C1706"/>
    <w:rsid w:val="009C2F4C"/>
    <w:rsid w:val="009C548D"/>
    <w:rsid w:val="009E3626"/>
    <w:rsid w:val="00A018CA"/>
    <w:rsid w:val="00A0670F"/>
    <w:rsid w:val="00A0761C"/>
    <w:rsid w:val="00A17032"/>
    <w:rsid w:val="00A208F0"/>
    <w:rsid w:val="00A25891"/>
    <w:rsid w:val="00A30BF8"/>
    <w:rsid w:val="00A3250D"/>
    <w:rsid w:val="00A36436"/>
    <w:rsid w:val="00A425B7"/>
    <w:rsid w:val="00A46F47"/>
    <w:rsid w:val="00A50A36"/>
    <w:rsid w:val="00A6013E"/>
    <w:rsid w:val="00A60A36"/>
    <w:rsid w:val="00A7176B"/>
    <w:rsid w:val="00AA17BA"/>
    <w:rsid w:val="00AB17F6"/>
    <w:rsid w:val="00AC1B75"/>
    <w:rsid w:val="00AC2A11"/>
    <w:rsid w:val="00AD5ADC"/>
    <w:rsid w:val="00AE0F20"/>
    <w:rsid w:val="00AE11D2"/>
    <w:rsid w:val="00AE4DE6"/>
    <w:rsid w:val="00B15A5F"/>
    <w:rsid w:val="00B17190"/>
    <w:rsid w:val="00B2277D"/>
    <w:rsid w:val="00B31ABA"/>
    <w:rsid w:val="00B350AA"/>
    <w:rsid w:val="00B404E9"/>
    <w:rsid w:val="00B51F12"/>
    <w:rsid w:val="00B53481"/>
    <w:rsid w:val="00B579DA"/>
    <w:rsid w:val="00B714EA"/>
    <w:rsid w:val="00B71B00"/>
    <w:rsid w:val="00B92CCA"/>
    <w:rsid w:val="00B96CEA"/>
    <w:rsid w:val="00BA5797"/>
    <w:rsid w:val="00BA6231"/>
    <w:rsid w:val="00BB0592"/>
    <w:rsid w:val="00BB1234"/>
    <w:rsid w:val="00BC049E"/>
    <w:rsid w:val="00BC18E8"/>
    <w:rsid w:val="00BD2954"/>
    <w:rsid w:val="00BD4711"/>
    <w:rsid w:val="00BD5FB5"/>
    <w:rsid w:val="00BF01AE"/>
    <w:rsid w:val="00BF63AF"/>
    <w:rsid w:val="00BF7B96"/>
    <w:rsid w:val="00C10482"/>
    <w:rsid w:val="00C1340D"/>
    <w:rsid w:val="00C21C8E"/>
    <w:rsid w:val="00C270EA"/>
    <w:rsid w:val="00C272A4"/>
    <w:rsid w:val="00C278F4"/>
    <w:rsid w:val="00C27C5D"/>
    <w:rsid w:val="00C323BA"/>
    <w:rsid w:val="00C36434"/>
    <w:rsid w:val="00C41A1B"/>
    <w:rsid w:val="00C46429"/>
    <w:rsid w:val="00C527E2"/>
    <w:rsid w:val="00C64161"/>
    <w:rsid w:val="00C70885"/>
    <w:rsid w:val="00C7520F"/>
    <w:rsid w:val="00C80662"/>
    <w:rsid w:val="00C95CC0"/>
    <w:rsid w:val="00C97AAD"/>
    <w:rsid w:val="00CA5C80"/>
    <w:rsid w:val="00CB6C26"/>
    <w:rsid w:val="00CC0A0A"/>
    <w:rsid w:val="00CC1D51"/>
    <w:rsid w:val="00CC3156"/>
    <w:rsid w:val="00CC4027"/>
    <w:rsid w:val="00CC6146"/>
    <w:rsid w:val="00CD1CCC"/>
    <w:rsid w:val="00CE1881"/>
    <w:rsid w:val="00CF182A"/>
    <w:rsid w:val="00D02D85"/>
    <w:rsid w:val="00D06BCB"/>
    <w:rsid w:val="00D13A7B"/>
    <w:rsid w:val="00D352D9"/>
    <w:rsid w:val="00D41233"/>
    <w:rsid w:val="00D426CD"/>
    <w:rsid w:val="00D42EE6"/>
    <w:rsid w:val="00D467EE"/>
    <w:rsid w:val="00D505E7"/>
    <w:rsid w:val="00D507FB"/>
    <w:rsid w:val="00D6214D"/>
    <w:rsid w:val="00D64804"/>
    <w:rsid w:val="00D7722F"/>
    <w:rsid w:val="00D80BBE"/>
    <w:rsid w:val="00D94A86"/>
    <w:rsid w:val="00DA0896"/>
    <w:rsid w:val="00DC1846"/>
    <w:rsid w:val="00DC43AE"/>
    <w:rsid w:val="00DD047F"/>
    <w:rsid w:val="00DD1269"/>
    <w:rsid w:val="00DE5F0E"/>
    <w:rsid w:val="00DF3484"/>
    <w:rsid w:val="00E01253"/>
    <w:rsid w:val="00E024E6"/>
    <w:rsid w:val="00E16901"/>
    <w:rsid w:val="00E214E4"/>
    <w:rsid w:val="00E222A8"/>
    <w:rsid w:val="00E308D3"/>
    <w:rsid w:val="00E567C0"/>
    <w:rsid w:val="00E64501"/>
    <w:rsid w:val="00E65A4E"/>
    <w:rsid w:val="00E72C11"/>
    <w:rsid w:val="00E73308"/>
    <w:rsid w:val="00E76C9C"/>
    <w:rsid w:val="00E80806"/>
    <w:rsid w:val="00E8532A"/>
    <w:rsid w:val="00E87457"/>
    <w:rsid w:val="00E94635"/>
    <w:rsid w:val="00E96C19"/>
    <w:rsid w:val="00EA24DF"/>
    <w:rsid w:val="00EA4DFB"/>
    <w:rsid w:val="00EA69D6"/>
    <w:rsid w:val="00EB3074"/>
    <w:rsid w:val="00EC0399"/>
    <w:rsid w:val="00EC61C3"/>
    <w:rsid w:val="00ED07F9"/>
    <w:rsid w:val="00ED26CD"/>
    <w:rsid w:val="00ED4157"/>
    <w:rsid w:val="00ED7A9E"/>
    <w:rsid w:val="00EE658B"/>
    <w:rsid w:val="00EF28C0"/>
    <w:rsid w:val="00EF77C2"/>
    <w:rsid w:val="00F001E2"/>
    <w:rsid w:val="00F16620"/>
    <w:rsid w:val="00F36377"/>
    <w:rsid w:val="00F365F9"/>
    <w:rsid w:val="00F3763E"/>
    <w:rsid w:val="00F410C7"/>
    <w:rsid w:val="00F412CD"/>
    <w:rsid w:val="00F4598D"/>
    <w:rsid w:val="00F46C80"/>
    <w:rsid w:val="00F50428"/>
    <w:rsid w:val="00F900B5"/>
    <w:rsid w:val="00FA15E4"/>
    <w:rsid w:val="00FB5F90"/>
    <w:rsid w:val="00FE222B"/>
    <w:rsid w:val="00FF0569"/>
    <w:rsid w:val="00FF1235"/>
    <w:rsid w:val="00FF3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8C93"/>
  <w15:chartTrackingRefBased/>
  <w15:docId w15:val="{49566F26-FDF9-B44D-B10D-7199AA96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2CD"/>
    <w:rPr>
      <w:rFonts w:ascii="Times New Roman" w:eastAsia="Times New Roman" w:hAnsi="Times New Roman" w:cs="Times New Roman"/>
      <w:kern w:val="0"/>
      <w:lang w:eastAsia="es-MX"/>
      <w14:ligatures w14:val="none"/>
    </w:rPr>
  </w:style>
  <w:style w:type="paragraph" w:styleId="Ttulo1">
    <w:name w:val="heading 1"/>
    <w:basedOn w:val="Normal"/>
    <w:link w:val="Ttulo1Car"/>
    <w:uiPriority w:val="9"/>
    <w:qFormat/>
    <w:rsid w:val="00A46F47"/>
    <w:pPr>
      <w:spacing w:before="100" w:beforeAutospacing="1" w:after="100" w:afterAutospacing="1"/>
      <w:outlineLvl w:val="0"/>
    </w:pPr>
    <w:rPr>
      <w:b/>
      <w:bCs/>
      <w:kern w:val="36"/>
      <w:sz w:val="48"/>
      <w:szCs w:val="48"/>
    </w:rPr>
  </w:style>
  <w:style w:type="paragraph" w:styleId="Ttulo3">
    <w:name w:val="heading 3"/>
    <w:basedOn w:val="Normal"/>
    <w:next w:val="Normal"/>
    <w:link w:val="Ttulo3Car"/>
    <w:uiPriority w:val="9"/>
    <w:unhideWhenUsed/>
    <w:qFormat/>
    <w:rsid w:val="009B6A2A"/>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mail-apple-converted-space">
    <w:name w:val="gmail-apple-converted-space"/>
    <w:basedOn w:val="Fuentedeprrafopredeter"/>
    <w:rsid w:val="007536D5"/>
  </w:style>
  <w:style w:type="paragraph" w:styleId="NormalWeb">
    <w:name w:val="Normal (Web)"/>
    <w:basedOn w:val="Normal"/>
    <w:uiPriority w:val="99"/>
    <w:unhideWhenUsed/>
    <w:rsid w:val="00E64501"/>
    <w:pPr>
      <w:spacing w:before="100" w:beforeAutospacing="1" w:after="100" w:afterAutospacing="1"/>
    </w:pPr>
  </w:style>
  <w:style w:type="table" w:styleId="Tablaconcuadrcula">
    <w:name w:val="Table Grid"/>
    <w:basedOn w:val="Tablanormal"/>
    <w:uiPriority w:val="39"/>
    <w:rsid w:val="001D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176B"/>
    <w:pPr>
      <w:ind w:left="720"/>
      <w:contextualSpacing/>
    </w:pPr>
    <w:rPr>
      <w:rFonts w:asciiTheme="minorHAnsi" w:eastAsiaTheme="minorHAnsi" w:hAnsiTheme="minorHAnsi" w:cstheme="minorBidi"/>
      <w:kern w:val="2"/>
      <w:lang w:eastAsia="en-US"/>
      <w14:ligatures w14:val="standardContextual"/>
    </w:rPr>
  </w:style>
  <w:style w:type="character" w:styleId="Hipervnculo">
    <w:name w:val="Hyperlink"/>
    <w:basedOn w:val="Fuentedeprrafopredeter"/>
    <w:uiPriority w:val="99"/>
    <w:unhideWhenUsed/>
    <w:rsid w:val="009A7D4B"/>
    <w:rPr>
      <w:color w:val="0563C1" w:themeColor="hyperlink"/>
      <w:u w:val="single"/>
    </w:rPr>
  </w:style>
  <w:style w:type="character" w:customStyle="1" w:styleId="Mencinsinresolver1">
    <w:name w:val="Mención sin resolver1"/>
    <w:basedOn w:val="Fuentedeprrafopredeter"/>
    <w:uiPriority w:val="99"/>
    <w:semiHidden/>
    <w:unhideWhenUsed/>
    <w:rsid w:val="009A7D4B"/>
    <w:rPr>
      <w:color w:val="605E5C"/>
      <w:shd w:val="clear" w:color="auto" w:fill="E1DFDD"/>
    </w:rPr>
  </w:style>
  <w:style w:type="character" w:customStyle="1" w:styleId="apple-converted-space">
    <w:name w:val="apple-converted-space"/>
    <w:basedOn w:val="Fuentedeprrafopredeter"/>
    <w:rsid w:val="00D06BCB"/>
  </w:style>
  <w:style w:type="character" w:customStyle="1" w:styleId="Ttulo1Car">
    <w:name w:val="Título 1 Car"/>
    <w:basedOn w:val="Fuentedeprrafopredeter"/>
    <w:link w:val="Ttulo1"/>
    <w:uiPriority w:val="9"/>
    <w:rsid w:val="00A46F47"/>
    <w:rPr>
      <w:rFonts w:ascii="Times New Roman" w:eastAsia="Times New Roman" w:hAnsi="Times New Roman" w:cs="Times New Roman"/>
      <w:b/>
      <w:bCs/>
      <w:kern w:val="36"/>
      <w:sz w:val="48"/>
      <w:szCs w:val="48"/>
      <w:lang w:eastAsia="es-MX"/>
      <w14:ligatures w14:val="none"/>
    </w:rPr>
  </w:style>
  <w:style w:type="paragraph" w:customStyle="1" w:styleId="Default">
    <w:name w:val="Default"/>
    <w:rsid w:val="00A50A36"/>
    <w:pPr>
      <w:autoSpaceDE w:val="0"/>
      <w:autoSpaceDN w:val="0"/>
      <w:adjustRightInd w:val="0"/>
    </w:pPr>
    <w:rPr>
      <w:rFonts w:ascii="Times New Roman" w:hAnsi="Times New Roman" w:cs="Times New Roman"/>
      <w:color w:val="000000"/>
      <w:kern w:val="0"/>
    </w:rPr>
  </w:style>
  <w:style w:type="character" w:styleId="nfasis">
    <w:name w:val="Emphasis"/>
    <w:basedOn w:val="Fuentedeprrafopredeter"/>
    <w:uiPriority w:val="20"/>
    <w:qFormat/>
    <w:rsid w:val="009B6A2A"/>
    <w:rPr>
      <w:i/>
      <w:iCs/>
    </w:rPr>
  </w:style>
  <w:style w:type="character" w:customStyle="1" w:styleId="Ttulo3Car">
    <w:name w:val="Título 3 Car"/>
    <w:basedOn w:val="Fuentedeprrafopredeter"/>
    <w:link w:val="Ttulo3"/>
    <w:uiPriority w:val="9"/>
    <w:rsid w:val="009B6A2A"/>
    <w:rPr>
      <w:rFonts w:asciiTheme="majorHAnsi" w:eastAsiaTheme="majorEastAsia" w:hAnsiTheme="majorHAnsi" w:cstheme="majorBidi"/>
      <w:color w:val="1F3763" w:themeColor="accent1" w:themeShade="7F"/>
    </w:rPr>
  </w:style>
  <w:style w:type="character" w:styleId="Hipervnculovisitado">
    <w:name w:val="FollowedHyperlink"/>
    <w:basedOn w:val="Fuentedeprrafopredeter"/>
    <w:uiPriority w:val="99"/>
    <w:semiHidden/>
    <w:unhideWhenUsed/>
    <w:rsid w:val="000C3FD5"/>
    <w:rPr>
      <w:color w:val="954F72" w:themeColor="followedHyperlink"/>
      <w:u w:val="single"/>
    </w:rPr>
  </w:style>
  <w:style w:type="character" w:customStyle="1" w:styleId="delimiter">
    <w:name w:val="delimiter"/>
    <w:basedOn w:val="Fuentedeprrafopredeter"/>
    <w:rsid w:val="00F412CD"/>
  </w:style>
  <w:style w:type="character" w:customStyle="1" w:styleId="title-text">
    <w:name w:val="title-text"/>
    <w:basedOn w:val="Fuentedeprrafopredeter"/>
    <w:rsid w:val="00DF3484"/>
  </w:style>
  <w:style w:type="paragraph" w:styleId="Textodeglobo">
    <w:name w:val="Balloon Text"/>
    <w:basedOn w:val="Normal"/>
    <w:link w:val="TextodegloboCar"/>
    <w:uiPriority w:val="99"/>
    <w:semiHidden/>
    <w:unhideWhenUsed/>
    <w:rsid w:val="001025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5D2"/>
    <w:rPr>
      <w:rFonts w:ascii="Segoe UI" w:eastAsia="Times New Roman" w:hAnsi="Segoe UI" w:cs="Segoe UI"/>
      <w:kern w:val="0"/>
      <w:sz w:val="18"/>
      <w:szCs w:val="18"/>
      <w:lang w:eastAsia="es-MX"/>
      <w14:ligatures w14:val="none"/>
    </w:rPr>
  </w:style>
  <w:style w:type="character" w:styleId="Refdecomentario">
    <w:name w:val="annotation reference"/>
    <w:basedOn w:val="Fuentedeprrafopredeter"/>
    <w:uiPriority w:val="99"/>
    <w:semiHidden/>
    <w:unhideWhenUsed/>
    <w:rsid w:val="001025D2"/>
    <w:rPr>
      <w:sz w:val="16"/>
      <w:szCs w:val="16"/>
    </w:rPr>
  </w:style>
  <w:style w:type="paragraph" w:styleId="Textocomentario">
    <w:name w:val="annotation text"/>
    <w:basedOn w:val="Normal"/>
    <w:link w:val="TextocomentarioCar"/>
    <w:uiPriority w:val="99"/>
    <w:unhideWhenUsed/>
    <w:rsid w:val="001025D2"/>
    <w:rPr>
      <w:sz w:val="20"/>
      <w:szCs w:val="20"/>
    </w:rPr>
  </w:style>
  <w:style w:type="character" w:customStyle="1" w:styleId="TextocomentarioCar">
    <w:name w:val="Texto comentario Car"/>
    <w:basedOn w:val="Fuentedeprrafopredeter"/>
    <w:link w:val="Textocomentario"/>
    <w:uiPriority w:val="99"/>
    <w:rsid w:val="001025D2"/>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1025D2"/>
    <w:rPr>
      <w:b/>
      <w:bCs/>
    </w:rPr>
  </w:style>
  <w:style w:type="character" w:customStyle="1" w:styleId="AsuntodelcomentarioCar">
    <w:name w:val="Asunto del comentario Car"/>
    <w:basedOn w:val="TextocomentarioCar"/>
    <w:link w:val="Asuntodelcomentario"/>
    <w:uiPriority w:val="99"/>
    <w:semiHidden/>
    <w:rsid w:val="001025D2"/>
    <w:rPr>
      <w:rFonts w:ascii="Times New Roman" w:eastAsia="Times New Roman" w:hAnsi="Times New Roman" w:cs="Times New Roman"/>
      <w:b/>
      <w:bCs/>
      <w:kern w:val="0"/>
      <w:sz w:val="20"/>
      <w:szCs w:val="20"/>
      <w:lang w:eastAsia="es-MX"/>
      <w14:ligatures w14:val="none"/>
    </w:rPr>
  </w:style>
  <w:style w:type="paragraph" w:styleId="Revisin">
    <w:name w:val="Revision"/>
    <w:hidden/>
    <w:uiPriority w:val="99"/>
    <w:semiHidden/>
    <w:rsid w:val="006E5101"/>
    <w:rPr>
      <w:rFonts w:ascii="Times New Roman" w:eastAsia="Times New Roman" w:hAnsi="Times New Roman" w:cs="Times New Roman"/>
      <w:kern w:val="0"/>
      <w:lang w:eastAsia="es-MX"/>
      <w14:ligatures w14:val="none"/>
    </w:rPr>
  </w:style>
  <w:style w:type="paragraph" w:styleId="HTMLconformatoprevio">
    <w:name w:val="HTML Preformatted"/>
    <w:basedOn w:val="Normal"/>
    <w:link w:val="HTMLconformatoprevioCar"/>
    <w:uiPriority w:val="99"/>
    <w:unhideWhenUsed/>
    <w:rsid w:val="0078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858DC"/>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7858DC"/>
  </w:style>
  <w:style w:type="character" w:styleId="Mencinsinresolver">
    <w:name w:val="Unresolved Mention"/>
    <w:basedOn w:val="Fuentedeprrafopredeter"/>
    <w:uiPriority w:val="99"/>
    <w:semiHidden/>
    <w:unhideWhenUsed/>
    <w:rsid w:val="00C270EA"/>
    <w:rPr>
      <w:color w:val="605E5C"/>
      <w:shd w:val="clear" w:color="auto" w:fill="E1DFDD"/>
    </w:rPr>
  </w:style>
  <w:style w:type="paragraph" w:styleId="Encabezado">
    <w:name w:val="header"/>
    <w:basedOn w:val="Normal"/>
    <w:link w:val="EncabezadoCar"/>
    <w:uiPriority w:val="99"/>
    <w:unhideWhenUsed/>
    <w:rsid w:val="00D507FB"/>
    <w:pPr>
      <w:tabs>
        <w:tab w:val="center" w:pos="4419"/>
        <w:tab w:val="right" w:pos="8838"/>
      </w:tabs>
    </w:pPr>
  </w:style>
  <w:style w:type="character" w:customStyle="1" w:styleId="EncabezadoCar">
    <w:name w:val="Encabezado Car"/>
    <w:basedOn w:val="Fuentedeprrafopredeter"/>
    <w:link w:val="Encabezado"/>
    <w:uiPriority w:val="99"/>
    <w:rsid w:val="00D507FB"/>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D507FB"/>
    <w:pPr>
      <w:tabs>
        <w:tab w:val="center" w:pos="4419"/>
        <w:tab w:val="right" w:pos="8838"/>
      </w:tabs>
    </w:pPr>
  </w:style>
  <w:style w:type="character" w:customStyle="1" w:styleId="PiedepginaCar">
    <w:name w:val="Pie de página Car"/>
    <w:basedOn w:val="Fuentedeprrafopredeter"/>
    <w:link w:val="Piedepgina"/>
    <w:uiPriority w:val="99"/>
    <w:rsid w:val="00D507FB"/>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4104">
      <w:bodyDiv w:val="1"/>
      <w:marLeft w:val="0"/>
      <w:marRight w:val="0"/>
      <w:marTop w:val="0"/>
      <w:marBottom w:val="0"/>
      <w:divBdr>
        <w:top w:val="none" w:sz="0" w:space="0" w:color="auto"/>
        <w:left w:val="none" w:sz="0" w:space="0" w:color="auto"/>
        <w:bottom w:val="none" w:sz="0" w:space="0" w:color="auto"/>
        <w:right w:val="none" w:sz="0" w:space="0" w:color="auto"/>
      </w:divBdr>
    </w:div>
    <w:div w:id="332227718">
      <w:bodyDiv w:val="1"/>
      <w:marLeft w:val="0"/>
      <w:marRight w:val="0"/>
      <w:marTop w:val="0"/>
      <w:marBottom w:val="0"/>
      <w:divBdr>
        <w:top w:val="none" w:sz="0" w:space="0" w:color="auto"/>
        <w:left w:val="none" w:sz="0" w:space="0" w:color="auto"/>
        <w:bottom w:val="none" w:sz="0" w:space="0" w:color="auto"/>
        <w:right w:val="none" w:sz="0" w:space="0" w:color="auto"/>
      </w:divBdr>
      <w:divsChild>
        <w:div w:id="1357776386">
          <w:marLeft w:val="0"/>
          <w:marRight w:val="0"/>
          <w:marTop w:val="0"/>
          <w:marBottom w:val="0"/>
          <w:divBdr>
            <w:top w:val="none" w:sz="0" w:space="0" w:color="auto"/>
            <w:left w:val="none" w:sz="0" w:space="0" w:color="auto"/>
            <w:bottom w:val="none" w:sz="0" w:space="0" w:color="auto"/>
            <w:right w:val="none" w:sz="0" w:space="0" w:color="auto"/>
          </w:divBdr>
          <w:divsChild>
            <w:div w:id="144392912">
              <w:marLeft w:val="0"/>
              <w:marRight w:val="0"/>
              <w:marTop w:val="0"/>
              <w:marBottom w:val="0"/>
              <w:divBdr>
                <w:top w:val="none" w:sz="0" w:space="0" w:color="auto"/>
                <w:left w:val="none" w:sz="0" w:space="0" w:color="auto"/>
                <w:bottom w:val="none" w:sz="0" w:space="0" w:color="auto"/>
                <w:right w:val="none" w:sz="0" w:space="0" w:color="auto"/>
              </w:divBdr>
              <w:divsChild>
                <w:div w:id="3660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448">
      <w:bodyDiv w:val="1"/>
      <w:marLeft w:val="0"/>
      <w:marRight w:val="0"/>
      <w:marTop w:val="0"/>
      <w:marBottom w:val="0"/>
      <w:divBdr>
        <w:top w:val="none" w:sz="0" w:space="0" w:color="auto"/>
        <w:left w:val="none" w:sz="0" w:space="0" w:color="auto"/>
        <w:bottom w:val="none" w:sz="0" w:space="0" w:color="auto"/>
        <w:right w:val="none" w:sz="0" w:space="0" w:color="auto"/>
      </w:divBdr>
    </w:div>
    <w:div w:id="480777209">
      <w:bodyDiv w:val="1"/>
      <w:marLeft w:val="0"/>
      <w:marRight w:val="0"/>
      <w:marTop w:val="0"/>
      <w:marBottom w:val="0"/>
      <w:divBdr>
        <w:top w:val="none" w:sz="0" w:space="0" w:color="auto"/>
        <w:left w:val="none" w:sz="0" w:space="0" w:color="auto"/>
        <w:bottom w:val="none" w:sz="0" w:space="0" w:color="auto"/>
        <w:right w:val="none" w:sz="0" w:space="0" w:color="auto"/>
      </w:divBdr>
    </w:div>
    <w:div w:id="501088464">
      <w:bodyDiv w:val="1"/>
      <w:marLeft w:val="0"/>
      <w:marRight w:val="0"/>
      <w:marTop w:val="0"/>
      <w:marBottom w:val="0"/>
      <w:divBdr>
        <w:top w:val="none" w:sz="0" w:space="0" w:color="auto"/>
        <w:left w:val="none" w:sz="0" w:space="0" w:color="auto"/>
        <w:bottom w:val="none" w:sz="0" w:space="0" w:color="auto"/>
        <w:right w:val="none" w:sz="0" w:space="0" w:color="auto"/>
      </w:divBdr>
      <w:divsChild>
        <w:div w:id="1437748630">
          <w:marLeft w:val="0"/>
          <w:marRight w:val="0"/>
          <w:marTop w:val="0"/>
          <w:marBottom w:val="0"/>
          <w:divBdr>
            <w:top w:val="none" w:sz="0" w:space="0" w:color="auto"/>
            <w:left w:val="none" w:sz="0" w:space="0" w:color="auto"/>
            <w:bottom w:val="none" w:sz="0" w:space="0" w:color="auto"/>
            <w:right w:val="none" w:sz="0" w:space="0" w:color="auto"/>
          </w:divBdr>
        </w:div>
      </w:divsChild>
    </w:div>
    <w:div w:id="652225456">
      <w:bodyDiv w:val="1"/>
      <w:marLeft w:val="0"/>
      <w:marRight w:val="0"/>
      <w:marTop w:val="0"/>
      <w:marBottom w:val="0"/>
      <w:divBdr>
        <w:top w:val="none" w:sz="0" w:space="0" w:color="auto"/>
        <w:left w:val="none" w:sz="0" w:space="0" w:color="auto"/>
        <w:bottom w:val="none" w:sz="0" w:space="0" w:color="auto"/>
        <w:right w:val="none" w:sz="0" w:space="0" w:color="auto"/>
      </w:divBdr>
      <w:divsChild>
        <w:div w:id="1422411772">
          <w:marLeft w:val="0"/>
          <w:marRight w:val="0"/>
          <w:marTop w:val="0"/>
          <w:marBottom w:val="0"/>
          <w:divBdr>
            <w:top w:val="none" w:sz="0" w:space="0" w:color="auto"/>
            <w:left w:val="none" w:sz="0" w:space="0" w:color="auto"/>
            <w:bottom w:val="none" w:sz="0" w:space="0" w:color="auto"/>
            <w:right w:val="none" w:sz="0" w:space="0" w:color="auto"/>
          </w:divBdr>
        </w:div>
      </w:divsChild>
    </w:div>
    <w:div w:id="797259221">
      <w:bodyDiv w:val="1"/>
      <w:marLeft w:val="0"/>
      <w:marRight w:val="0"/>
      <w:marTop w:val="0"/>
      <w:marBottom w:val="0"/>
      <w:divBdr>
        <w:top w:val="none" w:sz="0" w:space="0" w:color="auto"/>
        <w:left w:val="none" w:sz="0" w:space="0" w:color="auto"/>
        <w:bottom w:val="none" w:sz="0" w:space="0" w:color="auto"/>
        <w:right w:val="none" w:sz="0" w:space="0" w:color="auto"/>
      </w:divBdr>
      <w:divsChild>
        <w:div w:id="812520978">
          <w:marLeft w:val="0"/>
          <w:marRight w:val="0"/>
          <w:marTop w:val="0"/>
          <w:marBottom w:val="0"/>
          <w:divBdr>
            <w:top w:val="none" w:sz="0" w:space="0" w:color="auto"/>
            <w:left w:val="none" w:sz="0" w:space="0" w:color="auto"/>
            <w:bottom w:val="none" w:sz="0" w:space="0" w:color="auto"/>
            <w:right w:val="none" w:sz="0" w:space="0" w:color="auto"/>
          </w:divBdr>
        </w:div>
      </w:divsChild>
    </w:div>
    <w:div w:id="943654985">
      <w:bodyDiv w:val="1"/>
      <w:marLeft w:val="0"/>
      <w:marRight w:val="0"/>
      <w:marTop w:val="0"/>
      <w:marBottom w:val="0"/>
      <w:divBdr>
        <w:top w:val="none" w:sz="0" w:space="0" w:color="auto"/>
        <w:left w:val="none" w:sz="0" w:space="0" w:color="auto"/>
        <w:bottom w:val="none" w:sz="0" w:space="0" w:color="auto"/>
        <w:right w:val="none" w:sz="0" w:space="0" w:color="auto"/>
      </w:divBdr>
    </w:div>
    <w:div w:id="1021470722">
      <w:bodyDiv w:val="1"/>
      <w:marLeft w:val="0"/>
      <w:marRight w:val="0"/>
      <w:marTop w:val="0"/>
      <w:marBottom w:val="0"/>
      <w:divBdr>
        <w:top w:val="none" w:sz="0" w:space="0" w:color="auto"/>
        <w:left w:val="none" w:sz="0" w:space="0" w:color="auto"/>
        <w:bottom w:val="none" w:sz="0" w:space="0" w:color="auto"/>
        <w:right w:val="none" w:sz="0" w:space="0" w:color="auto"/>
      </w:divBdr>
    </w:div>
    <w:div w:id="1023827348">
      <w:bodyDiv w:val="1"/>
      <w:marLeft w:val="0"/>
      <w:marRight w:val="0"/>
      <w:marTop w:val="0"/>
      <w:marBottom w:val="0"/>
      <w:divBdr>
        <w:top w:val="none" w:sz="0" w:space="0" w:color="auto"/>
        <w:left w:val="none" w:sz="0" w:space="0" w:color="auto"/>
        <w:bottom w:val="none" w:sz="0" w:space="0" w:color="auto"/>
        <w:right w:val="none" w:sz="0" w:space="0" w:color="auto"/>
      </w:divBdr>
    </w:div>
    <w:div w:id="1088575202">
      <w:bodyDiv w:val="1"/>
      <w:marLeft w:val="0"/>
      <w:marRight w:val="0"/>
      <w:marTop w:val="0"/>
      <w:marBottom w:val="0"/>
      <w:divBdr>
        <w:top w:val="none" w:sz="0" w:space="0" w:color="auto"/>
        <w:left w:val="none" w:sz="0" w:space="0" w:color="auto"/>
        <w:bottom w:val="none" w:sz="0" w:space="0" w:color="auto"/>
        <w:right w:val="none" w:sz="0" w:space="0" w:color="auto"/>
      </w:divBdr>
      <w:divsChild>
        <w:div w:id="1581914435">
          <w:marLeft w:val="0"/>
          <w:marRight w:val="0"/>
          <w:marTop w:val="0"/>
          <w:marBottom w:val="0"/>
          <w:divBdr>
            <w:top w:val="none" w:sz="0" w:space="0" w:color="auto"/>
            <w:left w:val="none" w:sz="0" w:space="0" w:color="auto"/>
            <w:bottom w:val="none" w:sz="0" w:space="0" w:color="auto"/>
            <w:right w:val="none" w:sz="0" w:space="0" w:color="auto"/>
          </w:divBdr>
          <w:divsChild>
            <w:div w:id="1548057671">
              <w:marLeft w:val="0"/>
              <w:marRight w:val="0"/>
              <w:marTop w:val="0"/>
              <w:marBottom w:val="0"/>
              <w:divBdr>
                <w:top w:val="none" w:sz="0" w:space="0" w:color="auto"/>
                <w:left w:val="none" w:sz="0" w:space="0" w:color="auto"/>
                <w:bottom w:val="none" w:sz="0" w:space="0" w:color="auto"/>
                <w:right w:val="none" w:sz="0" w:space="0" w:color="auto"/>
              </w:divBdr>
              <w:divsChild>
                <w:div w:id="15210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1608">
      <w:bodyDiv w:val="1"/>
      <w:marLeft w:val="0"/>
      <w:marRight w:val="0"/>
      <w:marTop w:val="0"/>
      <w:marBottom w:val="0"/>
      <w:divBdr>
        <w:top w:val="none" w:sz="0" w:space="0" w:color="auto"/>
        <w:left w:val="none" w:sz="0" w:space="0" w:color="auto"/>
        <w:bottom w:val="none" w:sz="0" w:space="0" w:color="auto"/>
        <w:right w:val="none" w:sz="0" w:space="0" w:color="auto"/>
      </w:divBdr>
    </w:div>
    <w:div w:id="1341736828">
      <w:bodyDiv w:val="1"/>
      <w:marLeft w:val="0"/>
      <w:marRight w:val="0"/>
      <w:marTop w:val="0"/>
      <w:marBottom w:val="0"/>
      <w:divBdr>
        <w:top w:val="none" w:sz="0" w:space="0" w:color="auto"/>
        <w:left w:val="none" w:sz="0" w:space="0" w:color="auto"/>
        <w:bottom w:val="none" w:sz="0" w:space="0" w:color="auto"/>
        <w:right w:val="none" w:sz="0" w:space="0" w:color="auto"/>
      </w:divBdr>
    </w:div>
    <w:div w:id="1364476739">
      <w:bodyDiv w:val="1"/>
      <w:marLeft w:val="0"/>
      <w:marRight w:val="0"/>
      <w:marTop w:val="0"/>
      <w:marBottom w:val="0"/>
      <w:divBdr>
        <w:top w:val="none" w:sz="0" w:space="0" w:color="auto"/>
        <w:left w:val="none" w:sz="0" w:space="0" w:color="auto"/>
        <w:bottom w:val="none" w:sz="0" w:space="0" w:color="auto"/>
        <w:right w:val="none" w:sz="0" w:space="0" w:color="auto"/>
      </w:divBdr>
      <w:divsChild>
        <w:div w:id="1230461977">
          <w:marLeft w:val="0"/>
          <w:marRight w:val="0"/>
          <w:marTop w:val="0"/>
          <w:marBottom w:val="0"/>
          <w:divBdr>
            <w:top w:val="none" w:sz="0" w:space="0" w:color="auto"/>
            <w:left w:val="none" w:sz="0" w:space="0" w:color="auto"/>
            <w:bottom w:val="none" w:sz="0" w:space="0" w:color="auto"/>
            <w:right w:val="none" w:sz="0" w:space="0" w:color="auto"/>
          </w:divBdr>
          <w:divsChild>
            <w:div w:id="608245823">
              <w:marLeft w:val="0"/>
              <w:marRight w:val="0"/>
              <w:marTop w:val="0"/>
              <w:marBottom w:val="0"/>
              <w:divBdr>
                <w:top w:val="none" w:sz="0" w:space="0" w:color="auto"/>
                <w:left w:val="none" w:sz="0" w:space="0" w:color="auto"/>
                <w:bottom w:val="none" w:sz="0" w:space="0" w:color="auto"/>
                <w:right w:val="none" w:sz="0" w:space="0" w:color="auto"/>
              </w:divBdr>
              <w:divsChild>
                <w:div w:id="9977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0118">
      <w:bodyDiv w:val="1"/>
      <w:marLeft w:val="0"/>
      <w:marRight w:val="0"/>
      <w:marTop w:val="0"/>
      <w:marBottom w:val="0"/>
      <w:divBdr>
        <w:top w:val="none" w:sz="0" w:space="0" w:color="auto"/>
        <w:left w:val="none" w:sz="0" w:space="0" w:color="auto"/>
        <w:bottom w:val="none" w:sz="0" w:space="0" w:color="auto"/>
        <w:right w:val="none" w:sz="0" w:space="0" w:color="auto"/>
      </w:divBdr>
      <w:divsChild>
        <w:div w:id="406925024">
          <w:marLeft w:val="0"/>
          <w:marRight w:val="0"/>
          <w:marTop w:val="0"/>
          <w:marBottom w:val="0"/>
          <w:divBdr>
            <w:top w:val="none" w:sz="0" w:space="0" w:color="auto"/>
            <w:left w:val="none" w:sz="0" w:space="0" w:color="auto"/>
            <w:bottom w:val="none" w:sz="0" w:space="0" w:color="auto"/>
            <w:right w:val="none" w:sz="0" w:space="0" w:color="auto"/>
          </w:divBdr>
          <w:divsChild>
            <w:div w:id="1912544355">
              <w:marLeft w:val="0"/>
              <w:marRight w:val="0"/>
              <w:marTop w:val="0"/>
              <w:marBottom w:val="0"/>
              <w:divBdr>
                <w:top w:val="none" w:sz="0" w:space="0" w:color="auto"/>
                <w:left w:val="none" w:sz="0" w:space="0" w:color="auto"/>
                <w:bottom w:val="none" w:sz="0" w:space="0" w:color="auto"/>
                <w:right w:val="none" w:sz="0" w:space="0" w:color="auto"/>
              </w:divBdr>
              <w:divsChild>
                <w:div w:id="4444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952">
      <w:bodyDiv w:val="1"/>
      <w:marLeft w:val="0"/>
      <w:marRight w:val="0"/>
      <w:marTop w:val="0"/>
      <w:marBottom w:val="0"/>
      <w:divBdr>
        <w:top w:val="none" w:sz="0" w:space="0" w:color="auto"/>
        <w:left w:val="none" w:sz="0" w:space="0" w:color="auto"/>
        <w:bottom w:val="none" w:sz="0" w:space="0" w:color="auto"/>
        <w:right w:val="none" w:sz="0" w:space="0" w:color="auto"/>
      </w:divBdr>
      <w:divsChild>
        <w:div w:id="1546213084">
          <w:marLeft w:val="240"/>
          <w:marRight w:val="0"/>
          <w:marTop w:val="0"/>
          <w:marBottom w:val="0"/>
          <w:divBdr>
            <w:top w:val="none" w:sz="0" w:space="0" w:color="auto"/>
            <w:left w:val="none" w:sz="0" w:space="0" w:color="auto"/>
            <w:bottom w:val="none" w:sz="0" w:space="0" w:color="auto"/>
            <w:right w:val="none" w:sz="0" w:space="0" w:color="auto"/>
          </w:divBdr>
        </w:div>
        <w:div w:id="1199314961">
          <w:marLeft w:val="0"/>
          <w:marRight w:val="0"/>
          <w:marTop w:val="0"/>
          <w:marBottom w:val="0"/>
          <w:divBdr>
            <w:top w:val="none" w:sz="0" w:space="0" w:color="auto"/>
            <w:left w:val="none" w:sz="0" w:space="0" w:color="auto"/>
            <w:bottom w:val="none" w:sz="0" w:space="0" w:color="auto"/>
            <w:right w:val="none" w:sz="0" w:space="0" w:color="auto"/>
          </w:divBdr>
        </w:div>
      </w:divsChild>
    </w:div>
    <w:div w:id="1563565649">
      <w:bodyDiv w:val="1"/>
      <w:marLeft w:val="0"/>
      <w:marRight w:val="0"/>
      <w:marTop w:val="0"/>
      <w:marBottom w:val="0"/>
      <w:divBdr>
        <w:top w:val="none" w:sz="0" w:space="0" w:color="auto"/>
        <w:left w:val="none" w:sz="0" w:space="0" w:color="auto"/>
        <w:bottom w:val="none" w:sz="0" w:space="0" w:color="auto"/>
        <w:right w:val="none" w:sz="0" w:space="0" w:color="auto"/>
      </w:divBdr>
      <w:divsChild>
        <w:div w:id="960962508">
          <w:marLeft w:val="0"/>
          <w:marRight w:val="0"/>
          <w:marTop w:val="0"/>
          <w:marBottom w:val="0"/>
          <w:divBdr>
            <w:top w:val="none" w:sz="0" w:space="0" w:color="auto"/>
            <w:left w:val="none" w:sz="0" w:space="0" w:color="auto"/>
            <w:bottom w:val="none" w:sz="0" w:space="0" w:color="auto"/>
            <w:right w:val="none" w:sz="0" w:space="0" w:color="auto"/>
          </w:divBdr>
          <w:divsChild>
            <w:div w:id="470904391">
              <w:marLeft w:val="0"/>
              <w:marRight w:val="0"/>
              <w:marTop w:val="0"/>
              <w:marBottom w:val="0"/>
              <w:divBdr>
                <w:top w:val="none" w:sz="0" w:space="0" w:color="auto"/>
                <w:left w:val="none" w:sz="0" w:space="0" w:color="auto"/>
                <w:bottom w:val="none" w:sz="0" w:space="0" w:color="auto"/>
                <w:right w:val="none" w:sz="0" w:space="0" w:color="auto"/>
              </w:divBdr>
              <w:divsChild>
                <w:div w:id="6381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0990">
      <w:bodyDiv w:val="1"/>
      <w:marLeft w:val="0"/>
      <w:marRight w:val="0"/>
      <w:marTop w:val="0"/>
      <w:marBottom w:val="0"/>
      <w:divBdr>
        <w:top w:val="none" w:sz="0" w:space="0" w:color="auto"/>
        <w:left w:val="none" w:sz="0" w:space="0" w:color="auto"/>
        <w:bottom w:val="none" w:sz="0" w:space="0" w:color="auto"/>
        <w:right w:val="none" w:sz="0" w:space="0" w:color="auto"/>
      </w:divBdr>
      <w:divsChild>
        <w:div w:id="674496548">
          <w:marLeft w:val="0"/>
          <w:marRight w:val="0"/>
          <w:marTop w:val="0"/>
          <w:marBottom w:val="0"/>
          <w:divBdr>
            <w:top w:val="none" w:sz="0" w:space="0" w:color="auto"/>
            <w:left w:val="none" w:sz="0" w:space="0" w:color="auto"/>
            <w:bottom w:val="none" w:sz="0" w:space="0" w:color="auto"/>
            <w:right w:val="none" w:sz="0" w:space="0" w:color="auto"/>
          </w:divBdr>
          <w:divsChild>
            <w:div w:id="220946820">
              <w:marLeft w:val="0"/>
              <w:marRight w:val="0"/>
              <w:marTop w:val="0"/>
              <w:marBottom w:val="0"/>
              <w:divBdr>
                <w:top w:val="none" w:sz="0" w:space="0" w:color="auto"/>
                <w:left w:val="none" w:sz="0" w:space="0" w:color="auto"/>
                <w:bottom w:val="none" w:sz="0" w:space="0" w:color="auto"/>
                <w:right w:val="none" w:sz="0" w:space="0" w:color="auto"/>
              </w:divBdr>
              <w:divsChild>
                <w:div w:id="20282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5683">
      <w:bodyDiv w:val="1"/>
      <w:marLeft w:val="0"/>
      <w:marRight w:val="0"/>
      <w:marTop w:val="0"/>
      <w:marBottom w:val="0"/>
      <w:divBdr>
        <w:top w:val="none" w:sz="0" w:space="0" w:color="auto"/>
        <w:left w:val="none" w:sz="0" w:space="0" w:color="auto"/>
        <w:bottom w:val="none" w:sz="0" w:space="0" w:color="auto"/>
        <w:right w:val="none" w:sz="0" w:space="0" w:color="auto"/>
      </w:divBdr>
    </w:div>
    <w:div w:id="1839154043">
      <w:bodyDiv w:val="1"/>
      <w:marLeft w:val="0"/>
      <w:marRight w:val="0"/>
      <w:marTop w:val="0"/>
      <w:marBottom w:val="0"/>
      <w:divBdr>
        <w:top w:val="none" w:sz="0" w:space="0" w:color="auto"/>
        <w:left w:val="none" w:sz="0" w:space="0" w:color="auto"/>
        <w:bottom w:val="none" w:sz="0" w:space="0" w:color="auto"/>
        <w:right w:val="none" w:sz="0" w:space="0" w:color="auto"/>
      </w:divBdr>
      <w:divsChild>
        <w:div w:id="417361260">
          <w:marLeft w:val="0"/>
          <w:marRight w:val="0"/>
          <w:marTop w:val="0"/>
          <w:marBottom w:val="0"/>
          <w:divBdr>
            <w:top w:val="none" w:sz="0" w:space="0" w:color="auto"/>
            <w:left w:val="none" w:sz="0" w:space="0" w:color="auto"/>
            <w:bottom w:val="none" w:sz="0" w:space="0" w:color="auto"/>
            <w:right w:val="none" w:sz="0" w:space="0" w:color="auto"/>
          </w:divBdr>
          <w:divsChild>
            <w:div w:id="1178733499">
              <w:marLeft w:val="0"/>
              <w:marRight w:val="0"/>
              <w:marTop w:val="0"/>
              <w:marBottom w:val="0"/>
              <w:divBdr>
                <w:top w:val="none" w:sz="0" w:space="0" w:color="auto"/>
                <w:left w:val="none" w:sz="0" w:space="0" w:color="auto"/>
                <w:bottom w:val="none" w:sz="0" w:space="0" w:color="auto"/>
                <w:right w:val="none" w:sz="0" w:space="0" w:color="auto"/>
              </w:divBdr>
              <w:divsChild>
                <w:div w:id="1343776153">
                  <w:marLeft w:val="0"/>
                  <w:marRight w:val="0"/>
                  <w:marTop w:val="0"/>
                  <w:marBottom w:val="0"/>
                  <w:divBdr>
                    <w:top w:val="none" w:sz="0" w:space="0" w:color="auto"/>
                    <w:left w:val="none" w:sz="0" w:space="0" w:color="auto"/>
                    <w:bottom w:val="none" w:sz="0" w:space="0" w:color="auto"/>
                    <w:right w:val="none" w:sz="0" w:space="0" w:color="auto"/>
                  </w:divBdr>
                  <w:divsChild>
                    <w:div w:id="18455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3825">
      <w:bodyDiv w:val="1"/>
      <w:marLeft w:val="0"/>
      <w:marRight w:val="0"/>
      <w:marTop w:val="0"/>
      <w:marBottom w:val="0"/>
      <w:divBdr>
        <w:top w:val="none" w:sz="0" w:space="0" w:color="auto"/>
        <w:left w:val="none" w:sz="0" w:space="0" w:color="auto"/>
        <w:bottom w:val="none" w:sz="0" w:space="0" w:color="auto"/>
        <w:right w:val="none" w:sz="0" w:space="0" w:color="auto"/>
      </w:divBdr>
      <w:divsChild>
        <w:div w:id="1119687869">
          <w:marLeft w:val="0"/>
          <w:marRight w:val="0"/>
          <w:marTop w:val="0"/>
          <w:marBottom w:val="0"/>
          <w:divBdr>
            <w:top w:val="none" w:sz="0" w:space="0" w:color="auto"/>
            <w:left w:val="none" w:sz="0" w:space="0" w:color="auto"/>
            <w:bottom w:val="none" w:sz="0" w:space="0" w:color="auto"/>
            <w:right w:val="none" w:sz="0" w:space="0" w:color="auto"/>
          </w:divBdr>
        </w:div>
        <w:div w:id="428695728">
          <w:marLeft w:val="0"/>
          <w:marRight w:val="0"/>
          <w:marTop w:val="0"/>
          <w:marBottom w:val="0"/>
          <w:divBdr>
            <w:top w:val="none" w:sz="0" w:space="0" w:color="auto"/>
            <w:left w:val="none" w:sz="0" w:space="0" w:color="auto"/>
            <w:bottom w:val="none" w:sz="0" w:space="0" w:color="auto"/>
            <w:right w:val="none" w:sz="0" w:space="0" w:color="auto"/>
          </w:divBdr>
        </w:div>
        <w:div w:id="1574975192">
          <w:marLeft w:val="0"/>
          <w:marRight w:val="0"/>
          <w:marTop w:val="0"/>
          <w:marBottom w:val="0"/>
          <w:divBdr>
            <w:top w:val="none" w:sz="0" w:space="0" w:color="auto"/>
            <w:left w:val="none" w:sz="0" w:space="0" w:color="auto"/>
            <w:bottom w:val="none" w:sz="0" w:space="0" w:color="auto"/>
            <w:right w:val="none" w:sz="0" w:space="0" w:color="auto"/>
          </w:divBdr>
        </w:div>
        <w:div w:id="255673620">
          <w:marLeft w:val="0"/>
          <w:marRight w:val="0"/>
          <w:marTop w:val="0"/>
          <w:marBottom w:val="0"/>
          <w:divBdr>
            <w:top w:val="none" w:sz="0" w:space="0" w:color="auto"/>
            <w:left w:val="none" w:sz="0" w:space="0" w:color="auto"/>
            <w:bottom w:val="none" w:sz="0" w:space="0" w:color="auto"/>
            <w:right w:val="none" w:sz="0" w:space="0" w:color="auto"/>
          </w:divBdr>
        </w:div>
        <w:div w:id="886992609">
          <w:marLeft w:val="0"/>
          <w:marRight w:val="0"/>
          <w:marTop w:val="0"/>
          <w:marBottom w:val="0"/>
          <w:divBdr>
            <w:top w:val="none" w:sz="0" w:space="0" w:color="auto"/>
            <w:left w:val="none" w:sz="0" w:space="0" w:color="auto"/>
            <w:bottom w:val="none" w:sz="0" w:space="0" w:color="auto"/>
            <w:right w:val="none" w:sz="0" w:space="0" w:color="auto"/>
          </w:divBdr>
        </w:div>
        <w:div w:id="1695154920">
          <w:marLeft w:val="0"/>
          <w:marRight w:val="0"/>
          <w:marTop w:val="0"/>
          <w:marBottom w:val="0"/>
          <w:divBdr>
            <w:top w:val="none" w:sz="0" w:space="0" w:color="auto"/>
            <w:left w:val="none" w:sz="0" w:space="0" w:color="auto"/>
            <w:bottom w:val="none" w:sz="0" w:space="0" w:color="auto"/>
            <w:right w:val="none" w:sz="0" w:space="0" w:color="auto"/>
          </w:divBdr>
        </w:div>
        <w:div w:id="170922228">
          <w:marLeft w:val="0"/>
          <w:marRight w:val="0"/>
          <w:marTop w:val="0"/>
          <w:marBottom w:val="0"/>
          <w:divBdr>
            <w:top w:val="none" w:sz="0" w:space="0" w:color="auto"/>
            <w:left w:val="none" w:sz="0" w:space="0" w:color="auto"/>
            <w:bottom w:val="none" w:sz="0" w:space="0" w:color="auto"/>
            <w:right w:val="none" w:sz="0" w:space="0" w:color="auto"/>
          </w:divBdr>
        </w:div>
        <w:div w:id="1670477365">
          <w:marLeft w:val="0"/>
          <w:marRight w:val="0"/>
          <w:marTop w:val="0"/>
          <w:marBottom w:val="0"/>
          <w:divBdr>
            <w:top w:val="none" w:sz="0" w:space="0" w:color="auto"/>
            <w:left w:val="none" w:sz="0" w:space="0" w:color="auto"/>
            <w:bottom w:val="none" w:sz="0" w:space="0" w:color="auto"/>
            <w:right w:val="none" w:sz="0" w:space="0" w:color="auto"/>
          </w:divBdr>
        </w:div>
        <w:div w:id="1869876621">
          <w:marLeft w:val="0"/>
          <w:marRight w:val="0"/>
          <w:marTop w:val="0"/>
          <w:marBottom w:val="0"/>
          <w:divBdr>
            <w:top w:val="none" w:sz="0" w:space="0" w:color="auto"/>
            <w:left w:val="none" w:sz="0" w:space="0" w:color="auto"/>
            <w:bottom w:val="none" w:sz="0" w:space="0" w:color="auto"/>
            <w:right w:val="none" w:sz="0" w:space="0" w:color="auto"/>
          </w:divBdr>
        </w:div>
        <w:div w:id="1559126625">
          <w:marLeft w:val="0"/>
          <w:marRight w:val="0"/>
          <w:marTop w:val="0"/>
          <w:marBottom w:val="0"/>
          <w:divBdr>
            <w:top w:val="none" w:sz="0" w:space="0" w:color="auto"/>
            <w:left w:val="none" w:sz="0" w:space="0" w:color="auto"/>
            <w:bottom w:val="none" w:sz="0" w:space="0" w:color="auto"/>
            <w:right w:val="none" w:sz="0" w:space="0" w:color="auto"/>
          </w:divBdr>
        </w:div>
        <w:div w:id="927277309">
          <w:marLeft w:val="0"/>
          <w:marRight w:val="0"/>
          <w:marTop w:val="0"/>
          <w:marBottom w:val="0"/>
          <w:divBdr>
            <w:top w:val="none" w:sz="0" w:space="0" w:color="auto"/>
            <w:left w:val="none" w:sz="0" w:space="0" w:color="auto"/>
            <w:bottom w:val="none" w:sz="0" w:space="0" w:color="auto"/>
            <w:right w:val="none" w:sz="0" w:space="0" w:color="auto"/>
          </w:divBdr>
        </w:div>
        <w:div w:id="390159960">
          <w:marLeft w:val="0"/>
          <w:marRight w:val="0"/>
          <w:marTop w:val="0"/>
          <w:marBottom w:val="0"/>
          <w:divBdr>
            <w:top w:val="none" w:sz="0" w:space="0" w:color="auto"/>
            <w:left w:val="none" w:sz="0" w:space="0" w:color="auto"/>
            <w:bottom w:val="none" w:sz="0" w:space="0" w:color="auto"/>
            <w:right w:val="none" w:sz="0" w:space="0" w:color="auto"/>
          </w:divBdr>
        </w:div>
        <w:div w:id="205720683">
          <w:marLeft w:val="0"/>
          <w:marRight w:val="0"/>
          <w:marTop w:val="0"/>
          <w:marBottom w:val="0"/>
          <w:divBdr>
            <w:top w:val="none" w:sz="0" w:space="0" w:color="auto"/>
            <w:left w:val="none" w:sz="0" w:space="0" w:color="auto"/>
            <w:bottom w:val="none" w:sz="0" w:space="0" w:color="auto"/>
            <w:right w:val="none" w:sz="0" w:space="0" w:color="auto"/>
          </w:divBdr>
        </w:div>
        <w:div w:id="1679846083">
          <w:marLeft w:val="0"/>
          <w:marRight w:val="0"/>
          <w:marTop w:val="0"/>
          <w:marBottom w:val="0"/>
          <w:divBdr>
            <w:top w:val="none" w:sz="0" w:space="0" w:color="auto"/>
            <w:left w:val="none" w:sz="0" w:space="0" w:color="auto"/>
            <w:bottom w:val="none" w:sz="0" w:space="0" w:color="auto"/>
            <w:right w:val="none" w:sz="0" w:space="0" w:color="auto"/>
          </w:divBdr>
        </w:div>
      </w:divsChild>
    </w:div>
    <w:div w:id="1987082018">
      <w:bodyDiv w:val="1"/>
      <w:marLeft w:val="0"/>
      <w:marRight w:val="0"/>
      <w:marTop w:val="0"/>
      <w:marBottom w:val="0"/>
      <w:divBdr>
        <w:top w:val="none" w:sz="0" w:space="0" w:color="auto"/>
        <w:left w:val="none" w:sz="0" w:space="0" w:color="auto"/>
        <w:bottom w:val="none" w:sz="0" w:space="0" w:color="auto"/>
        <w:right w:val="none" w:sz="0" w:space="0" w:color="auto"/>
      </w:divBdr>
      <w:divsChild>
        <w:div w:id="958872610">
          <w:marLeft w:val="0"/>
          <w:marRight w:val="0"/>
          <w:marTop w:val="0"/>
          <w:marBottom w:val="0"/>
          <w:divBdr>
            <w:top w:val="none" w:sz="0" w:space="0" w:color="auto"/>
            <w:left w:val="none" w:sz="0" w:space="0" w:color="auto"/>
            <w:bottom w:val="none" w:sz="0" w:space="0" w:color="auto"/>
            <w:right w:val="none" w:sz="0" w:space="0" w:color="auto"/>
          </w:divBdr>
          <w:divsChild>
            <w:div w:id="512454261">
              <w:marLeft w:val="0"/>
              <w:marRight w:val="0"/>
              <w:marTop w:val="0"/>
              <w:marBottom w:val="0"/>
              <w:divBdr>
                <w:top w:val="none" w:sz="0" w:space="0" w:color="auto"/>
                <w:left w:val="none" w:sz="0" w:space="0" w:color="auto"/>
                <w:bottom w:val="none" w:sz="0" w:space="0" w:color="auto"/>
                <w:right w:val="none" w:sz="0" w:space="0" w:color="auto"/>
              </w:divBdr>
              <w:divsChild>
                <w:div w:id="4000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79076">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90760783">
      <w:bodyDiv w:val="1"/>
      <w:marLeft w:val="0"/>
      <w:marRight w:val="0"/>
      <w:marTop w:val="0"/>
      <w:marBottom w:val="0"/>
      <w:divBdr>
        <w:top w:val="none" w:sz="0" w:space="0" w:color="auto"/>
        <w:left w:val="none" w:sz="0" w:space="0" w:color="auto"/>
        <w:bottom w:val="none" w:sz="0" w:space="0" w:color="auto"/>
        <w:right w:val="none" w:sz="0" w:space="0" w:color="auto"/>
      </w:divBdr>
      <w:divsChild>
        <w:div w:id="1453086179">
          <w:marLeft w:val="0"/>
          <w:marRight w:val="0"/>
          <w:marTop w:val="0"/>
          <w:marBottom w:val="0"/>
          <w:divBdr>
            <w:top w:val="none" w:sz="0" w:space="0" w:color="auto"/>
            <w:left w:val="none" w:sz="0" w:space="0" w:color="auto"/>
            <w:bottom w:val="none" w:sz="0" w:space="0" w:color="auto"/>
            <w:right w:val="none" w:sz="0" w:space="0" w:color="auto"/>
          </w:divBdr>
          <w:divsChild>
            <w:div w:id="1824270024">
              <w:marLeft w:val="0"/>
              <w:marRight w:val="0"/>
              <w:marTop w:val="0"/>
              <w:marBottom w:val="0"/>
              <w:divBdr>
                <w:top w:val="none" w:sz="0" w:space="0" w:color="auto"/>
                <w:left w:val="none" w:sz="0" w:space="0" w:color="auto"/>
                <w:bottom w:val="none" w:sz="0" w:space="0" w:color="auto"/>
                <w:right w:val="none" w:sz="0" w:space="0" w:color="auto"/>
              </w:divBdr>
              <w:divsChild>
                <w:div w:id="21387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rtineza@uaemex.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betterlifeindex.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ijme.2023.100835" TargetMode="External"/><Relationship Id="rId4" Type="http://schemas.openxmlformats.org/officeDocument/2006/relationships/settings" Target="settings.xml"/><Relationship Id="rId9" Type="http://schemas.openxmlformats.org/officeDocument/2006/relationships/hyperlink" Target="file:////insight/search%3fq=Milton%20Carlos%20Farin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2039-8147-B441-A0CC-FC4F9283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4356</Words>
  <Characters>23958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Martinez Avila</dc:creator>
  <cp:keywords/>
  <dc:description/>
  <cp:lastModifiedBy>Gustavo Toledo</cp:lastModifiedBy>
  <cp:revision>9</cp:revision>
  <cp:lastPrinted>2024-06-25T22:18:00Z</cp:lastPrinted>
  <dcterms:created xsi:type="dcterms:W3CDTF">2024-01-03T19:33:00Z</dcterms:created>
  <dcterms:modified xsi:type="dcterms:W3CDTF">2024-06-25T22:18:00Z</dcterms:modified>
</cp:coreProperties>
</file>