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CCF3" w14:textId="2EA4B3ED" w:rsidR="00421EB7" w:rsidRPr="00C23DC2" w:rsidRDefault="00C23DC2" w:rsidP="00421EB7">
      <w:pPr>
        <w:spacing w:before="240" w:after="240" w:line="360" w:lineRule="auto"/>
        <w:ind w:left="284"/>
        <w:jc w:val="right"/>
        <w:rPr>
          <w:rFonts w:ascii="Times New Roman" w:hAnsi="Times New Roman" w:cs="Times New Roman"/>
          <w:b/>
          <w:bCs/>
          <w:i/>
          <w:iCs/>
        </w:rPr>
      </w:pPr>
      <w:r w:rsidRPr="00C23DC2">
        <w:rPr>
          <w:rFonts w:ascii="Times New Roman" w:hAnsi="Times New Roman" w:cs="Times New Roman"/>
          <w:b/>
          <w:bCs/>
          <w:i/>
          <w:iCs/>
        </w:rPr>
        <w:t>https://doi.org/10.23913/ride.v12i24.1215</w:t>
      </w:r>
    </w:p>
    <w:p w14:paraId="626BBC77" w14:textId="3C99EB4A" w:rsidR="00421EB7" w:rsidRDefault="00421EB7" w:rsidP="00421EB7">
      <w:pPr>
        <w:spacing w:before="240" w:after="240" w:line="360" w:lineRule="auto"/>
        <w:ind w:left="284"/>
        <w:jc w:val="right"/>
        <w:rPr>
          <w:rFonts w:ascii="Times New Roman" w:hAnsi="Times New Roman" w:cs="Times New Roman"/>
          <w:b/>
          <w:bCs/>
          <w:sz w:val="32"/>
          <w:szCs w:val="28"/>
          <w:lang w:val="es-ES"/>
        </w:rPr>
      </w:pPr>
      <w:r w:rsidRPr="00E83B4F">
        <w:rPr>
          <w:rFonts w:ascii="Times New Roman" w:hAnsi="Times New Roman" w:cs="Times New Roman"/>
          <w:b/>
          <w:bCs/>
          <w:i/>
          <w:iCs/>
        </w:rPr>
        <w:t>Artículos científicos</w:t>
      </w:r>
    </w:p>
    <w:p w14:paraId="570EA8DB" w14:textId="0200593A" w:rsidR="003471DB" w:rsidRPr="00421EB7" w:rsidRDefault="003471DB" w:rsidP="00421EB7">
      <w:pPr>
        <w:spacing w:line="276" w:lineRule="auto"/>
        <w:ind w:left="284"/>
        <w:jc w:val="right"/>
        <w:rPr>
          <w:rFonts w:ascii="Calibri" w:eastAsia="Times New Roman" w:hAnsi="Calibri" w:cs="Calibri"/>
          <w:b/>
          <w:color w:val="000000"/>
          <w:sz w:val="36"/>
          <w:szCs w:val="36"/>
          <w:lang w:val="es-MX" w:eastAsia="es-MX"/>
        </w:rPr>
      </w:pPr>
      <w:r w:rsidRPr="00421EB7">
        <w:rPr>
          <w:rFonts w:ascii="Calibri" w:eastAsia="Times New Roman" w:hAnsi="Calibri" w:cs="Calibri"/>
          <w:b/>
          <w:color w:val="000000"/>
          <w:sz w:val="36"/>
          <w:szCs w:val="36"/>
          <w:lang w:val="es-MX" w:eastAsia="es-MX"/>
        </w:rPr>
        <w:t xml:space="preserve">Estrategias para el fomento </w:t>
      </w:r>
      <w:r w:rsidR="005362B5" w:rsidRPr="00421EB7">
        <w:rPr>
          <w:rFonts w:ascii="Calibri" w:eastAsia="Times New Roman" w:hAnsi="Calibri" w:cs="Calibri"/>
          <w:b/>
          <w:color w:val="000000"/>
          <w:sz w:val="36"/>
          <w:szCs w:val="36"/>
          <w:lang w:val="es-MX" w:eastAsia="es-MX"/>
        </w:rPr>
        <w:t>de</w:t>
      </w:r>
      <w:r w:rsidRPr="00421EB7">
        <w:rPr>
          <w:rFonts w:ascii="Calibri" w:eastAsia="Times New Roman" w:hAnsi="Calibri" w:cs="Calibri"/>
          <w:b/>
          <w:color w:val="000000"/>
          <w:sz w:val="36"/>
          <w:szCs w:val="36"/>
          <w:lang w:val="es-MX" w:eastAsia="es-MX"/>
        </w:rPr>
        <w:t xml:space="preserve"> las vocaciones científicas </w:t>
      </w:r>
      <w:r w:rsidR="00CC2E10" w:rsidRPr="00421EB7">
        <w:rPr>
          <w:rFonts w:ascii="Calibri" w:eastAsia="Times New Roman" w:hAnsi="Calibri" w:cs="Calibri"/>
          <w:b/>
          <w:color w:val="000000"/>
          <w:sz w:val="36"/>
          <w:szCs w:val="36"/>
          <w:lang w:val="es-MX" w:eastAsia="es-MX"/>
        </w:rPr>
        <w:t xml:space="preserve">a partir de la </w:t>
      </w:r>
      <w:r w:rsidR="00FD400E" w:rsidRPr="00421EB7">
        <w:rPr>
          <w:rFonts w:ascii="Calibri" w:eastAsia="Times New Roman" w:hAnsi="Calibri" w:cs="Calibri"/>
          <w:b/>
          <w:color w:val="000000"/>
          <w:sz w:val="36"/>
          <w:szCs w:val="36"/>
          <w:lang w:val="es-MX" w:eastAsia="es-MX"/>
        </w:rPr>
        <w:t>c</w:t>
      </w:r>
      <w:r w:rsidR="00CC2E10" w:rsidRPr="00421EB7">
        <w:rPr>
          <w:rFonts w:ascii="Calibri" w:eastAsia="Times New Roman" w:hAnsi="Calibri" w:cs="Calibri"/>
          <w:b/>
          <w:color w:val="000000"/>
          <w:sz w:val="36"/>
          <w:szCs w:val="36"/>
          <w:lang w:val="es-MX" w:eastAsia="es-MX"/>
        </w:rPr>
        <w:t>ovid-19</w:t>
      </w:r>
      <w:r w:rsidR="003916B9" w:rsidRPr="00421EB7">
        <w:rPr>
          <w:rFonts w:ascii="Calibri" w:eastAsia="Times New Roman" w:hAnsi="Calibri" w:cs="Calibri"/>
          <w:b/>
          <w:color w:val="000000"/>
          <w:sz w:val="36"/>
          <w:szCs w:val="36"/>
          <w:lang w:val="es-MX" w:eastAsia="es-MX"/>
        </w:rPr>
        <w:t xml:space="preserve"> en los jóvenes de educación superior</w:t>
      </w:r>
      <w:r w:rsidR="00394583" w:rsidRPr="00421EB7">
        <w:rPr>
          <w:rFonts w:ascii="Calibri" w:eastAsia="Times New Roman" w:hAnsi="Calibri" w:cs="Calibri"/>
          <w:b/>
          <w:color w:val="000000"/>
          <w:sz w:val="36"/>
          <w:szCs w:val="36"/>
          <w:lang w:val="es-MX" w:eastAsia="es-MX"/>
        </w:rPr>
        <w:t xml:space="preserve"> en Yucatán, México</w:t>
      </w:r>
    </w:p>
    <w:p w14:paraId="1D6AF020" w14:textId="651796D9" w:rsidR="00DA491A" w:rsidRPr="00F52CBE" w:rsidRDefault="00421EB7" w:rsidP="00421EB7">
      <w:pPr>
        <w:spacing w:line="276" w:lineRule="auto"/>
        <w:jc w:val="right"/>
        <w:rPr>
          <w:rFonts w:ascii="Calibri" w:eastAsia="Times New Roman" w:hAnsi="Calibri" w:cs="Calibri"/>
          <w:b/>
          <w:i/>
          <w:iCs/>
          <w:color w:val="000000"/>
          <w:sz w:val="28"/>
          <w:szCs w:val="28"/>
          <w:lang w:val="en-US" w:eastAsia="es-MX"/>
        </w:rPr>
      </w:pPr>
      <w:r w:rsidRPr="00041986">
        <w:rPr>
          <w:rFonts w:ascii="Calibri" w:eastAsia="Times New Roman" w:hAnsi="Calibri" w:cs="Calibri"/>
          <w:b/>
          <w:i/>
          <w:iCs/>
          <w:color w:val="000000"/>
          <w:sz w:val="28"/>
          <w:szCs w:val="28"/>
          <w:lang w:val="en-US" w:eastAsia="es-MX"/>
        </w:rPr>
        <w:br/>
      </w:r>
      <w:r w:rsidR="00DA491A" w:rsidRPr="00F52CBE">
        <w:rPr>
          <w:rFonts w:ascii="Calibri" w:eastAsia="Times New Roman" w:hAnsi="Calibri" w:cs="Calibri"/>
          <w:b/>
          <w:i/>
          <w:iCs/>
          <w:color w:val="000000"/>
          <w:sz w:val="28"/>
          <w:szCs w:val="28"/>
          <w:lang w:val="en-US" w:eastAsia="es-MX"/>
        </w:rPr>
        <w:t xml:space="preserve">Strategies </w:t>
      </w:r>
      <w:r w:rsidR="00FD400E" w:rsidRPr="00F52CBE">
        <w:rPr>
          <w:rFonts w:ascii="Calibri" w:eastAsia="Times New Roman" w:hAnsi="Calibri" w:cs="Calibri"/>
          <w:b/>
          <w:i/>
          <w:iCs/>
          <w:color w:val="000000"/>
          <w:sz w:val="28"/>
          <w:szCs w:val="28"/>
          <w:lang w:val="en-US" w:eastAsia="es-MX"/>
        </w:rPr>
        <w:t xml:space="preserve">To Promote Scientific Vocations from COVID-19 in Young People in Higher Education in </w:t>
      </w:r>
      <w:r w:rsidR="00D73D91" w:rsidRPr="00F52CBE">
        <w:rPr>
          <w:rFonts w:ascii="Calibri" w:eastAsia="Times New Roman" w:hAnsi="Calibri" w:cs="Calibri"/>
          <w:b/>
          <w:i/>
          <w:iCs/>
          <w:color w:val="000000"/>
          <w:sz w:val="28"/>
          <w:szCs w:val="28"/>
          <w:lang w:val="en-US" w:eastAsia="es-MX"/>
        </w:rPr>
        <w:t>Yucatán</w:t>
      </w:r>
      <w:r w:rsidR="00FD400E" w:rsidRPr="00F52CBE">
        <w:rPr>
          <w:rFonts w:ascii="Calibri" w:eastAsia="Times New Roman" w:hAnsi="Calibri" w:cs="Calibri"/>
          <w:b/>
          <w:i/>
          <w:iCs/>
          <w:color w:val="000000"/>
          <w:sz w:val="28"/>
          <w:szCs w:val="28"/>
          <w:lang w:val="en-US" w:eastAsia="es-MX"/>
        </w:rPr>
        <w:t xml:space="preserve">, </w:t>
      </w:r>
      <w:r w:rsidR="00D73D91" w:rsidRPr="00F52CBE">
        <w:rPr>
          <w:rFonts w:ascii="Calibri" w:eastAsia="Times New Roman" w:hAnsi="Calibri" w:cs="Calibri"/>
          <w:b/>
          <w:i/>
          <w:iCs/>
          <w:color w:val="000000"/>
          <w:sz w:val="28"/>
          <w:szCs w:val="28"/>
          <w:lang w:val="en-US" w:eastAsia="es-MX"/>
        </w:rPr>
        <w:t>México</w:t>
      </w:r>
    </w:p>
    <w:p w14:paraId="136365FE" w14:textId="5502FF49" w:rsidR="00421EB7" w:rsidRPr="00421EB7" w:rsidRDefault="00421EB7" w:rsidP="00421EB7">
      <w:pPr>
        <w:spacing w:line="276" w:lineRule="auto"/>
        <w:jc w:val="right"/>
        <w:rPr>
          <w:rFonts w:ascii="Calibri" w:eastAsia="Times New Roman" w:hAnsi="Calibri" w:cs="Calibri"/>
          <w:b/>
          <w:i/>
          <w:iCs/>
          <w:color w:val="000000"/>
          <w:sz w:val="28"/>
          <w:szCs w:val="28"/>
          <w:lang w:val="es-MX" w:eastAsia="es-MX"/>
        </w:rPr>
      </w:pPr>
      <w:r w:rsidRPr="00041986">
        <w:rPr>
          <w:rFonts w:ascii="Calibri" w:eastAsia="Times New Roman" w:hAnsi="Calibri" w:cs="Calibri"/>
          <w:b/>
          <w:i/>
          <w:iCs/>
          <w:color w:val="000000"/>
          <w:sz w:val="28"/>
          <w:szCs w:val="28"/>
          <w:lang w:val="es-MX" w:eastAsia="es-MX"/>
        </w:rPr>
        <w:br/>
      </w:r>
      <w:proofErr w:type="spellStart"/>
      <w:r w:rsidRPr="00421EB7">
        <w:rPr>
          <w:rFonts w:ascii="Calibri" w:eastAsia="Times New Roman" w:hAnsi="Calibri" w:cs="Calibri"/>
          <w:b/>
          <w:i/>
          <w:iCs/>
          <w:color w:val="000000"/>
          <w:sz w:val="28"/>
          <w:szCs w:val="28"/>
          <w:lang w:val="es-MX" w:eastAsia="es-MX"/>
        </w:rPr>
        <w:t>Estratégias</w:t>
      </w:r>
      <w:proofErr w:type="spellEnd"/>
      <w:r w:rsidRPr="00421EB7">
        <w:rPr>
          <w:rFonts w:ascii="Calibri" w:eastAsia="Times New Roman" w:hAnsi="Calibri" w:cs="Calibri"/>
          <w:b/>
          <w:i/>
          <w:iCs/>
          <w:color w:val="000000"/>
          <w:sz w:val="28"/>
          <w:szCs w:val="28"/>
          <w:lang w:val="es-MX" w:eastAsia="es-MX"/>
        </w:rPr>
        <w:t xml:space="preserve"> para a </w:t>
      </w:r>
      <w:proofErr w:type="spellStart"/>
      <w:r w:rsidRPr="00421EB7">
        <w:rPr>
          <w:rFonts w:ascii="Calibri" w:eastAsia="Times New Roman" w:hAnsi="Calibri" w:cs="Calibri"/>
          <w:b/>
          <w:i/>
          <w:iCs/>
          <w:color w:val="000000"/>
          <w:sz w:val="28"/>
          <w:szCs w:val="28"/>
          <w:lang w:val="es-MX" w:eastAsia="es-MX"/>
        </w:rPr>
        <w:t>promoção</w:t>
      </w:r>
      <w:proofErr w:type="spellEnd"/>
      <w:r w:rsidRPr="00421EB7">
        <w:rPr>
          <w:rFonts w:ascii="Calibri" w:eastAsia="Times New Roman" w:hAnsi="Calibri" w:cs="Calibri"/>
          <w:b/>
          <w:i/>
          <w:iCs/>
          <w:color w:val="000000"/>
          <w:sz w:val="28"/>
          <w:szCs w:val="28"/>
          <w:lang w:val="es-MX" w:eastAsia="es-MX"/>
        </w:rPr>
        <w:t xml:space="preserve"> de </w:t>
      </w:r>
      <w:proofErr w:type="spellStart"/>
      <w:r w:rsidRPr="00421EB7">
        <w:rPr>
          <w:rFonts w:ascii="Calibri" w:eastAsia="Times New Roman" w:hAnsi="Calibri" w:cs="Calibri"/>
          <w:b/>
          <w:i/>
          <w:iCs/>
          <w:color w:val="000000"/>
          <w:sz w:val="28"/>
          <w:szCs w:val="28"/>
          <w:lang w:val="es-MX" w:eastAsia="es-MX"/>
        </w:rPr>
        <w:t>vocações</w:t>
      </w:r>
      <w:proofErr w:type="spellEnd"/>
      <w:r w:rsidRPr="00421EB7">
        <w:rPr>
          <w:rFonts w:ascii="Calibri" w:eastAsia="Times New Roman" w:hAnsi="Calibri" w:cs="Calibri"/>
          <w:b/>
          <w:i/>
          <w:iCs/>
          <w:color w:val="000000"/>
          <w:sz w:val="28"/>
          <w:szCs w:val="28"/>
          <w:lang w:val="es-MX" w:eastAsia="es-MX"/>
        </w:rPr>
        <w:t xml:space="preserve"> científicas da covid-19 em </w:t>
      </w:r>
      <w:proofErr w:type="spellStart"/>
      <w:r w:rsidRPr="00421EB7">
        <w:rPr>
          <w:rFonts w:ascii="Calibri" w:eastAsia="Times New Roman" w:hAnsi="Calibri" w:cs="Calibri"/>
          <w:b/>
          <w:i/>
          <w:iCs/>
          <w:color w:val="000000"/>
          <w:sz w:val="28"/>
          <w:szCs w:val="28"/>
          <w:lang w:val="es-MX" w:eastAsia="es-MX"/>
        </w:rPr>
        <w:t>jovens</w:t>
      </w:r>
      <w:proofErr w:type="spellEnd"/>
      <w:r w:rsidRPr="00421EB7">
        <w:rPr>
          <w:rFonts w:ascii="Calibri" w:eastAsia="Times New Roman" w:hAnsi="Calibri" w:cs="Calibri"/>
          <w:b/>
          <w:i/>
          <w:iCs/>
          <w:color w:val="000000"/>
          <w:sz w:val="28"/>
          <w:szCs w:val="28"/>
          <w:lang w:val="es-MX" w:eastAsia="es-MX"/>
        </w:rPr>
        <w:t xml:space="preserve"> do </w:t>
      </w:r>
      <w:proofErr w:type="spellStart"/>
      <w:r w:rsidRPr="00421EB7">
        <w:rPr>
          <w:rFonts w:ascii="Calibri" w:eastAsia="Times New Roman" w:hAnsi="Calibri" w:cs="Calibri"/>
          <w:b/>
          <w:i/>
          <w:iCs/>
          <w:color w:val="000000"/>
          <w:sz w:val="28"/>
          <w:szCs w:val="28"/>
          <w:lang w:val="es-MX" w:eastAsia="es-MX"/>
        </w:rPr>
        <w:t>ensino</w:t>
      </w:r>
      <w:proofErr w:type="spellEnd"/>
      <w:r w:rsidRPr="00421EB7">
        <w:rPr>
          <w:rFonts w:ascii="Calibri" w:eastAsia="Times New Roman" w:hAnsi="Calibri" w:cs="Calibri"/>
          <w:b/>
          <w:i/>
          <w:iCs/>
          <w:color w:val="000000"/>
          <w:sz w:val="28"/>
          <w:szCs w:val="28"/>
          <w:lang w:val="es-MX" w:eastAsia="es-MX"/>
        </w:rPr>
        <w:t xml:space="preserve"> superior em Yucatán, México</w:t>
      </w:r>
    </w:p>
    <w:p w14:paraId="6A10180E" w14:textId="77777777" w:rsidR="00FD400E" w:rsidRPr="00421EB7" w:rsidRDefault="00FD400E" w:rsidP="00FD400E">
      <w:pPr>
        <w:spacing w:line="360" w:lineRule="auto"/>
        <w:ind w:right="360"/>
        <w:rPr>
          <w:rFonts w:ascii="Times New Roman" w:hAnsi="Times New Roman" w:cs="Times New Roman"/>
          <w:iCs/>
          <w:lang w:val="es-MX"/>
        </w:rPr>
      </w:pPr>
    </w:p>
    <w:p w14:paraId="69F24B4A" w14:textId="710BDB18" w:rsidR="00F42047" w:rsidRPr="00421EB7" w:rsidRDefault="00F42047" w:rsidP="00421EB7">
      <w:pPr>
        <w:spacing w:line="276" w:lineRule="auto"/>
        <w:ind w:right="49"/>
        <w:jc w:val="right"/>
        <w:rPr>
          <w:rFonts w:cstheme="minorHAnsi"/>
          <w:b/>
          <w:bCs/>
          <w:iCs/>
          <w:lang w:val="es-MX"/>
        </w:rPr>
      </w:pPr>
      <w:r w:rsidRPr="00421EB7">
        <w:rPr>
          <w:rFonts w:cstheme="minorHAnsi"/>
          <w:b/>
          <w:bCs/>
          <w:iCs/>
          <w:lang w:val="es-MX"/>
        </w:rPr>
        <w:t>Karina Concepción González Herrera</w:t>
      </w:r>
    </w:p>
    <w:p w14:paraId="6C721E93" w14:textId="77777777" w:rsidR="00421EB7" w:rsidRDefault="00421EB7" w:rsidP="00421EB7">
      <w:pPr>
        <w:spacing w:line="276" w:lineRule="auto"/>
        <w:ind w:right="49"/>
        <w:jc w:val="right"/>
        <w:rPr>
          <w:rFonts w:asciiTheme="majorBidi" w:hAnsiTheme="majorBidi" w:cstheme="majorBidi"/>
        </w:rPr>
      </w:pPr>
      <w:r w:rsidRPr="00191E0C">
        <w:rPr>
          <w:rFonts w:asciiTheme="majorBidi" w:hAnsiTheme="majorBidi" w:cstheme="majorBidi"/>
        </w:rPr>
        <w:t>Universidad Tecnológica Metropolitana, México</w:t>
      </w:r>
    </w:p>
    <w:p w14:paraId="3565E568" w14:textId="0EC3110F" w:rsidR="00421EB7" w:rsidRPr="00421EB7" w:rsidRDefault="00421EB7" w:rsidP="00421EB7">
      <w:pPr>
        <w:spacing w:line="276" w:lineRule="auto"/>
        <w:ind w:right="49"/>
        <w:jc w:val="right"/>
        <w:rPr>
          <w:rFonts w:cstheme="minorHAnsi"/>
          <w:iCs/>
          <w:lang w:val="es-MX"/>
        </w:rPr>
      </w:pPr>
      <w:r w:rsidRPr="00421EB7">
        <w:rPr>
          <w:rFonts w:cstheme="minorHAnsi"/>
          <w:color w:val="FF0000"/>
        </w:rPr>
        <w:t>karinaconcepcion03@gmail.com</w:t>
      </w:r>
    </w:p>
    <w:p w14:paraId="303B3778" w14:textId="4E29FC65" w:rsidR="00421EB7" w:rsidRPr="00544375" w:rsidRDefault="00544375" w:rsidP="00544375">
      <w:pPr>
        <w:shd w:val="clear" w:color="auto" w:fill="FFFFFF"/>
        <w:jc w:val="right"/>
        <w:rPr>
          <w:rFonts w:ascii="Times New Roman" w:hAnsi="Times New Roman" w:cs="Times New Roman"/>
          <w:iCs/>
          <w:lang w:val="es-MX"/>
        </w:rPr>
      </w:pPr>
      <w:r w:rsidRPr="00544375">
        <w:rPr>
          <w:rFonts w:ascii="Times New Roman" w:eastAsia="Times New Roman" w:hAnsi="Times New Roman" w:cs="Times New Roman"/>
          <w:color w:val="000000"/>
          <w:lang w:val="es-MX" w:eastAsia="es-MX"/>
        </w:rPr>
        <w:t>https://orcid.org/</w:t>
      </w:r>
      <w:r w:rsidRPr="00544375">
        <w:rPr>
          <w:rFonts w:ascii="Times New Roman" w:eastAsia="Times New Roman" w:hAnsi="Times New Roman" w:cs="Times New Roman"/>
          <w:color w:val="000000"/>
          <w:spacing w:val="8"/>
          <w:shd w:val="clear" w:color="auto" w:fill="FFFFFF"/>
          <w:lang w:val="es-MX" w:eastAsia="es-MX"/>
        </w:rPr>
        <w:t>0000-0002-1743-2614</w:t>
      </w:r>
    </w:p>
    <w:p w14:paraId="3F2ED7ED" w14:textId="1D0438D4" w:rsidR="00196474" w:rsidRPr="00421EB7" w:rsidRDefault="00235FF2" w:rsidP="00FF6D96">
      <w:pPr>
        <w:spacing w:line="360" w:lineRule="auto"/>
        <w:rPr>
          <w:rFonts w:cstheme="minorHAnsi"/>
          <w:b/>
          <w:bCs/>
          <w:sz w:val="28"/>
          <w:szCs w:val="22"/>
          <w:lang w:val="es-ES"/>
        </w:rPr>
      </w:pPr>
      <w:r>
        <w:rPr>
          <w:rFonts w:cstheme="minorHAnsi"/>
          <w:b/>
          <w:bCs/>
          <w:sz w:val="28"/>
          <w:szCs w:val="22"/>
          <w:lang w:val="es-ES"/>
        </w:rPr>
        <w:br/>
      </w:r>
      <w:r w:rsidR="00196474" w:rsidRPr="00421EB7">
        <w:rPr>
          <w:rFonts w:cstheme="minorHAnsi"/>
          <w:b/>
          <w:bCs/>
          <w:sz w:val="28"/>
          <w:szCs w:val="22"/>
          <w:lang w:val="es-ES"/>
        </w:rPr>
        <w:t>Resumen</w:t>
      </w:r>
    </w:p>
    <w:p w14:paraId="4795ED3D" w14:textId="5B015C3A" w:rsidR="00F84E9B" w:rsidRDefault="00D573AB" w:rsidP="00FF6D96">
      <w:pPr>
        <w:spacing w:line="360" w:lineRule="auto"/>
        <w:jc w:val="both"/>
        <w:rPr>
          <w:rFonts w:ascii="Times New Roman" w:hAnsi="Times New Roman" w:cs="Times New Roman"/>
        </w:rPr>
      </w:pPr>
      <w:r w:rsidRPr="00F330A2">
        <w:rPr>
          <w:rFonts w:ascii="Times New Roman" w:hAnsi="Times New Roman" w:cs="Times New Roman"/>
          <w:lang w:val="es-ES"/>
        </w:rPr>
        <w:t>L</w:t>
      </w:r>
      <w:r w:rsidR="00FD3547" w:rsidRPr="00F330A2">
        <w:rPr>
          <w:rFonts w:ascii="Times New Roman" w:hAnsi="Times New Roman" w:cs="Times New Roman"/>
          <w:lang w:val="es-ES"/>
        </w:rPr>
        <w:t xml:space="preserve">a problemática </w:t>
      </w:r>
      <w:r w:rsidR="000C46F9">
        <w:rPr>
          <w:rFonts w:ascii="Times New Roman" w:hAnsi="Times New Roman" w:cs="Times New Roman"/>
          <w:lang w:val="es-ES"/>
        </w:rPr>
        <w:t xml:space="preserve">aquí </w:t>
      </w:r>
      <w:r w:rsidR="00FD3547" w:rsidRPr="00F330A2">
        <w:rPr>
          <w:rFonts w:ascii="Times New Roman" w:hAnsi="Times New Roman" w:cs="Times New Roman"/>
          <w:lang w:val="es-ES"/>
        </w:rPr>
        <w:t xml:space="preserve">abordada se asocia </w:t>
      </w:r>
      <w:r w:rsidR="00424B14">
        <w:rPr>
          <w:rFonts w:ascii="Times New Roman" w:hAnsi="Times New Roman" w:cs="Times New Roman"/>
          <w:lang w:val="es-ES"/>
        </w:rPr>
        <w:t>a la falta de</w:t>
      </w:r>
      <w:r w:rsidR="00763EB9" w:rsidRPr="00F330A2">
        <w:rPr>
          <w:rFonts w:ascii="Times New Roman" w:hAnsi="Times New Roman" w:cs="Times New Roman"/>
          <w:lang w:val="es-ES"/>
        </w:rPr>
        <w:t xml:space="preserve"> una orientación temprana de las vocaciones científicas</w:t>
      </w:r>
      <w:r w:rsidR="002715AA">
        <w:rPr>
          <w:rFonts w:ascii="Times New Roman" w:hAnsi="Times New Roman" w:cs="Times New Roman"/>
          <w:lang w:val="es-ES"/>
        </w:rPr>
        <w:t xml:space="preserve"> que promueva la continuidad educativa en los jóvenes</w:t>
      </w:r>
      <w:r w:rsidR="00763EB9" w:rsidRPr="00F330A2">
        <w:rPr>
          <w:rFonts w:ascii="Times New Roman" w:hAnsi="Times New Roman" w:cs="Times New Roman"/>
          <w:lang w:val="es-ES"/>
        </w:rPr>
        <w:t xml:space="preserve">. </w:t>
      </w:r>
      <w:r w:rsidR="00A8126A" w:rsidRPr="00F330A2">
        <w:rPr>
          <w:rFonts w:ascii="Times New Roman" w:hAnsi="Times New Roman" w:cs="Times New Roman"/>
          <w:lang w:val="es-ES"/>
        </w:rPr>
        <w:t xml:space="preserve">El objeto </w:t>
      </w:r>
      <w:r w:rsidR="00DA491A" w:rsidRPr="00F330A2">
        <w:rPr>
          <w:rFonts w:ascii="Times New Roman" w:hAnsi="Times New Roman" w:cs="Times New Roman"/>
          <w:lang w:val="es-ES"/>
        </w:rPr>
        <w:t xml:space="preserve">del presente </w:t>
      </w:r>
      <w:r w:rsidR="00424B14">
        <w:rPr>
          <w:rFonts w:ascii="Times New Roman" w:hAnsi="Times New Roman" w:cs="Times New Roman"/>
          <w:lang w:val="es-ES"/>
        </w:rPr>
        <w:t xml:space="preserve">trabajo </w:t>
      </w:r>
      <w:r w:rsidR="00DA491A" w:rsidRPr="00F330A2">
        <w:rPr>
          <w:rFonts w:ascii="Times New Roman" w:hAnsi="Times New Roman" w:cs="Times New Roman"/>
          <w:lang w:val="es-ES"/>
        </w:rPr>
        <w:t xml:space="preserve">fue </w:t>
      </w:r>
      <w:r w:rsidR="00F330A2">
        <w:rPr>
          <w:rFonts w:ascii="Times New Roman" w:hAnsi="Times New Roman" w:cs="Times New Roman"/>
          <w:lang w:val="es-ES"/>
        </w:rPr>
        <w:t>determinar</w:t>
      </w:r>
      <w:r w:rsidR="00F330A2" w:rsidRPr="00F330A2">
        <w:rPr>
          <w:rFonts w:ascii="Times New Roman" w:hAnsi="Times New Roman" w:cs="Times New Roman"/>
        </w:rPr>
        <w:t xml:space="preserve"> estrategias para el fomento de las vocaciones científicas en los jóvenes de educación superior de </w:t>
      </w:r>
      <w:r w:rsidR="00424B14">
        <w:rPr>
          <w:rFonts w:ascii="Times New Roman" w:hAnsi="Times New Roman" w:cs="Times New Roman"/>
        </w:rPr>
        <w:t>Yucatán</w:t>
      </w:r>
      <w:r w:rsidR="00F330A2" w:rsidRPr="00F330A2">
        <w:rPr>
          <w:rFonts w:ascii="Times New Roman" w:hAnsi="Times New Roman" w:cs="Times New Roman"/>
        </w:rPr>
        <w:t>,</w:t>
      </w:r>
      <w:r w:rsidR="00424B14">
        <w:rPr>
          <w:rFonts w:ascii="Times New Roman" w:hAnsi="Times New Roman" w:cs="Times New Roman"/>
        </w:rPr>
        <w:t xml:space="preserve"> México, </w:t>
      </w:r>
      <w:r w:rsidR="00F330A2" w:rsidRPr="00F330A2">
        <w:rPr>
          <w:rFonts w:ascii="Times New Roman" w:hAnsi="Times New Roman" w:cs="Times New Roman"/>
        </w:rPr>
        <w:t xml:space="preserve">mediante acciones de difusión y divulgación durante </w:t>
      </w:r>
      <w:r w:rsidR="00791B21">
        <w:rPr>
          <w:rFonts w:ascii="Times New Roman" w:hAnsi="Times New Roman" w:cs="Times New Roman"/>
        </w:rPr>
        <w:t xml:space="preserve">la </w:t>
      </w:r>
      <w:r w:rsidR="00AB5683">
        <w:rPr>
          <w:rFonts w:ascii="Times New Roman" w:hAnsi="Times New Roman" w:cs="Times New Roman"/>
        </w:rPr>
        <w:t xml:space="preserve">virtualidad provocada por </w:t>
      </w:r>
      <w:r w:rsidR="00F330A2" w:rsidRPr="00F330A2">
        <w:rPr>
          <w:rFonts w:ascii="Times New Roman" w:hAnsi="Times New Roman" w:cs="Times New Roman"/>
        </w:rPr>
        <w:t xml:space="preserve">la </w:t>
      </w:r>
      <w:r w:rsidR="00AB5683">
        <w:rPr>
          <w:rFonts w:ascii="Times New Roman" w:hAnsi="Times New Roman" w:cs="Times New Roman"/>
        </w:rPr>
        <w:t>c</w:t>
      </w:r>
      <w:r w:rsidR="00F330A2" w:rsidRPr="00F330A2">
        <w:rPr>
          <w:rFonts w:ascii="Times New Roman" w:hAnsi="Times New Roman" w:cs="Times New Roman"/>
        </w:rPr>
        <w:t xml:space="preserve">ovid-19. </w:t>
      </w:r>
      <w:r w:rsidR="00B079FD" w:rsidRPr="00F330A2">
        <w:rPr>
          <w:rFonts w:ascii="Times New Roman" w:hAnsi="Times New Roman" w:cs="Times New Roman"/>
        </w:rPr>
        <w:t>El método de investigación fue por etapa y sistemática</w:t>
      </w:r>
      <w:r w:rsidR="00157528">
        <w:rPr>
          <w:rFonts w:ascii="Times New Roman" w:hAnsi="Times New Roman" w:cs="Times New Roman"/>
        </w:rPr>
        <w:t>. E</w:t>
      </w:r>
      <w:r w:rsidR="00B079FD" w:rsidRPr="00F330A2">
        <w:rPr>
          <w:rFonts w:ascii="Times New Roman" w:hAnsi="Times New Roman" w:cs="Times New Roman"/>
        </w:rPr>
        <w:t>n cada etapa se utiliz</w:t>
      </w:r>
      <w:r w:rsidR="00A52FE2">
        <w:rPr>
          <w:rFonts w:ascii="Times New Roman" w:hAnsi="Times New Roman" w:cs="Times New Roman"/>
        </w:rPr>
        <w:t>ó</w:t>
      </w:r>
      <w:r w:rsidR="00B079FD" w:rsidRPr="00F330A2">
        <w:rPr>
          <w:rFonts w:ascii="Times New Roman" w:hAnsi="Times New Roman" w:cs="Times New Roman"/>
        </w:rPr>
        <w:t xml:space="preserve"> el enfoque de investigación cuantitativo</w:t>
      </w:r>
      <w:r w:rsidR="00157528">
        <w:rPr>
          <w:rFonts w:ascii="Times New Roman" w:hAnsi="Times New Roman" w:cs="Times New Roman"/>
        </w:rPr>
        <w:t xml:space="preserve">. Se contó con muestras de </w:t>
      </w:r>
      <w:r w:rsidR="00B079FD" w:rsidRPr="00F330A2">
        <w:rPr>
          <w:rFonts w:ascii="Times New Roman" w:hAnsi="Times New Roman" w:cs="Times New Roman"/>
        </w:rPr>
        <w:t>93</w:t>
      </w:r>
      <w:r w:rsidR="002715AA">
        <w:rPr>
          <w:rFonts w:ascii="Times New Roman" w:hAnsi="Times New Roman" w:cs="Times New Roman"/>
        </w:rPr>
        <w:t>.0</w:t>
      </w:r>
      <w:r w:rsidR="00157528">
        <w:rPr>
          <w:rFonts w:ascii="Times New Roman" w:hAnsi="Times New Roman" w:cs="Times New Roman"/>
        </w:rPr>
        <w:t> </w:t>
      </w:r>
      <w:r w:rsidR="00B079FD" w:rsidRPr="00F330A2">
        <w:rPr>
          <w:rFonts w:ascii="Times New Roman" w:hAnsi="Times New Roman" w:cs="Times New Roman"/>
        </w:rPr>
        <w:t>% y 97</w:t>
      </w:r>
      <w:r w:rsidR="002715AA">
        <w:rPr>
          <w:rFonts w:ascii="Times New Roman" w:hAnsi="Times New Roman" w:cs="Times New Roman"/>
        </w:rPr>
        <w:t>.0</w:t>
      </w:r>
      <w:r w:rsidR="00157528">
        <w:rPr>
          <w:rFonts w:ascii="Times New Roman" w:hAnsi="Times New Roman" w:cs="Times New Roman"/>
        </w:rPr>
        <w:t> </w:t>
      </w:r>
      <w:r w:rsidR="00B079FD" w:rsidRPr="00F330A2">
        <w:rPr>
          <w:rFonts w:ascii="Times New Roman" w:hAnsi="Times New Roman" w:cs="Times New Roman"/>
        </w:rPr>
        <w:t xml:space="preserve">% de confianza y </w:t>
      </w:r>
      <w:r w:rsidR="001C11C4">
        <w:rPr>
          <w:rFonts w:ascii="Times New Roman" w:hAnsi="Times New Roman" w:cs="Times New Roman"/>
        </w:rPr>
        <w:t xml:space="preserve">un </w:t>
      </w:r>
      <w:r w:rsidR="00B079FD" w:rsidRPr="00F330A2">
        <w:rPr>
          <w:rFonts w:ascii="Times New Roman" w:hAnsi="Times New Roman" w:cs="Times New Roman"/>
        </w:rPr>
        <w:t>error de estimación del 0.07 y 0.0</w:t>
      </w:r>
      <w:r w:rsidR="00A52FE2">
        <w:rPr>
          <w:rFonts w:ascii="Times New Roman" w:hAnsi="Times New Roman" w:cs="Times New Roman"/>
        </w:rPr>
        <w:t>3</w:t>
      </w:r>
      <w:r w:rsidR="00B079FD" w:rsidRPr="00F330A2">
        <w:rPr>
          <w:rFonts w:ascii="Times New Roman" w:hAnsi="Times New Roman" w:cs="Times New Roman"/>
        </w:rPr>
        <w:t xml:space="preserve"> para las etapas </w:t>
      </w:r>
      <w:r w:rsidR="001C11C4">
        <w:rPr>
          <w:rFonts w:ascii="Times New Roman" w:hAnsi="Times New Roman" w:cs="Times New Roman"/>
        </w:rPr>
        <w:t>uno</w:t>
      </w:r>
      <w:r w:rsidR="001C11C4" w:rsidRPr="00F330A2">
        <w:rPr>
          <w:rFonts w:ascii="Times New Roman" w:hAnsi="Times New Roman" w:cs="Times New Roman"/>
        </w:rPr>
        <w:t xml:space="preserve"> </w:t>
      </w:r>
      <w:r w:rsidR="00B079FD" w:rsidRPr="00F330A2">
        <w:rPr>
          <w:rFonts w:ascii="Times New Roman" w:hAnsi="Times New Roman" w:cs="Times New Roman"/>
        </w:rPr>
        <w:t xml:space="preserve">y </w:t>
      </w:r>
      <w:r w:rsidR="001C11C4">
        <w:rPr>
          <w:rFonts w:ascii="Times New Roman" w:hAnsi="Times New Roman" w:cs="Times New Roman"/>
        </w:rPr>
        <w:t>dos,</w:t>
      </w:r>
      <w:r w:rsidR="00B079FD" w:rsidRPr="00F330A2">
        <w:rPr>
          <w:rFonts w:ascii="Times New Roman" w:hAnsi="Times New Roman" w:cs="Times New Roman"/>
        </w:rPr>
        <w:t xml:space="preserve"> respectivamente. </w:t>
      </w:r>
      <w:r w:rsidR="00E57A08" w:rsidRPr="00F330A2">
        <w:rPr>
          <w:rFonts w:ascii="Times New Roman" w:hAnsi="Times New Roman" w:cs="Times New Roman"/>
        </w:rPr>
        <w:t>Los resultados</w:t>
      </w:r>
      <w:r w:rsidR="00506BB9" w:rsidRPr="00F330A2">
        <w:rPr>
          <w:rFonts w:ascii="Times New Roman" w:hAnsi="Times New Roman" w:cs="Times New Roman"/>
        </w:rPr>
        <w:t xml:space="preserve"> en la primera </w:t>
      </w:r>
      <w:r w:rsidR="00FF7841" w:rsidRPr="00F330A2">
        <w:rPr>
          <w:rFonts w:ascii="Times New Roman" w:hAnsi="Times New Roman" w:cs="Times New Roman"/>
        </w:rPr>
        <w:t>etapa</w:t>
      </w:r>
      <w:r w:rsidR="00506BB9" w:rsidRPr="00F330A2">
        <w:rPr>
          <w:rFonts w:ascii="Times New Roman" w:hAnsi="Times New Roman" w:cs="Times New Roman"/>
        </w:rPr>
        <w:t xml:space="preserve"> </w:t>
      </w:r>
      <w:r w:rsidR="001C11C4">
        <w:rPr>
          <w:rFonts w:ascii="Times New Roman" w:hAnsi="Times New Roman" w:cs="Times New Roman"/>
        </w:rPr>
        <w:t>permitieron</w:t>
      </w:r>
      <w:r w:rsidR="001C11C4" w:rsidRPr="00F330A2">
        <w:rPr>
          <w:rFonts w:ascii="Times New Roman" w:hAnsi="Times New Roman" w:cs="Times New Roman"/>
        </w:rPr>
        <w:t xml:space="preserve"> </w:t>
      </w:r>
      <w:r w:rsidR="00E57A08" w:rsidRPr="00F330A2">
        <w:rPr>
          <w:rFonts w:ascii="Times New Roman" w:hAnsi="Times New Roman" w:cs="Times New Roman"/>
        </w:rPr>
        <w:t xml:space="preserve">caracterizar </w:t>
      </w:r>
      <w:r w:rsidR="007C1271" w:rsidRPr="00F330A2">
        <w:rPr>
          <w:rFonts w:ascii="Times New Roman" w:hAnsi="Times New Roman" w:cs="Times New Roman"/>
        </w:rPr>
        <w:t>a los jóvenes de 15 a 29 años sujetos de estudio</w:t>
      </w:r>
      <w:r w:rsidR="001C11C4">
        <w:rPr>
          <w:rFonts w:ascii="Times New Roman" w:hAnsi="Times New Roman" w:cs="Times New Roman"/>
        </w:rPr>
        <w:t>.</w:t>
      </w:r>
      <w:r w:rsidR="00506BB9" w:rsidRPr="00F330A2">
        <w:rPr>
          <w:rFonts w:ascii="Times New Roman" w:hAnsi="Times New Roman" w:cs="Times New Roman"/>
        </w:rPr>
        <w:t xml:space="preserve"> </w:t>
      </w:r>
      <w:r w:rsidR="001C11C4">
        <w:rPr>
          <w:rFonts w:ascii="Times New Roman" w:hAnsi="Times New Roman" w:cs="Times New Roman"/>
        </w:rPr>
        <w:t>E</w:t>
      </w:r>
      <w:r w:rsidR="001C11C4" w:rsidRPr="00F330A2">
        <w:rPr>
          <w:rFonts w:ascii="Times New Roman" w:hAnsi="Times New Roman" w:cs="Times New Roman"/>
        </w:rPr>
        <w:t xml:space="preserve">n </w:t>
      </w:r>
      <w:r w:rsidR="00506BB9" w:rsidRPr="00F330A2">
        <w:rPr>
          <w:rFonts w:ascii="Times New Roman" w:hAnsi="Times New Roman" w:cs="Times New Roman"/>
        </w:rPr>
        <w:t>la segunda etapa se plantean las estrategias para el fomento de las vocaciones científicas</w:t>
      </w:r>
      <w:r w:rsidR="001C11C4">
        <w:rPr>
          <w:rFonts w:ascii="Times New Roman" w:hAnsi="Times New Roman" w:cs="Times New Roman"/>
        </w:rPr>
        <w:t xml:space="preserve"> y una clasificación</w:t>
      </w:r>
      <w:r w:rsidR="00932000" w:rsidRPr="00F330A2">
        <w:rPr>
          <w:rFonts w:ascii="Times New Roman" w:hAnsi="Times New Roman" w:cs="Times New Roman"/>
        </w:rPr>
        <w:t xml:space="preserve"> de acuerdo con su aplicación. En las conclusiones se puede</w:t>
      </w:r>
      <w:r w:rsidR="00FF7841" w:rsidRPr="00F330A2">
        <w:rPr>
          <w:rFonts w:ascii="Times New Roman" w:hAnsi="Times New Roman" w:cs="Times New Roman"/>
        </w:rPr>
        <w:t>n</w:t>
      </w:r>
      <w:r w:rsidR="00932000" w:rsidRPr="00F330A2">
        <w:rPr>
          <w:rFonts w:ascii="Times New Roman" w:hAnsi="Times New Roman" w:cs="Times New Roman"/>
        </w:rPr>
        <w:t xml:space="preserve"> vislumbrar las áreas de oportunidad</w:t>
      </w:r>
      <w:r w:rsidR="001C11C4">
        <w:rPr>
          <w:rFonts w:ascii="Times New Roman" w:hAnsi="Times New Roman" w:cs="Times New Roman"/>
        </w:rPr>
        <w:t>,</w:t>
      </w:r>
      <w:r w:rsidR="00932000" w:rsidRPr="00F330A2">
        <w:rPr>
          <w:rFonts w:ascii="Times New Roman" w:hAnsi="Times New Roman" w:cs="Times New Roman"/>
        </w:rPr>
        <w:t xml:space="preserve"> la escasa búsqueda de información en bases de datos académicas</w:t>
      </w:r>
      <w:r w:rsidR="00FF7841" w:rsidRPr="00F330A2">
        <w:rPr>
          <w:rFonts w:ascii="Times New Roman" w:hAnsi="Times New Roman" w:cs="Times New Roman"/>
        </w:rPr>
        <w:t xml:space="preserve">, así como la ausencia de una cultura institucional centrada en la ciencia e investigación. </w:t>
      </w:r>
    </w:p>
    <w:p w14:paraId="0F9D3CFA" w14:textId="41E2E79F" w:rsidR="008B03F5" w:rsidRPr="00DC6E80" w:rsidRDefault="00CC76B1" w:rsidP="00FF6D96">
      <w:pPr>
        <w:spacing w:line="360" w:lineRule="auto"/>
        <w:jc w:val="both"/>
        <w:rPr>
          <w:rFonts w:ascii="Times New Roman" w:hAnsi="Times New Roman" w:cs="Times New Roman"/>
        </w:rPr>
      </w:pPr>
      <w:r w:rsidRPr="00421EB7">
        <w:rPr>
          <w:rFonts w:cstheme="minorHAnsi"/>
          <w:b/>
          <w:bCs/>
          <w:sz w:val="28"/>
          <w:szCs w:val="22"/>
          <w:lang w:val="es-ES"/>
        </w:rPr>
        <w:lastRenderedPageBreak/>
        <w:t>Palabras clave:</w:t>
      </w:r>
      <w:r w:rsidRPr="00FD400E">
        <w:rPr>
          <w:rFonts w:ascii="Times New Roman" w:hAnsi="Times New Roman" w:cs="Times New Roman"/>
          <w:szCs w:val="22"/>
        </w:rPr>
        <w:t xml:space="preserve"> </w:t>
      </w:r>
      <w:r w:rsidR="00575F2F" w:rsidRPr="00F330A2">
        <w:rPr>
          <w:rFonts w:ascii="Times New Roman" w:hAnsi="Times New Roman" w:cs="Times New Roman"/>
          <w:lang w:val="es-MX"/>
        </w:rPr>
        <w:t>divulgación científica</w:t>
      </w:r>
      <w:r w:rsidR="00575F2F">
        <w:rPr>
          <w:rFonts w:ascii="Times New Roman" w:hAnsi="Times New Roman" w:cs="Times New Roman"/>
          <w:lang w:val="es-MX"/>
        </w:rPr>
        <w:t>,</w:t>
      </w:r>
      <w:r w:rsidR="00575F2F" w:rsidRPr="00F330A2">
        <w:rPr>
          <w:rFonts w:ascii="Times New Roman" w:hAnsi="Times New Roman" w:cs="Times New Roman"/>
          <w:lang w:val="es-MX"/>
        </w:rPr>
        <w:t xml:space="preserve"> </w:t>
      </w:r>
      <w:r w:rsidR="00191E0C" w:rsidRPr="00F330A2">
        <w:rPr>
          <w:rFonts w:ascii="Times New Roman" w:hAnsi="Times New Roman" w:cs="Times New Roman"/>
          <w:lang w:val="es-MX"/>
        </w:rPr>
        <w:t xml:space="preserve">educación, </w:t>
      </w:r>
      <w:r w:rsidR="00191E0C" w:rsidRPr="00191E0C">
        <w:rPr>
          <w:rFonts w:ascii="Times New Roman" w:hAnsi="Times New Roman" w:cs="Times New Roman"/>
          <w:szCs w:val="22"/>
        </w:rPr>
        <w:t>e</w:t>
      </w:r>
      <w:r w:rsidR="008D4191" w:rsidRPr="00F330A2">
        <w:rPr>
          <w:rFonts w:ascii="Times New Roman" w:hAnsi="Times New Roman" w:cs="Times New Roman"/>
        </w:rPr>
        <w:t>ducación superior</w:t>
      </w:r>
      <w:r w:rsidRPr="00F330A2">
        <w:rPr>
          <w:rFonts w:ascii="Times New Roman" w:hAnsi="Times New Roman" w:cs="Times New Roman"/>
        </w:rPr>
        <w:t xml:space="preserve">, </w:t>
      </w:r>
      <w:r w:rsidR="00191E0C">
        <w:rPr>
          <w:rFonts w:ascii="Times New Roman" w:hAnsi="Times New Roman" w:cs="Times New Roman"/>
          <w:szCs w:val="22"/>
        </w:rPr>
        <w:t>e</w:t>
      </w:r>
      <w:r w:rsidR="00191E0C" w:rsidRPr="00F330A2">
        <w:rPr>
          <w:rFonts w:ascii="Times New Roman" w:hAnsi="Times New Roman" w:cs="Times New Roman"/>
          <w:szCs w:val="22"/>
        </w:rPr>
        <w:t>strategias</w:t>
      </w:r>
      <w:r w:rsidR="00855FD1" w:rsidRPr="00F330A2">
        <w:rPr>
          <w:rFonts w:ascii="Times New Roman" w:hAnsi="Times New Roman" w:cs="Times New Roman"/>
          <w:lang w:val="es-MX"/>
        </w:rPr>
        <w:t>.</w:t>
      </w:r>
    </w:p>
    <w:p w14:paraId="2AAF8EE2" w14:textId="77777777" w:rsidR="005D5BF8" w:rsidRPr="008D4191" w:rsidRDefault="005D5BF8" w:rsidP="00FF6D96">
      <w:pPr>
        <w:spacing w:line="360" w:lineRule="auto"/>
        <w:rPr>
          <w:rFonts w:ascii="Times New Roman" w:hAnsi="Times New Roman" w:cs="Times New Roman"/>
          <w:b/>
          <w:bCs/>
          <w:lang w:val="es-MX"/>
        </w:rPr>
      </w:pPr>
    </w:p>
    <w:p w14:paraId="66CC39FB" w14:textId="39271078" w:rsidR="00196474" w:rsidRPr="00235FF2" w:rsidRDefault="00196474" w:rsidP="00FF6D96">
      <w:pPr>
        <w:spacing w:line="360" w:lineRule="auto"/>
        <w:rPr>
          <w:rFonts w:cstheme="minorHAnsi"/>
          <w:b/>
          <w:bCs/>
          <w:sz w:val="28"/>
          <w:szCs w:val="22"/>
          <w:lang w:val="en-US"/>
        </w:rPr>
      </w:pPr>
      <w:r w:rsidRPr="00235FF2">
        <w:rPr>
          <w:rFonts w:cstheme="minorHAnsi"/>
          <w:b/>
          <w:bCs/>
          <w:sz w:val="28"/>
          <w:szCs w:val="22"/>
          <w:lang w:val="en-US"/>
        </w:rPr>
        <w:t>Abstract</w:t>
      </w:r>
    </w:p>
    <w:p w14:paraId="075B854B" w14:textId="5BE8D5CA" w:rsidR="00E40CA9" w:rsidRDefault="00E40CA9" w:rsidP="00FF6D96">
      <w:pPr>
        <w:spacing w:line="360" w:lineRule="auto"/>
        <w:jc w:val="both"/>
        <w:rPr>
          <w:rFonts w:ascii="Times New Roman" w:hAnsi="Times New Roman" w:cs="Times New Roman"/>
          <w:lang w:val="en-US"/>
        </w:rPr>
      </w:pPr>
      <w:r w:rsidRPr="00E40CA9">
        <w:rPr>
          <w:rFonts w:ascii="Times New Roman" w:hAnsi="Times New Roman" w:cs="Times New Roman"/>
          <w:lang w:val="en-US"/>
        </w:rPr>
        <w:t xml:space="preserve">The purpose of this work was to determine strategies for the promotion of scientific vocations in young people in higher education in Yucatan, Mexico, through dissemination and dissemination actions during </w:t>
      </w:r>
      <w:r w:rsidR="00791B21">
        <w:rPr>
          <w:rFonts w:ascii="Times New Roman" w:hAnsi="Times New Roman" w:cs="Times New Roman"/>
          <w:lang w:val="en-US"/>
        </w:rPr>
        <w:t xml:space="preserve">the </w:t>
      </w:r>
      <w:r w:rsidRPr="00E40CA9">
        <w:rPr>
          <w:rFonts w:ascii="Times New Roman" w:hAnsi="Times New Roman" w:cs="Times New Roman"/>
          <w:lang w:val="en-US"/>
        </w:rPr>
        <w:t>virtuality caused by COVID-19. The research method was by stage and systematic. At each stage, the quantitative research approach was used. There were samples of 93</w:t>
      </w:r>
      <w:r w:rsidR="002715AA">
        <w:rPr>
          <w:rFonts w:ascii="Times New Roman" w:hAnsi="Times New Roman" w:cs="Times New Roman"/>
          <w:lang w:val="en-US"/>
        </w:rPr>
        <w:t>.0</w:t>
      </w:r>
      <w:r>
        <w:rPr>
          <w:rFonts w:ascii="Times New Roman" w:hAnsi="Times New Roman" w:cs="Times New Roman"/>
          <w:lang w:val="en-US"/>
        </w:rPr>
        <w:t> </w:t>
      </w:r>
      <w:r w:rsidRPr="00E40CA9">
        <w:rPr>
          <w:rFonts w:ascii="Times New Roman" w:hAnsi="Times New Roman" w:cs="Times New Roman"/>
          <w:lang w:val="en-US"/>
        </w:rPr>
        <w:t>% and 97</w:t>
      </w:r>
      <w:r w:rsidR="002715AA">
        <w:rPr>
          <w:rFonts w:ascii="Times New Roman" w:hAnsi="Times New Roman" w:cs="Times New Roman"/>
          <w:lang w:val="en-US"/>
        </w:rPr>
        <w:t>.0</w:t>
      </w:r>
      <w:r>
        <w:rPr>
          <w:rFonts w:ascii="Times New Roman" w:hAnsi="Times New Roman" w:cs="Times New Roman"/>
          <w:lang w:val="en-US"/>
        </w:rPr>
        <w:t> </w:t>
      </w:r>
      <w:r w:rsidRPr="00E40CA9">
        <w:rPr>
          <w:rFonts w:ascii="Times New Roman" w:hAnsi="Times New Roman" w:cs="Times New Roman"/>
          <w:lang w:val="en-US"/>
        </w:rPr>
        <w:t xml:space="preserve">% confidence and an estimation error of 0.07 and 0.03 for stages one and two, respectively. The results in the first stage made it possible to characterize the young people aged 15 to 29 who were the subjects of the study. In the second stage, the strategies for the promotion of scientific vocations and a classification according to their application are proposed. In the conclusions, it is possible to glimpse the areas of opportunity for young </w:t>
      </w:r>
      <w:proofErr w:type="gramStart"/>
      <w:r w:rsidRPr="00E40CA9">
        <w:rPr>
          <w:rFonts w:ascii="Times New Roman" w:hAnsi="Times New Roman" w:cs="Times New Roman"/>
          <w:lang w:val="en-US"/>
        </w:rPr>
        <w:t>higher level</w:t>
      </w:r>
      <w:proofErr w:type="gramEnd"/>
      <w:r w:rsidRPr="00E40CA9">
        <w:rPr>
          <w:rFonts w:ascii="Times New Roman" w:hAnsi="Times New Roman" w:cs="Times New Roman"/>
          <w:lang w:val="en-US"/>
        </w:rPr>
        <w:t xml:space="preserve"> students, the scarce search for information in academic databases, as well as the absence of an institutional culture focused on science and research.</w:t>
      </w:r>
    </w:p>
    <w:p w14:paraId="6B56CAAC" w14:textId="536572FB" w:rsidR="00196474" w:rsidRDefault="0094767B" w:rsidP="00FF6D96">
      <w:pPr>
        <w:spacing w:line="360" w:lineRule="auto"/>
        <w:jc w:val="both"/>
        <w:rPr>
          <w:rFonts w:ascii="Times New Roman" w:hAnsi="Times New Roman" w:cs="Times New Roman"/>
          <w:lang w:val="en-US"/>
        </w:rPr>
      </w:pPr>
      <w:r w:rsidRPr="00421EB7">
        <w:rPr>
          <w:rFonts w:cstheme="minorHAnsi"/>
          <w:b/>
          <w:bCs/>
          <w:sz w:val="28"/>
          <w:szCs w:val="22"/>
          <w:lang w:val="en-US"/>
        </w:rPr>
        <w:t>Keywords:</w:t>
      </w:r>
      <w:r w:rsidRPr="005D5BF8">
        <w:rPr>
          <w:rFonts w:ascii="Times New Roman" w:hAnsi="Times New Roman" w:cs="Times New Roman"/>
          <w:lang w:val="en-US"/>
        </w:rPr>
        <w:t xml:space="preserve"> </w:t>
      </w:r>
      <w:r w:rsidR="00575F2F" w:rsidRPr="001E419F">
        <w:rPr>
          <w:rFonts w:ascii="Times New Roman" w:hAnsi="Times New Roman" w:cs="Times New Roman"/>
          <w:lang w:val="en-US"/>
        </w:rPr>
        <w:t>scientific dissemination</w:t>
      </w:r>
      <w:r w:rsidR="00575F2F">
        <w:rPr>
          <w:rFonts w:ascii="Times New Roman" w:hAnsi="Times New Roman" w:cs="Times New Roman"/>
          <w:lang w:val="en-US"/>
        </w:rPr>
        <w:t>,</w:t>
      </w:r>
      <w:r w:rsidR="00575F2F" w:rsidRPr="001E419F">
        <w:rPr>
          <w:rFonts w:ascii="Times New Roman" w:hAnsi="Times New Roman" w:cs="Times New Roman"/>
          <w:lang w:val="en-US"/>
        </w:rPr>
        <w:t xml:space="preserve"> </w:t>
      </w:r>
      <w:r w:rsidR="00191E0C" w:rsidRPr="001E419F">
        <w:rPr>
          <w:rFonts w:ascii="Times New Roman" w:hAnsi="Times New Roman" w:cs="Times New Roman"/>
          <w:lang w:val="en-US"/>
        </w:rPr>
        <w:t xml:space="preserve">education, </w:t>
      </w:r>
      <w:r w:rsidR="00B830B5">
        <w:rPr>
          <w:rFonts w:ascii="Times New Roman" w:hAnsi="Times New Roman" w:cs="Times New Roman"/>
          <w:lang w:val="en-US"/>
        </w:rPr>
        <w:t>h</w:t>
      </w:r>
      <w:r w:rsidR="001E419F" w:rsidRPr="001E419F">
        <w:rPr>
          <w:rFonts w:ascii="Times New Roman" w:hAnsi="Times New Roman" w:cs="Times New Roman"/>
          <w:lang w:val="en-US"/>
        </w:rPr>
        <w:t xml:space="preserve">igher education, </w:t>
      </w:r>
      <w:r w:rsidR="00191E0C">
        <w:rPr>
          <w:rFonts w:ascii="Times New Roman" w:hAnsi="Times New Roman" w:cs="Times New Roman"/>
          <w:lang w:val="en-US"/>
        </w:rPr>
        <w:t>s</w:t>
      </w:r>
      <w:r w:rsidR="00191E0C" w:rsidRPr="00B830B5">
        <w:rPr>
          <w:rFonts w:ascii="Times New Roman" w:hAnsi="Times New Roman" w:cs="Times New Roman"/>
          <w:lang w:val="en-US"/>
        </w:rPr>
        <w:t>trategy</w:t>
      </w:r>
      <w:r w:rsidR="005D5BF8" w:rsidRPr="005D5BF8">
        <w:rPr>
          <w:rFonts w:ascii="Times New Roman" w:hAnsi="Times New Roman" w:cs="Times New Roman"/>
          <w:lang w:val="en-US"/>
        </w:rPr>
        <w:t>.</w:t>
      </w:r>
    </w:p>
    <w:p w14:paraId="75F8DFAC" w14:textId="67A9B72D" w:rsidR="00421EB7" w:rsidRDefault="00421EB7" w:rsidP="00FF6D96">
      <w:pPr>
        <w:spacing w:line="360" w:lineRule="auto"/>
        <w:jc w:val="both"/>
        <w:rPr>
          <w:rFonts w:ascii="Times New Roman" w:hAnsi="Times New Roman" w:cs="Times New Roman"/>
          <w:lang w:val="en-US"/>
        </w:rPr>
      </w:pPr>
    </w:p>
    <w:p w14:paraId="74E5368D" w14:textId="0B6BAFFE" w:rsidR="00421EB7" w:rsidRPr="00235FF2" w:rsidRDefault="00421EB7" w:rsidP="00FF6D96">
      <w:pPr>
        <w:spacing w:line="360" w:lineRule="auto"/>
        <w:jc w:val="both"/>
        <w:rPr>
          <w:rFonts w:cstheme="minorHAnsi"/>
          <w:b/>
          <w:bCs/>
          <w:sz w:val="28"/>
          <w:szCs w:val="22"/>
          <w:lang w:val="es-MX"/>
        </w:rPr>
      </w:pPr>
      <w:r w:rsidRPr="00235FF2">
        <w:rPr>
          <w:rFonts w:cstheme="minorHAnsi"/>
          <w:b/>
          <w:bCs/>
          <w:sz w:val="28"/>
          <w:szCs w:val="22"/>
          <w:lang w:val="es-MX"/>
        </w:rPr>
        <w:t>Resumo</w:t>
      </w:r>
    </w:p>
    <w:p w14:paraId="342D94C0" w14:textId="77777777" w:rsidR="00421EB7" w:rsidRPr="00421EB7" w:rsidRDefault="00421EB7" w:rsidP="00421EB7">
      <w:pPr>
        <w:spacing w:line="360" w:lineRule="auto"/>
        <w:jc w:val="both"/>
        <w:rPr>
          <w:rFonts w:ascii="Times New Roman" w:hAnsi="Times New Roman" w:cs="Times New Roman"/>
          <w:lang w:val="es-MX"/>
        </w:rPr>
      </w:pPr>
      <w:r w:rsidRPr="00421EB7">
        <w:rPr>
          <w:rFonts w:ascii="Times New Roman" w:hAnsi="Times New Roman" w:cs="Times New Roman"/>
          <w:lang w:val="es-MX"/>
        </w:rPr>
        <w:t xml:space="preserve">O problema </w:t>
      </w:r>
      <w:proofErr w:type="spellStart"/>
      <w:r w:rsidRPr="00421EB7">
        <w:rPr>
          <w:rFonts w:ascii="Times New Roman" w:hAnsi="Times New Roman" w:cs="Times New Roman"/>
          <w:lang w:val="es-MX"/>
        </w:rPr>
        <w:t>aqui</w:t>
      </w:r>
      <w:proofErr w:type="spellEnd"/>
      <w:r w:rsidRPr="00421EB7">
        <w:rPr>
          <w:rFonts w:ascii="Times New Roman" w:hAnsi="Times New Roman" w:cs="Times New Roman"/>
          <w:lang w:val="es-MX"/>
        </w:rPr>
        <w:t xml:space="preserve"> abordado está </w:t>
      </w:r>
      <w:proofErr w:type="spellStart"/>
      <w:r w:rsidRPr="00421EB7">
        <w:rPr>
          <w:rFonts w:ascii="Times New Roman" w:hAnsi="Times New Roman" w:cs="Times New Roman"/>
          <w:lang w:val="es-MX"/>
        </w:rPr>
        <w:t>associado</w:t>
      </w:r>
      <w:proofErr w:type="spellEnd"/>
      <w:r w:rsidRPr="00421EB7">
        <w:rPr>
          <w:rFonts w:ascii="Times New Roman" w:hAnsi="Times New Roman" w:cs="Times New Roman"/>
          <w:lang w:val="es-MX"/>
        </w:rPr>
        <w:t xml:space="preserve"> à falta de </w:t>
      </w:r>
      <w:proofErr w:type="spellStart"/>
      <w:r w:rsidRPr="00421EB7">
        <w:rPr>
          <w:rFonts w:ascii="Times New Roman" w:hAnsi="Times New Roman" w:cs="Times New Roman"/>
          <w:lang w:val="es-MX"/>
        </w:rPr>
        <w:t>uma</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orientação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precoce</w:t>
      </w:r>
      <w:proofErr w:type="spellEnd"/>
      <w:r w:rsidRPr="00421EB7">
        <w:rPr>
          <w:rFonts w:ascii="Times New Roman" w:hAnsi="Times New Roman" w:cs="Times New Roman"/>
          <w:lang w:val="es-MX"/>
        </w:rPr>
        <w:t xml:space="preserve"> das </w:t>
      </w:r>
      <w:proofErr w:type="spellStart"/>
      <w:r w:rsidRPr="00421EB7">
        <w:rPr>
          <w:rFonts w:ascii="Times New Roman" w:hAnsi="Times New Roman" w:cs="Times New Roman"/>
          <w:lang w:val="es-MX"/>
        </w:rPr>
        <w:t>vocações</w:t>
      </w:r>
      <w:proofErr w:type="spellEnd"/>
      <w:r w:rsidRPr="00421EB7">
        <w:rPr>
          <w:rFonts w:ascii="Times New Roman" w:hAnsi="Times New Roman" w:cs="Times New Roman"/>
          <w:lang w:val="es-MX"/>
        </w:rPr>
        <w:t xml:space="preserve"> científicas que </w:t>
      </w:r>
      <w:proofErr w:type="spellStart"/>
      <w:r w:rsidRPr="00421EB7">
        <w:rPr>
          <w:rFonts w:ascii="Times New Roman" w:hAnsi="Times New Roman" w:cs="Times New Roman"/>
          <w:lang w:val="es-MX"/>
        </w:rPr>
        <w:t>promova</w:t>
      </w:r>
      <w:proofErr w:type="spellEnd"/>
      <w:r w:rsidRPr="00421EB7">
        <w:rPr>
          <w:rFonts w:ascii="Times New Roman" w:hAnsi="Times New Roman" w:cs="Times New Roman"/>
          <w:lang w:val="es-MX"/>
        </w:rPr>
        <w:t xml:space="preserve"> a </w:t>
      </w:r>
      <w:proofErr w:type="spellStart"/>
      <w:r w:rsidRPr="00421EB7">
        <w:rPr>
          <w:rFonts w:ascii="Times New Roman" w:hAnsi="Times New Roman" w:cs="Times New Roman"/>
          <w:lang w:val="es-MX"/>
        </w:rPr>
        <w:t>continuidade</w:t>
      </w:r>
      <w:proofErr w:type="spellEnd"/>
      <w:r w:rsidRPr="00421EB7">
        <w:rPr>
          <w:rFonts w:ascii="Times New Roman" w:hAnsi="Times New Roman" w:cs="Times New Roman"/>
          <w:lang w:val="es-MX"/>
        </w:rPr>
        <w:t xml:space="preserve"> educacional dos </w:t>
      </w:r>
      <w:proofErr w:type="spellStart"/>
      <w:r w:rsidRPr="00421EB7">
        <w:rPr>
          <w:rFonts w:ascii="Times New Roman" w:hAnsi="Times New Roman" w:cs="Times New Roman"/>
          <w:lang w:val="es-MX"/>
        </w:rPr>
        <w:t>jovens</w:t>
      </w:r>
      <w:proofErr w:type="spellEnd"/>
      <w:r w:rsidRPr="00421EB7">
        <w:rPr>
          <w:rFonts w:ascii="Times New Roman" w:hAnsi="Times New Roman" w:cs="Times New Roman"/>
          <w:lang w:val="es-MX"/>
        </w:rPr>
        <w:t xml:space="preserve">. O objetivo </w:t>
      </w:r>
      <w:proofErr w:type="spellStart"/>
      <w:r w:rsidRPr="00421EB7">
        <w:rPr>
          <w:rFonts w:ascii="Times New Roman" w:hAnsi="Times New Roman" w:cs="Times New Roman"/>
          <w:lang w:val="es-MX"/>
        </w:rPr>
        <w:t>deste</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trabalho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foi</w:t>
      </w:r>
      <w:proofErr w:type="spellEnd"/>
      <w:r w:rsidRPr="00421EB7">
        <w:rPr>
          <w:rFonts w:ascii="Times New Roman" w:hAnsi="Times New Roman" w:cs="Times New Roman"/>
          <w:lang w:val="es-MX"/>
        </w:rPr>
        <w:t xml:space="preserve"> determinar </w:t>
      </w:r>
      <w:proofErr w:type="spellStart"/>
      <w:r w:rsidRPr="00421EB7">
        <w:rPr>
          <w:rFonts w:ascii="Times New Roman" w:hAnsi="Times New Roman" w:cs="Times New Roman"/>
          <w:lang w:val="es-MX"/>
        </w:rPr>
        <w:t>estratégias</w:t>
      </w:r>
      <w:proofErr w:type="spellEnd"/>
      <w:r w:rsidRPr="00421EB7">
        <w:rPr>
          <w:rFonts w:ascii="Times New Roman" w:hAnsi="Times New Roman" w:cs="Times New Roman"/>
          <w:lang w:val="es-MX"/>
        </w:rPr>
        <w:t xml:space="preserve"> para a </w:t>
      </w:r>
      <w:proofErr w:type="spellStart"/>
      <w:r w:rsidRPr="00421EB7">
        <w:rPr>
          <w:rFonts w:ascii="Times New Roman" w:hAnsi="Times New Roman" w:cs="Times New Roman"/>
          <w:lang w:val="es-MX"/>
        </w:rPr>
        <w:t>promoção</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vocações</w:t>
      </w:r>
      <w:proofErr w:type="spellEnd"/>
      <w:r w:rsidRPr="00421EB7">
        <w:rPr>
          <w:rFonts w:ascii="Times New Roman" w:hAnsi="Times New Roman" w:cs="Times New Roman"/>
          <w:lang w:val="es-MX"/>
        </w:rPr>
        <w:t xml:space="preserve"> científicas em </w:t>
      </w:r>
      <w:proofErr w:type="spellStart"/>
      <w:r w:rsidRPr="00421EB7">
        <w:rPr>
          <w:rFonts w:ascii="Times New Roman" w:hAnsi="Times New Roman" w:cs="Times New Roman"/>
          <w:lang w:val="es-MX"/>
        </w:rPr>
        <w:t>jovens</w:t>
      </w:r>
      <w:proofErr w:type="spellEnd"/>
      <w:r w:rsidRPr="00421EB7">
        <w:rPr>
          <w:rFonts w:ascii="Times New Roman" w:hAnsi="Times New Roman" w:cs="Times New Roman"/>
          <w:lang w:val="es-MX"/>
        </w:rPr>
        <w:t xml:space="preserve"> do </w:t>
      </w:r>
      <w:proofErr w:type="spellStart"/>
      <w:r w:rsidRPr="00421EB7">
        <w:rPr>
          <w:rFonts w:ascii="Times New Roman" w:hAnsi="Times New Roman" w:cs="Times New Roman"/>
          <w:lang w:val="es-MX"/>
        </w:rPr>
        <w:t>ensino</w:t>
      </w:r>
      <w:proofErr w:type="spellEnd"/>
      <w:r w:rsidRPr="00421EB7">
        <w:rPr>
          <w:rFonts w:ascii="Times New Roman" w:hAnsi="Times New Roman" w:cs="Times New Roman"/>
          <w:lang w:val="es-MX"/>
        </w:rPr>
        <w:t xml:space="preserve"> superior em Yucatán, México, por </w:t>
      </w:r>
      <w:proofErr w:type="spellStart"/>
      <w:r w:rsidRPr="00421EB7">
        <w:rPr>
          <w:rFonts w:ascii="Times New Roman" w:hAnsi="Times New Roman" w:cs="Times New Roman"/>
          <w:lang w:val="es-MX"/>
        </w:rPr>
        <w:t>meio</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ações</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divulgação</w:t>
      </w:r>
      <w:proofErr w:type="spellEnd"/>
      <w:r w:rsidRPr="00421EB7">
        <w:rPr>
          <w:rFonts w:ascii="Times New Roman" w:hAnsi="Times New Roman" w:cs="Times New Roman"/>
          <w:lang w:val="es-MX"/>
        </w:rPr>
        <w:t xml:space="preserve"> e </w:t>
      </w:r>
      <w:proofErr w:type="spellStart"/>
      <w:r w:rsidRPr="00421EB7">
        <w:rPr>
          <w:rFonts w:ascii="Times New Roman" w:hAnsi="Times New Roman" w:cs="Times New Roman"/>
          <w:lang w:val="es-MX"/>
        </w:rPr>
        <w:t>divulgação</w:t>
      </w:r>
      <w:proofErr w:type="spellEnd"/>
      <w:r w:rsidRPr="00421EB7">
        <w:rPr>
          <w:rFonts w:ascii="Times New Roman" w:hAnsi="Times New Roman" w:cs="Times New Roman"/>
          <w:lang w:val="es-MX"/>
        </w:rPr>
        <w:t xml:space="preserve"> durante a </w:t>
      </w:r>
      <w:proofErr w:type="spellStart"/>
      <w:r w:rsidRPr="00421EB7">
        <w:rPr>
          <w:rFonts w:ascii="Times New Roman" w:hAnsi="Times New Roman" w:cs="Times New Roman"/>
          <w:lang w:val="es-MX"/>
        </w:rPr>
        <w:t>virtualidade</w:t>
      </w:r>
      <w:proofErr w:type="spellEnd"/>
      <w:r w:rsidRPr="00421EB7">
        <w:rPr>
          <w:rFonts w:ascii="Times New Roman" w:hAnsi="Times New Roman" w:cs="Times New Roman"/>
          <w:lang w:val="es-MX"/>
        </w:rPr>
        <w:t xml:space="preserve"> causada pela covid-19. O método de pesquisa </w:t>
      </w:r>
      <w:proofErr w:type="spellStart"/>
      <w:r w:rsidRPr="00421EB7">
        <w:rPr>
          <w:rFonts w:ascii="Times New Roman" w:hAnsi="Times New Roman" w:cs="Times New Roman"/>
          <w:lang w:val="es-MX"/>
        </w:rPr>
        <w:t>foi</w:t>
      </w:r>
      <w:proofErr w:type="spellEnd"/>
      <w:r w:rsidRPr="00421EB7">
        <w:rPr>
          <w:rFonts w:ascii="Times New Roman" w:hAnsi="Times New Roman" w:cs="Times New Roman"/>
          <w:lang w:val="es-MX"/>
        </w:rPr>
        <w:t xml:space="preserve"> por etapas </w:t>
      </w:r>
      <w:proofErr w:type="gramStart"/>
      <w:r w:rsidRPr="00421EB7">
        <w:rPr>
          <w:rFonts w:ascii="Times New Roman" w:hAnsi="Times New Roman" w:cs="Times New Roman"/>
          <w:lang w:val="es-MX"/>
        </w:rPr>
        <w:t>e</w:t>
      </w:r>
      <w:proofErr w:type="gramEnd"/>
      <w:r w:rsidRPr="00421EB7">
        <w:rPr>
          <w:rFonts w:ascii="Times New Roman" w:hAnsi="Times New Roman" w:cs="Times New Roman"/>
          <w:lang w:val="es-MX"/>
        </w:rPr>
        <w:t xml:space="preserve"> sistemático. Em cada etapa, </w:t>
      </w:r>
      <w:proofErr w:type="spellStart"/>
      <w:r w:rsidRPr="00421EB7">
        <w:rPr>
          <w:rFonts w:ascii="Times New Roman" w:hAnsi="Times New Roman" w:cs="Times New Roman"/>
          <w:lang w:val="es-MX"/>
        </w:rPr>
        <w:t>foi</w:t>
      </w:r>
      <w:proofErr w:type="spellEnd"/>
      <w:r w:rsidRPr="00421EB7">
        <w:rPr>
          <w:rFonts w:ascii="Times New Roman" w:hAnsi="Times New Roman" w:cs="Times New Roman"/>
          <w:lang w:val="es-MX"/>
        </w:rPr>
        <w:t xml:space="preserve"> utilizada a </w:t>
      </w:r>
      <w:proofErr w:type="spellStart"/>
      <w:r w:rsidRPr="00421EB7">
        <w:rPr>
          <w:rFonts w:ascii="Times New Roman" w:hAnsi="Times New Roman" w:cs="Times New Roman"/>
          <w:lang w:val="es-MX"/>
        </w:rPr>
        <w:t>abordagem</w:t>
      </w:r>
      <w:proofErr w:type="spellEnd"/>
      <w:r w:rsidRPr="00421EB7">
        <w:rPr>
          <w:rFonts w:ascii="Times New Roman" w:hAnsi="Times New Roman" w:cs="Times New Roman"/>
          <w:lang w:val="es-MX"/>
        </w:rPr>
        <w:t xml:space="preserve"> de pesquisa </w:t>
      </w:r>
      <w:proofErr w:type="spellStart"/>
      <w:r w:rsidRPr="00421EB7">
        <w:rPr>
          <w:rFonts w:ascii="Times New Roman" w:hAnsi="Times New Roman" w:cs="Times New Roman"/>
          <w:lang w:val="es-MX"/>
        </w:rPr>
        <w:t>quantitativa</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Houve</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amostras</w:t>
      </w:r>
      <w:proofErr w:type="spellEnd"/>
      <w:r w:rsidRPr="00421EB7">
        <w:rPr>
          <w:rFonts w:ascii="Times New Roman" w:hAnsi="Times New Roman" w:cs="Times New Roman"/>
          <w:lang w:val="es-MX"/>
        </w:rPr>
        <w:t xml:space="preserve"> de 93,0% e 97,0% de </w:t>
      </w:r>
      <w:proofErr w:type="spellStart"/>
      <w:r w:rsidRPr="00421EB7">
        <w:rPr>
          <w:rFonts w:ascii="Times New Roman" w:hAnsi="Times New Roman" w:cs="Times New Roman"/>
          <w:lang w:val="es-MX"/>
        </w:rPr>
        <w:t>confiança</w:t>
      </w:r>
      <w:proofErr w:type="spellEnd"/>
      <w:r w:rsidRPr="00421EB7">
        <w:rPr>
          <w:rFonts w:ascii="Times New Roman" w:hAnsi="Times New Roman" w:cs="Times New Roman"/>
          <w:lang w:val="es-MX"/>
        </w:rPr>
        <w:t xml:space="preserve"> e </w:t>
      </w:r>
      <w:proofErr w:type="spellStart"/>
      <w:r w:rsidRPr="00421EB7">
        <w:rPr>
          <w:rFonts w:ascii="Times New Roman" w:hAnsi="Times New Roman" w:cs="Times New Roman"/>
          <w:lang w:val="es-MX"/>
        </w:rPr>
        <w:t>um</w:t>
      </w:r>
      <w:proofErr w:type="spellEnd"/>
      <w:r w:rsidRPr="00421EB7">
        <w:rPr>
          <w:rFonts w:ascii="Times New Roman" w:hAnsi="Times New Roman" w:cs="Times New Roman"/>
          <w:lang w:val="es-MX"/>
        </w:rPr>
        <w:t xml:space="preserve"> erro de estimativa de 0,07 e 0,03 para os </w:t>
      </w:r>
      <w:proofErr w:type="spellStart"/>
      <w:r w:rsidRPr="00421EB7">
        <w:rPr>
          <w:rFonts w:ascii="Times New Roman" w:hAnsi="Times New Roman" w:cs="Times New Roman"/>
          <w:lang w:val="es-MX"/>
        </w:rPr>
        <w:t>estágios</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um</w:t>
      </w:r>
      <w:proofErr w:type="spellEnd"/>
      <w:r w:rsidRPr="00421EB7">
        <w:rPr>
          <w:rFonts w:ascii="Times New Roman" w:hAnsi="Times New Roman" w:cs="Times New Roman"/>
          <w:lang w:val="es-MX"/>
        </w:rPr>
        <w:t xml:space="preserve"> e </w:t>
      </w:r>
      <w:proofErr w:type="spellStart"/>
      <w:r w:rsidRPr="00421EB7">
        <w:rPr>
          <w:rFonts w:ascii="Times New Roman" w:hAnsi="Times New Roman" w:cs="Times New Roman"/>
          <w:lang w:val="es-MX"/>
        </w:rPr>
        <w:t>dois</w:t>
      </w:r>
      <w:proofErr w:type="spellEnd"/>
      <w:r w:rsidRPr="00421EB7">
        <w:rPr>
          <w:rFonts w:ascii="Times New Roman" w:hAnsi="Times New Roman" w:cs="Times New Roman"/>
          <w:lang w:val="es-MX"/>
        </w:rPr>
        <w:t xml:space="preserve">, respectivamente. Os resultados da </w:t>
      </w:r>
      <w:proofErr w:type="spellStart"/>
      <w:r w:rsidRPr="00421EB7">
        <w:rPr>
          <w:rFonts w:ascii="Times New Roman" w:hAnsi="Times New Roman" w:cs="Times New Roman"/>
          <w:lang w:val="es-MX"/>
        </w:rPr>
        <w:t>primeira</w:t>
      </w:r>
      <w:proofErr w:type="spellEnd"/>
      <w:r w:rsidRPr="00421EB7">
        <w:rPr>
          <w:rFonts w:ascii="Times New Roman" w:hAnsi="Times New Roman" w:cs="Times New Roman"/>
          <w:lang w:val="es-MX"/>
        </w:rPr>
        <w:t xml:space="preserve"> etapa </w:t>
      </w:r>
      <w:proofErr w:type="spellStart"/>
      <w:r w:rsidRPr="00421EB7">
        <w:rPr>
          <w:rFonts w:ascii="Times New Roman" w:hAnsi="Times New Roman" w:cs="Times New Roman"/>
          <w:lang w:val="es-MX"/>
        </w:rPr>
        <w:t>permitiram</w:t>
      </w:r>
      <w:proofErr w:type="spellEnd"/>
      <w:r w:rsidRPr="00421EB7">
        <w:rPr>
          <w:rFonts w:ascii="Times New Roman" w:hAnsi="Times New Roman" w:cs="Times New Roman"/>
          <w:lang w:val="es-MX"/>
        </w:rPr>
        <w:t xml:space="preserve"> caracterizar os </w:t>
      </w:r>
      <w:proofErr w:type="spellStart"/>
      <w:r w:rsidRPr="00421EB7">
        <w:rPr>
          <w:rFonts w:ascii="Times New Roman" w:hAnsi="Times New Roman" w:cs="Times New Roman"/>
          <w:lang w:val="es-MX"/>
        </w:rPr>
        <w:t>jovens</w:t>
      </w:r>
      <w:proofErr w:type="spellEnd"/>
      <w:r w:rsidRPr="00421EB7">
        <w:rPr>
          <w:rFonts w:ascii="Times New Roman" w:hAnsi="Times New Roman" w:cs="Times New Roman"/>
          <w:lang w:val="es-MX"/>
        </w:rPr>
        <w:t xml:space="preserve"> de 15 a 29 </w:t>
      </w:r>
      <w:proofErr w:type="spellStart"/>
      <w:r w:rsidRPr="00421EB7">
        <w:rPr>
          <w:rFonts w:ascii="Times New Roman" w:hAnsi="Times New Roman" w:cs="Times New Roman"/>
          <w:lang w:val="es-MX"/>
        </w:rPr>
        <w:t>anos</w:t>
      </w:r>
      <w:proofErr w:type="spellEnd"/>
      <w:r w:rsidRPr="00421EB7">
        <w:rPr>
          <w:rFonts w:ascii="Times New Roman" w:hAnsi="Times New Roman" w:cs="Times New Roman"/>
          <w:lang w:val="es-MX"/>
        </w:rPr>
        <w:t xml:space="preserve"> que </w:t>
      </w:r>
      <w:proofErr w:type="spellStart"/>
      <w:r w:rsidRPr="00421EB7">
        <w:rPr>
          <w:rFonts w:ascii="Times New Roman" w:hAnsi="Times New Roman" w:cs="Times New Roman"/>
          <w:lang w:val="es-MX"/>
        </w:rPr>
        <w:t>foram</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sujeitos</w:t>
      </w:r>
      <w:proofErr w:type="spellEnd"/>
      <w:r w:rsidRPr="00421EB7">
        <w:rPr>
          <w:rFonts w:ascii="Times New Roman" w:hAnsi="Times New Roman" w:cs="Times New Roman"/>
          <w:lang w:val="es-MX"/>
        </w:rPr>
        <w:t xml:space="preserve"> do </w:t>
      </w:r>
      <w:proofErr w:type="spellStart"/>
      <w:r w:rsidRPr="00421EB7">
        <w:rPr>
          <w:rFonts w:ascii="Times New Roman" w:hAnsi="Times New Roman" w:cs="Times New Roman"/>
          <w:lang w:val="es-MX"/>
        </w:rPr>
        <w:t>estudo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Na</w:t>
      </w:r>
      <w:proofErr w:type="spellEnd"/>
      <w:r w:rsidRPr="00421EB7">
        <w:rPr>
          <w:rFonts w:ascii="Times New Roman" w:hAnsi="Times New Roman" w:cs="Times New Roman"/>
          <w:lang w:val="es-MX"/>
        </w:rPr>
        <w:t xml:space="preserve"> segunda etapa, </w:t>
      </w:r>
      <w:proofErr w:type="spellStart"/>
      <w:r w:rsidRPr="00421EB7">
        <w:rPr>
          <w:rFonts w:ascii="Times New Roman" w:hAnsi="Times New Roman" w:cs="Times New Roman"/>
          <w:lang w:val="es-MX"/>
        </w:rPr>
        <w:t>são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propostas</w:t>
      </w:r>
      <w:proofErr w:type="spellEnd"/>
      <w:r w:rsidRPr="00421EB7">
        <w:rPr>
          <w:rFonts w:ascii="Times New Roman" w:hAnsi="Times New Roman" w:cs="Times New Roman"/>
          <w:lang w:val="es-MX"/>
        </w:rPr>
        <w:t xml:space="preserve"> as </w:t>
      </w:r>
      <w:proofErr w:type="spellStart"/>
      <w:r w:rsidRPr="00421EB7">
        <w:rPr>
          <w:rFonts w:ascii="Times New Roman" w:hAnsi="Times New Roman" w:cs="Times New Roman"/>
          <w:lang w:val="es-MX"/>
        </w:rPr>
        <w:t>estratégias</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promoção</w:t>
      </w:r>
      <w:proofErr w:type="spellEnd"/>
      <w:r w:rsidRPr="00421EB7">
        <w:rPr>
          <w:rFonts w:ascii="Times New Roman" w:hAnsi="Times New Roman" w:cs="Times New Roman"/>
          <w:lang w:val="es-MX"/>
        </w:rPr>
        <w:t xml:space="preserve"> das </w:t>
      </w:r>
      <w:proofErr w:type="spellStart"/>
      <w:r w:rsidRPr="00421EB7">
        <w:rPr>
          <w:rFonts w:ascii="Times New Roman" w:hAnsi="Times New Roman" w:cs="Times New Roman"/>
          <w:lang w:val="es-MX"/>
        </w:rPr>
        <w:t>vocações</w:t>
      </w:r>
      <w:proofErr w:type="spellEnd"/>
      <w:r w:rsidRPr="00421EB7">
        <w:rPr>
          <w:rFonts w:ascii="Times New Roman" w:hAnsi="Times New Roman" w:cs="Times New Roman"/>
          <w:lang w:val="es-MX"/>
        </w:rPr>
        <w:t xml:space="preserve"> científicas e </w:t>
      </w:r>
      <w:proofErr w:type="spellStart"/>
      <w:r w:rsidRPr="00421EB7">
        <w:rPr>
          <w:rFonts w:ascii="Times New Roman" w:hAnsi="Times New Roman" w:cs="Times New Roman"/>
          <w:lang w:val="es-MX"/>
        </w:rPr>
        <w:t>uma</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classificação</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acordo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com</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sua</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aplicação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Nas</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conclusões</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podem</w:t>
      </w:r>
      <w:proofErr w:type="spellEnd"/>
      <w:r w:rsidRPr="00421EB7">
        <w:rPr>
          <w:rFonts w:ascii="Times New Roman" w:hAnsi="Times New Roman" w:cs="Times New Roman"/>
          <w:lang w:val="es-MX"/>
        </w:rPr>
        <w:t xml:space="preserve">-se vislumbrar as áreas de </w:t>
      </w:r>
      <w:proofErr w:type="spellStart"/>
      <w:r w:rsidRPr="00421EB7">
        <w:rPr>
          <w:rFonts w:ascii="Times New Roman" w:hAnsi="Times New Roman" w:cs="Times New Roman"/>
          <w:lang w:val="es-MX"/>
        </w:rPr>
        <w:t>oportunidade</w:t>
      </w:r>
      <w:proofErr w:type="spellEnd"/>
      <w:r w:rsidRPr="00421EB7">
        <w:rPr>
          <w:rFonts w:ascii="Times New Roman" w:hAnsi="Times New Roman" w:cs="Times New Roman"/>
          <w:lang w:val="es-MX"/>
        </w:rPr>
        <w:t xml:space="preserve">, a </w:t>
      </w:r>
      <w:proofErr w:type="spellStart"/>
      <w:r w:rsidRPr="00421EB7">
        <w:rPr>
          <w:rFonts w:ascii="Times New Roman" w:hAnsi="Times New Roman" w:cs="Times New Roman"/>
          <w:lang w:val="es-MX"/>
        </w:rPr>
        <w:t>escassa</w:t>
      </w:r>
      <w:proofErr w:type="spellEnd"/>
      <w:r w:rsidRPr="00421EB7">
        <w:rPr>
          <w:rFonts w:ascii="Times New Roman" w:hAnsi="Times New Roman" w:cs="Times New Roman"/>
          <w:lang w:val="es-MX"/>
        </w:rPr>
        <w:t xml:space="preserve"> busca por </w:t>
      </w:r>
      <w:proofErr w:type="spellStart"/>
      <w:r w:rsidRPr="00421EB7">
        <w:rPr>
          <w:rFonts w:ascii="Times New Roman" w:hAnsi="Times New Roman" w:cs="Times New Roman"/>
          <w:lang w:val="es-MX"/>
        </w:rPr>
        <w:t>informações</w:t>
      </w:r>
      <w:proofErr w:type="spellEnd"/>
      <w:r w:rsidRPr="00421EB7">
        <w:rPr>
          <w:rFonts w:ascii="Times New Roman" w:hAnsi="Times New Roman" w:cs="Times New Roman"/>
          <w:lang w:val="es-MX"/>
        </w:rPr>
        <w:t xml:space="preserve"> em bancos de dados </w:t>
      </w:r>
      <w:proofErr w:type="spellStart"/>
      <w:r w:rsidRPr="00421EB7">
        <w:rPr>
          <w:rFonts w:ascii="Times New Roman" w:hAnsi="Times New Roman" w:cs="Times New Roman"/>
          <w:lang w:val="es-MX"/>
        </w:rPr>
        <w:t>acadêmicos</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bem</w:t>
      </w:r>
      <w:proofErr w:type="spellEnd"/>
      <w:r w:rsidRPr="00421EB7">
        <w:rPr>
          <w:rFonts w:ascii="Times New Roman" w:hAnsi="Times New Roman" w:cs="Times New Roman"/>
          <w:lang w:val="es-MX"/>
        </w:rPr>
        <w:t xml:space="preserve"> como a </w:t>
      </w:r>
      <w:proofErr w:type="spellStart"/>
      <w:r w:rsidRPr="00421EB7">
        <w:rPr>
          <w:rFonts w:ascii="Times New Roman" w:hAnsi="Times New Roman" w:cs="Times New Roman"/>
          <w:lang w:val="es-MX"/>
        </w:rPr>
        <w:t>ausência</w:t>
      </w:r>
      <w:proofErr w:type="spellEnd"/>
      <w:r w:rsidRPr="00421EB7">
        <w:rPr>
          <w:rFonts w:ascii="Times New Roman" w:hAnsi="Times New Roman" w:cs="Times New Roman"/>
          <w:lang w:val="es-MX"/>
        </w:rPr>
        <w:t xml:space="preserve"> de </w:t>
      </w:r>
      <w:proofErr w:type="spellStart"/>
      <w:r w:rsidRPr="00421EB7">
        <w:rPr>
          <w:rFonts w:ascii="Times New Roman" w:hAnsi="Times New Roman" w:cs="Times New Roman"/>
          <w:lang w:val="es-MX"/>
        </w:rPr>
        <w:t>uma</w:t>
      </w:r>
      <w:proofErr w:type="spellEnd"/>
      <w:r w:rsidRPr="00421EB7">
        <w:rPr>
          <w:rFonts w:ascii="Times New Roman" w:hAnsi="Times New Roman" w:cs="Times New Roman"/>
          <w:lang w:val="es-MX"/>
        </w:rPr>
        <w:t xml:space="preserve"> cultura institucional </w:t>
      </w:r>
      <w:proofErr w:type="spellStart"/>
      <w:r w:rsidRPr="00421EB7">
        <w:rPr>
          <w:rFonts w:ascii="Times New Roman" w:hAnsi="Times New Roman" w:cs="Times New Roman"/>
          <w:lang w:val="es-MX"/>
        </w:rPr>
        <w:t>voltada</w:t>
      </w:r>
      <w:proofErr w:type="spellEnd"/>
      <w:r w:rsidRPr="00421EB7">
        <w:rPr>
          <w:rFonts w:ascii="Times New Roman" w:hAnsi="Times New Roman" w:cs="Times New Roman"/>
          <w:lang w:val="es-MX"/>
        </w:rPr>
        <w:t xml:space="preserve"> para a </w:t>
      </w:r>
      <w:proofErr w:type="spellStart"/>
      <w:r w:rsidRPr="00421EB7">
        <w:rPr>
          <w:rFonts w:ascii="Times New Roman" w:hAnsi="Times New Roman" w:cs="Times New Roman"/>
          <w:lang w:val="es-MX"/>
        </w:rPr>
        <w:t>ciência</w:t>
      </w:r>
      <w:proofErr w:type="spellEnd"/>
      <w:r w:rsidRPr="00421EB7">
        <w:rPr>
          <w:rFonts w:ascii="Times New Roman" w:hAnsi="Times New Roman" w:cs="Times New Roman"/>
          <w:lang w:val="es-MX"/>
        </w:rPr>
        <w:t xml:space="preserve"> e a pesquisa.</w:t>
      </w:r>
    </w:p>
    <w:p w14:paraId="3D4B6489" w14:textId="28017535" w:rsidR="00421EB7" w:rsidRDefault="00421EB7" w:rsidP="00421EB7">
      <w:pPr>
        <w:spacing w:line="360" w:lineRule="auto"/>
        <w:jc w:val="both"/>
        <w:rPr>
          <w:rFonts w:ascii="Times New Roman" w:hAnsi="Times New Roman" w:cs="Times New Roman"/>
          <w:lang w:val="es-MX"/>
        </w:rPr>
      </w:pPr>
      <w:proofErr w:type="spellStart"/>
      <w:r w:rsidRPr="00F52CBE">
        <w:rPr>
          <w:rFonts w:cstheme="minorHAnsi"/>
          <w:b/>
          <w:bCs/>
          <w:sz w:val="28"/>
          <w:szCs w:val="22"/>
          <w:lang w:val="es-MX"/>
        </w:rPr>
        <w:t>Palavras</w:t>
      </w:r>
      <w:proofErr w:type="spellEnd"/>
      <w:r w:rsidRPr="00F52CBE">
        <w:rPr>
          <w:rFonts w:cstheme="minorHAnsi"/>
          <w:b/>
          <w:bCs/>
          <w:sz w:val="28"/>
          <w:szCs w:val="22"/>
          <w:lang w:val="es-MX"/>
        </w:rPr>
        <w:t>-chave:</w:t>
      </w:r>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divulgação</w:t>
      </w:r>
      <w:proofErr w:type="spellEnd"/>
      <w:r w:rsidRPr="00421EB7">
        <w:rPr>
          <w:rFonts w:ascii="Times New Roman" w:hAnsi="Times New Roman" w:cs="Times New Roman"/>
          <w:lang w:val="es-MX"/>
        </w:rPr>
        <w:t xml:space="preserve"> científica, </w:t>
      </w:r>
      <w:proofErr w:type="spellStart"/>
      <w:r w:rsidRPr="00421EB7">
        <w:rPr>
          <w:rFonts w:ascii="Times New Roman" w:hAnsi="Times New Roman" w:cs="Times New Roman"/>
          <w:lang w:val="es-MX"/>
        </w:rPr>
        <w:t>educação</w:t>
      </w:r>
      <w:proofErr w:type="spellEnd"/>
      <w:r w:rsidRPr="00421EB7">
        <w:rPr>
          <w:rFonts w:ascii="Times New Roman" w:hAnsi="Times New Roman" w:cs="Times New Roman"/>
          <w:lang w:val="es-MX"/>
        </w:rPr>
        <w:t xml:space="preserve">, </w:t>
      </w:r>
      <w:proofErr w:type="spellStart"/>
      <w:r w:rsidRPr="00421EB7">
        <w:rPr>
          <w:rFonts w:ascii="Times New Roman" w:hAnsi="Times New Roman" w:cs="Times New Roman"/>
          <w:lang w:val="es-MX"/>
        </w:rPr>
        <w:t>ensino</w:t>
      </w:r>
      <w:proofErr w:type="spellEnd"/>
      <w:r w:rsidRPr="00421EB7">
        <w:rPr>
          <w:rFonts w:ascii="Times New Roman" w:hAnsi="Times New Roman" w:cs="Times New Roman"/>
          <w:lang w:val="es-MX"/>
        </w:rPr>
        <w:t xml:space="preserve"> superior, </w:t>
      </w:r>
      <w:proofErr w:type="spellStart"/>
      <w:r w:rsidRPr="00421EB7">
        <w:rPr>
          <w:rFonts w:ascii="Times New Roman" w:hAnsi="Times New Roman" w:cs="Times New Roman"/>
          <w:lang w:val="es-MX"/>
        </w:rPr>
        <w:t>estratégias</w:t>
      </w:r>
      <w:proofErr w:type="spellEnd"/>
      <w:r w:rsidRPr="00421EB7">
        <w:rPr>
          <w:rFonts w:ascii="Times New Roman" w:hAnsi="Times New Roman" w:cs="Times New Roman"/>
          <w:lang w:val="es-MX"/>
        </w:rPr>
        <w:t>.</w:t>
      </w:r>
    </w:p>
    <w:p w14:paraId="3A4D391E" w14:textId="1A22A2D0" w:rsidR="00421EB7" w:rsidRPr="00E83B4F" w:rsidRDefault="00421EB7" w:rsidP="00421EB7">
      <w:pPr>
        <w:pStyle w:val="HTMLconformatoprevio"/>
        <w:shd w:val="clear" w:color="auto" w:fill="FFFFFF"/>
        <w:rPr>
          <w:rFonts w:ascii="Times New Roman" w:hAnsi="Times New Roman"/>
          <w:color w:val="000000"/>
          <w:sz w:val="24"/>
          <w:lang w:val="es-MX"/>
        </w:rPr>
      </w:pPr>
      <w:r w:rsidRPr="00E83B4F">
        <w:rPr>
          <w:rFonts w:ascii="Times New Roman" w:hAnsi="Times New Roman"/>
          <w:b/>
          <w:color w:val="000000"/>
          <w:sz w:val="24"/>
          <w:lang w:val="es-MX"/>
        </w:rPr>
        <w:lastRenderedPageBreak/>
        <w:t>Fecha Recepción:</w:t>
      </w:r>
      <w:r w:rsidRPr="00E83B4F">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sidRPr="00E83B4F">
        <w:rPr>
          <w:rFonts w:ascii="Times New Roman" w:hAnsi="Times New Roman"/>
          <w:color w:val="000000"/>
          <w:sz w:val="24"/>
          <w:lang w:val="es-MX"/>
        </w:rPr>
        <w:t xml:space="preserve"> 2021                               </w:t>
      </w:r>
      <w:r w:rsidRPr="00E83B4F">
        <w:rPr>
          <w:rFonts w:ascii="Times New Roman" w:hAnsi="Times New Roman"/>
          <w:b/>
          <w:color w:val="000000"/>
          <w:sz w:val="24"/>
          <w:lang w:val="es-MX"/>
        </w:rPr>
        <w:t>Fecha Aceptación:</w:t>
      </w:r>
      <w:r w:rsidRPr="00E83B4F">
        <w:rPr>
          <w:rFonts w:ascii="Times New Roman" w:hAnsi="Times New Roman"/>
          <w:color w:val="000000"/>
          <w:sz w:val="24"/>
          <w:lang w:val="es-MX"/>
        </w:rPr>
        <w:t xml:space="preserve"> </w:t>
      </w:r>
      <w:r>
        <w:rPr>
          <w:rFonts w:ascii="Times New Roman" w:hAnsi="Times New Roman"/>
          <w:color w:val="000000"/>
          <w:sz w:val="24"/>
          <w:lang w:val="es-MX"/>
        </w:rPr>
        <w:t>Junio</w:t>
      </w:r>
      <w:r w:rsidRPr="00E83B4F">
        <w:rPr>
          <w:rFonts w:ascii="Times New Roman" w:hAnsi="Times New Roman"/>
          <w:color w:val="000000"/>
          <w:sz w:val="24"/>
          <w:lang w:val="es-MX"/>
        </w:rPr>
        <w:t xml:space="preserve"> 2022</w:t>
      </w:r>
    </w:p>
    <w:p w14:paraId="5AFA2E45" w14:textId="3F94FBFB" w:rsidR="00421EB7" w:rsidRPr="00421EB7" w:rsidRDefault="000A73B0" w:rsidP="00421EB7">
      <w:pPr>
        <w:spacing w:line="360" w:lineRule="auto"/>
        <w:jc w:val="both"/>
        <w:rPr>
          <w:rFonts w:ascii="Times New Roman" w:hAnsi="Times New Roman" w:cs="Times New Roman"/>
          <w:lang w:val="es-MX"/>
        </w:rPr>
      </w:pPr>
      <w:r>
        <w:rPr>
          <w:noProof/>
        </w:rPr>
        <w:pict w14:anchorId="284A0276">
          <v:rect id="_x0000_i1025" style="width:441.9pt;height:.05pt" o:hralign="center" o:hrstd="t" o:hr="t" fillcolor="#a0a0a0" stroked="f"/>
        </w:pict>
      </w:r>
    </w:p>
    <w:p w14:paraId="0E026A10" w14:textId="5812986B" w:rsidR="003471DB" w:rsidRPr="00CA11D7" w:rsidRDefault="003471DB" w:rsidP="00421EB7">
      <w:pPr>
        <w:spacing w:line="360" w:lineRule="auto"/>
        <w:jc w:val="center"/>
        <w:rPr>
          <w:rFonts w:ascii="Times New Roman" w:hAnsi="Times New Roman" w:cs="Times New Roman"/>
          <w:b/>
          <w:bCs/>
          <w:sz w:val="32"/>
          <w:lang w:val="es-ES"/>
        </w:rPr>
      </w:pPr>
      <w:r w:rsidRPr="00CA11D7">
        <w:rPr>
          <w:rFonts w:ascii="Times New Roman" w:hAnsi="Times New Roman" w:cs="Times New Roman"/>
          <w:b/>
          <w:bCs/>
          <w:sz w:val="32"/>
          <w:lang w:val="es-ES"/>
        </w:rPr>
        <w:t>Introducción</w:t>
      </w:r>
    </w:p>
    <w:p w14:paraId="4B858FCD" w14:textId="7CD8BE2A" w:rsidR="00FC0E2F" w:rsidRDefault="003471DB" w:rsidP="00FF6D96">
      <w:pPr>
        <w:spacing w:line="360" w:lineRule="auto"/>
        <w:ind w:firstLine="568"/>
        <w:jc w:val="both"/>
        <w:rPr>
          <w:rFonts w:ascii="Times New Roman" w:hAnsi="Times New Roman" w:cs="Times New Roman"/>
          <w:lang w:val="es-ES"/>
        </w:rPr>
      </w:pPr>
      <w:r w:rsidRPr="00DC6E80">
        <w:rPr>
          <w:rFonts w:ascii="Times New Roman" w:hAnsi="Times New Roman" w:cs="Times New Roman"/>
          <w:lang w:val="es-ES"/>
        </w:rPr>
        <w:t>Los estudiantes</w:t>
      </w:r>
      <w:r w:rsidR="00252B7F">
        <w:rPr>
          <w:rFonts w:ascii="Times New Roman" w:hAnsi="Times New Roman" w:cs="Times New Roman"/>
          <w:lang w:val="es-ES"/>
        </w:rPr>
        <w:t xml:space="preserve"> y</w:t>
      </w:r>
      <w:r w:rsidR="00252B7F" w:rsidRPr="00DC6E80">
        <w:rPr>
          <w:rFonts w:ascii="Times New Roman" w:hAnsi="Times New Roman" w:cs="Times New Roman"/>
          <w:lang w:val="es-ES"/>
        </w:rPr>
        <w:t xml:space="preserve"> </w:t>
      </w:r>
      <w:r w:rsidRPr="00DC6E80">
        <w:rPr>
          <w:rFonts w:ascii="Times New Roman" w:hAnsi="Times New Roman" w:cs="Times New Roman"/>
          <w:lang w:val="es-ES"/>
        </w:rPr>
        <w:t xml:space="preserve">profesores se enfrentaron </w:t>
      </w:r>
      <w:r w:rsidR="008E62D6">
        <w:rPr>
          <w:rFonts w:ascii="Times New Roman" w:hAnsi="Times New Roman" w:cs="Times New Roman"/>
          <w:lang w:val="es-ES"/>
        </w:rPr>
        <w:t>a</w:t>
      </w:r>
      <w:r w:rsidR="008E62D6" w:rsidRPr="00DC6E80">
        <w:rPr>
          <w:rFonts w:ascii="Times New Roman" w:hAnsi="Times New Roman" w:cs="Times New Roman"/>
          <w:lang w:val="es-ES"/>
        </w:rPr>
        <w:t xml:space="preserve"> </w:t>
      </w:r>
      <w:r w:rsidRPr="00DC6E80">
        <w:rPr>
          <w:rFonts w:ascii="Times New Roman" w:hAnsi="Times New Roman" w:cs="Times New Roman"/>
          <w:lang w:val="es-ES"/>
        </w:rPr>
        <w:t xml:space="preserve">grandes retos durante el 2020 y 2021 </w:t>
      </w:r>
      <w:r w:rsidR="008B5BBC">
        <w:rPr>
          <w:rFonts w:ascii="Times New Roman" w:hAnsi="Times New Roman" w:cs="Times New Roman"/>
          <w:lang w:val="es-ES"/>
        </w:rPr>
        <w:t>con la transformación de la educación</w:t>
      </w:r>
      <w:r w:rsidRPr="00DC6E80">
        <w:rPr>
          <w:rFonts w:ascii="Times New Roman" w:hAnsi="Times New Roman" w:cs="Times New Roman"/>
          <w:lang w:val="es-ES"/>
        </w:rPr>
        <w:t xml:space="preserve"> </w:t>
      </w:r>
      <w:r w:rsidR="00EC146E">
        <w:rPr>
          <w:rFonts w:ascii="Times New Roman" w:hAnsi="Times New Roman" w:cs="Times New Roman"/>
          <w:lang w:val="es-ES"/>
        </w:rPr>
        <w:t xml:space="preserve">hacia los escenarios </w:t>
      </w:r>
      <w:r w:rsidRPr="00DC6E80">
        <w:rPr>
          <w:rFonts w:ascii="Times New Roman" w:hAnsi="Times New Roman" w:cs="Times New Roman"/>
          <w:lang w:val="es-ES"/>
        </w:rPr>
        <w:t>virtual</w:t>
      </w:r>
      <w:r w:rsidR="00CC5789">
        <w:rPr>
          <w:rFonts w:ascii="Times New Roman" w:hAnsi="Times New Roman" w:cs="Times New Roman"/>
          <w:lang w:val="es-ES"/>
        </w:rPr>
        <w:t>es</w:t>
      </w:r>
      <w:r w:rsidR="00FC0E2F">
        <w:rPr>
          <w:rFonts w:ascii="Times New Roman" w:hAnsi="Times New Roman" w:cs="Times New Roman"/>
          <w:lang w:val="es-ES"/>
        </w:rPr>
        <w:t xml:space="preserve">. </w:t>
      </w:r>
      <w:r w:rsidR="00B204A5">
        <w:rPr>
          <w:rFonts w:ascii="Times New Roman" w:hAnsi="Times New Roman" w:cs="Times New Roman"/>
          <w:lang w:val="es-ES"/>
        </w:rPr>
        <w:t>Aunque</w:t>
      </w:r>
      <w:r w:rsidR="00252B7F">
        <w:rPr>
          <w:rFonts w:ascii="Times New Roman" w:hAnsi="Times New Roman" w:cs="Times New Roman"/>
          <w:lang w:val="es-ES"/>
        </w:rPr>
        <w:t>,</w:t>
      </w:r>
      <w:r w:rsidR="00B204A5">
        <w:rPr>
          <w:rFonts w:ascii="Times New Roman" w:hAnsi="Times New Roman" w:cs="Times New Roman"/>
          <w:lang w:val="es-ES"/>
        </w:rPr>
        <w:t xml:space="preserve"> por un lado</w:t>
      </w:r>
      <w:r w:rsidR="00252B7F">
        <w:rPr>
          <w:rFonts w:ascii="Times New Roman" w:hAnsi="Times New Roman" w:cs="Times New Roman"/>
          <w:lang w:val="es-ES"/>
        </w:rPr>
        <w:t>,</w:t>
      </w:r>
      <w:r w:rsidR="00FC0E2F">
        <w:rPr>
          <w:rFonts w:ascii="Times New Roman" w:hAnsi="Times New Roman" w:cs="Times New Roman"/>
          <w:lang w:val="es-ES"/>
        </w:rPr>
        <w:t xml:space="preserve"> se</w:t>
      </w:r>
      <w:r w:rsidR="00CC5789">
        <w:rPr>
          <w:rFonts w:ascii="Times New Roman" w:hAnsi="Times New Roman" w:cs="Times New Roman"/>
          <w:lang w:val="es-ES"/>
        </w:rPr>
        <w:t xml:space="preserve"> promovió</w:t>
      </w:r>
      <w:r w:rsidRPr="00DC6E80">
        <w:rPr>
          <w:rFonts w:ascii="Times New Roman" w:hAnsi="Times New Roman" w:cs="Times New Roman"/>
          <w:lang w:val="es-ES"/>
        </w:rPr>
        <w:t xml:space="preserve"> </w:t>
      </w:r>
      <w:r w:rsidR="00CC5789">
        <w:rPr>
          <w:rFonts w:ascii="Times New Roman" w:hAnsi="Times New Roman" w:cs="Times New Roman"/>
          <w:lang w:val="es-ES"/>
        </w:rPr>
        <w:t>el</w:t>
      </w:r>
      <w:r w:rsidRPr="00DC6E80">
        <w:rPr>
          <w:rFonts w:ascii="Times New Roman" w:hAnsi="Times New Roman" w:cs="Times New Roman"/>
          <w:lang w:val="es-ES"/>
        </w:rPr>
        <w:t xml:space="preserve"> avance en el uso de las plataformas tecnológicas para la enseñanza, </w:t>
      </w:r>
      <w:r w:rsidR="00B204A5">
        <w:rPr>
          <w:rFonts w:ascii="Times New Roman" w:hAnsi="Times New Roman" w:cs="Times New Roman"/>
          <w:lang w:val="es-ES"/>
        </w:rPr>
        <w:t>por el otro</w:t>
      </w:r>
      <w:r w:rsidR="00252B7F">
        <w:rPr>
          <w:rFonts w:ascii="Times New Roman" w:hAnsi="Times New Roman" w:cs="Times New Roman"/>
          <w:lang w:val="es-ES"/>
        </w:rPr>
        <w:t>,</w:t>
      </w:r>
      <w:r w:rsidR="006D48DA">
        <w:rPr>
          <w:rFonts w:ascii="Times New Roman" w:hAnsi="Times New Roman" w:cs="Times New Roman"/>
          <w:lang w:val="es-ES"/>
        </w:rPr>
        <w:t xml:space="preserve"> </w:t>
      </w:r>
      <w:r w:rsidR="00B36562">
        <w:rPr>
          <w:rFonts w:ascii="Times New Roman" w:hAnsi="Times New Roman" w:cs="Times New Roman"/>
          <w:lang w:val="es-ES"/>
        </w:rPr>
        <w:t>hubo poca</w:t>
      </w:r>
      <w:r w:rsidRPr="00DC6E80">
        <w:rPr>
          <w:rFonts w:ascii="Times New Roman" w:hAnsi="Times New Roman" w:cs="Times New Roman"/>
          <w:lang w:val="es-ES"/>
        </w:rPr>
        <w:t xml:space="preserve"> inversión por parte de las familias para que los estudiantes continuaran con sus estudios desde casa</w:t>
      </w:r>
      <w:r w:rsidR="009245C1">
        <w:rPr>
          <w:rFonts w:ascii="Times New Roman" w:hAnsi="Times New Roman" w:cs="Times New Roman"/>
          <w:lang w:val="es-ES"/>
        </w:rPr>
        <w:t>.</w:t>
      </w:r>
      <w:r w:rsidRPr="00DC6E80">
        <w:rPr>
          <w:rFonts w:ascii="Times New Roman" w:hAnsi="Times New Roman" w:cs="Times New Roman"/>
          <w:lang w:val="es-ES"/>
        </w:rPr>
        <w:t xml:space="preserve"> </w:t>
      </w:r>
      <w:r w:rsidR="009245C1">
        <w:rPr>
          <w:rFonts w:ascii="Times New Roman" w:hAnsi="Times New Roman" w:cs="Times New Roman"/>
          <w:lang w:val="es-ES"/>
        </w:rPr>
        <w:t>D</w:t>
      </w:r>
      <w:r w:rsidR="009245C1" w:rsidRPr="00DC6E80">
        <w:rPr>
          <w:rFonts w:ascii="Times New Roman" w:hAnsi="Times New Roman" w:cs="Times New Roman"/>
          <w:lang w:val="es-ES"/>
        </w:rPr>
        <w:t xml:space="preserve">e </w:t>
      </w:r>
      <w:r w:rsidRPr="00DC6E80">
        <w:rPr>
          <w:rFonts w:ascii="Times New Roman" w:hAnsi="Times New Roman" w:cs="Times New Roman"/>
          <w:lang w:val="es-ES"/>
        </w:rPr>
        <w:t>igual manera</w:t>
      </w:r>
      <w:r w:rsidR="009245C1">
        <w:rPr>
          <w:rFonts w:ascii="Times New Roman" w:hAnsi="Times New Roman" w:cs="Times New Roman"/>
          <w:lang w:val="es-ES"/>
        </w:rPr>
        <w:t>,</w:t>
      </w:r>
      <w:r w:rsidRPr="00DC6E80">
        <w:rPr>
          <w:rFonts w:ascii="Times New Roman" w:hAnsi="Times New Roman" w:cs="Times New Roman"/>
          <w:lang w:val="es-ES"/>
        </w:rPr>
        <w:t xml:space="preserve"> </w:t>
      </w:r>
      <w:r w:rsidR="008B6DEF">
        <w:rPr>
          <w:rFonts w:ascii="Times New Roman" w:hAnsi="Times New Roman" w:cs="Times New Roman"/>
          <w:lang w:val="es-ES"/>
        </w:rPr>
        <w:t xml:space="preserve">se detectaron </w:t>
      </w:r>
      <w:r w:rsidR="00723458">
        <w:rPr>
          <w:rFonts w:ascii="Times New Roman" w:hAnsi="Times New Roman" w:cs="Times New Roman"/>
          <w:lang w:val="es-ES"/>
        </w:rPr>
        <w:t xml:space="preserve">problemas y contratiempos </w:t>
      </w:r>
      <w:r w:rsidR="00906A2F" w:rsidRPr="001F3B91">
        <w:rPr>
          <w:rFonts w:ascii="Times New Roman" w:hAnsi="Times New Roman" w:cs="Times New Roman"/>
          <w:lang w:val="es-ES"/>
        </w:rPr>
        <w:t>como son</w:t>
      </w:r>
      <w:r w:rsidR="00723458" w:rsidRPr="001F3B91">
        <w:rPr>
          <w:rFonts w:ascii="Times New Roman" w:hAnsi="Times New Roman" w:cs="Times New Roman"/>
          <w:lang w:val="es-ES"/>
        </w:rPr>
        <w:t xml:space="preserve"> </w:t>
      </w:r>
      <w:r w:rsidRPr="001F3B91">
        <w:rPr>
          <w:rFonts w:ascii="Times New Roman" w:hAnsi="Times New Roman" w:cs="Times New Roman"/>
          <w:lang w:val="es-ES"/>
        </w:rPr>
        <w:t>l</w:t>
      </w:r>
      <w:r w:rsidR="00723458" w:rsidRPr="001F3B91">
        <w:rPr>
          <w:rFonts w:ascii="Times New Roman" w:hAnsi="Times New Roman" w:cs="Times New Roman"/>
          <w:lang w:val="es-ES"/>
        </w:rPr>
        <w:t>a</w:t>
      </w:r>
      <w:r w:rsidRPr="001F3B91">
        <w:rPr>
          <w:rFonts w:ascii="Times New Roman" w:hAnsi="Times New Roman" w:cs="Times New Roman"/>
          <w:lang w:val="es-ES"/>
        </w:rPr>
        <w:t xml:space="preserve"> </w:t>
      </w:r>
      <w:r w:rsidR="00723458" w:rsidRPr="001F3B91">
        <w:rPr>
          <w:rFonts w:ascii="Times New Roman" w:hAnsi="Times New Roman" w:cs="Times New Roman"/>
          <w:lang w:val="es-ES"/>
        </w:rPr>
        <w:t xml:space="preserve">poca </w:t>
      </w:r>
      <w:r w:rsidRPr="001F3B91">
        <w:rPr>
          <w:rFonts w:ascii="Times New Roman" w:hAnsi="Times New Roman" w:cs="Times New Roman"/>
          <w:lang w:val="es-ES"/>
        </w:rPr>
        <w:t xml:space="preserve">disponibilidad de recursos </w:t>
      </w:r>
      <w:r w:rsidR="00723458" w:rsidRPr="001F3B91">
        <w:rPr>
          <w:rFonts w:ascii="Times New Roman" w:hAnsi="Times New Roman" w:cs="Times New Roman"/>
          <w:lang w:val="es-ES"/>
        </w:rPr>
        <w:t>económicos</w:t>
      </w:r>
      <w:r w:rsidR="00A11B30">
        <w:rPr>
          <w:rFonts w:ascii="Times New Roman" w:hAnsi="Times New Roman" w:cs="Times New Roman"/>
          <w:lang w:val="es-ES"/>
        </w:rPr>
        <w:t xml:space="preserve"> y</w:t>
      </w:r>
      <w:r w:rsidR="00723458" w:rsidRPr="001F3B91">
        <w:rPr>
          <w:rFonts w:ascii="Times New Roman" w:hAnsi="Times New Roman" w:cs="Times New Roman"/>
          <w:lang w:val="es-ES"/>
        </w:rPr>
        <w:t xml:space="preserve"> </w:t>
      </w:r>
      <w:r w:rsidRPr="001F3B91">
        <w:rPr>
          <w:rFonts w:ascii="Times New Roman" w:hAnsi="Times New Roman" w:cs="Times New Roman"/>
          <w:lang w:val="es-ES"/>
        </w:rPr>
        <w:t>tecnológicos y la inconsistencia de</w:t>
      </w:r>
      <w:r w:rsidR="00FC0E2F">
        <w:rPr>
          <w:rFonts w:ascii="Times New Roman" w:hAnsi="Times New Roman" w:cs="Times New Roman"/>
          <w:lang w:val="es-ES"/>
        </w:rPr>
        <w:t>l servicio de internet</w:t>
      </w:r>
      <w:r w:rsidR="00B56D5D">
        <w:rPr>
          <w:rFonts w:ascii="Times New Roman" w:hAnsi="Times New Roman" w:cs="Times New Roman"/>
          <w:lang w:val="es-ES"/>
        </w:rPr>
        <w:t>,</w:t>
      </w:r>
      <w:r w:rsidRPr="00DC6E80">
        <w:rPr>
          <w:rFonts w:ascii="Times New Roman" w:hAnsi="Times New Roman" w:cs="Times New Roman"/>
          <w:lang w:val="es-ES"/>
        </w:rPr>
        <w:t xml:space="preserve"> factores que incid</w:t>
      </w:r>
      <w:r w:rsidR="008B6DEF">
        <w:rPr>
          <w:rFonts w:ascii="Times New Roman" w:hAnsi="Times New Roman" w:cs="Times New Roman"/>
          <w:lang w:val="es-ES"/>
        </w:rPr>
        <w:t xml:space="preserve">ieron </w:t>
      </w:r>
      <w:r w:rsidRPr="00DC6E80">
        <w:rPr>
          <w:rFonts w:ascii="Times New Roman" w:hAnsi="Times New Roman" w:cs="Times New Roman"/>
          <w:lang w:val="es-ES"/>
        </w:rPr>
        <w:t xml:space="preserve">en </w:t>
      </w:r>
      <w:r w:rsidR="00B56D5D">
        <w:rPr>
          <w:rFonts w:ascii="Times New Roman" w:hAnsi="Times New Roman" w:cs="Times New Roman"/>
          <w:lang w:val="es-ES"/>
        </w:rPr>
        <w:t>el aprendizaje de</w:t>
      </w:r>
      <w:r w:rsidRPr="00DC6E80">
        <w:rPr>
          <w:rFonts w:ascii="Times New Roman" w:hAnsi="Times New Roman" w:cs="Times New Roman"/>
          <w:lang w:val="es-ES"/>
        </w:rPr>
        <w:t xml:space="preserve"> los estudiantes </w:t>
      </w:r>
      <w:r w:rsidR="00906A2F" w:rsidRPr="00DC6E80">
        <w:rPr>
          <w:rFonts w:ascii="Times New Roman" w:hAnsi="Times New Roman" w:cs="Times New Roman"/>
          <w:lang w:val="es-ES"/>
        </w:rPr>
        <w:t>(</w:t>
      </w:r>
      <w:r w:rsidR="00B029E8" w:rsidRPr="00DC6E80">
        <w:rPr>
          <w:rFonts w:ascii="Times New Roman" w:hAnsi="Times New Roman" w:cs="Times New Roman"/>
          <w:lang w:val="es-ES"/>
        </w:rPr>
        <w:t>Cárdenas</w:t>
      </w:r>
      <w:r w:rsidR="00B029E8">
        <w:rPr>
          <w:rFonts w:ascii="Times New Roman" w:hAnsi="Times New Roman" w:cs="Times New Roman"/>
          <w:lang w:val="es-ES"/>
        </w:rPr>
        <w:t xml:space="preserve">, </w:t>
      </w:r>
      <w:r w:rsidR="00B029E8" w:rsidRPr="00DC6E80">
        <w:rPr>
          <w:rFonts w:ascii="Times New Roman" w:hAnsi="Times New Roman" w:cs="Times New Roman"/>
        </w:rPr>
        <w:t>Carranza, Plua, Solís</w:t>
      </w:r>
      <w:r w:rsidR="00B029E8">
        <w:rPr>
          <w:rFonts w:ascii="Times New Roman" w:hAnsi="Times New Roman" w:cs="Times New Roman"/>
        </w:rPr>
        <w:t xml:space="preserve"> y</w:t>
      </w:r>
      <w:r w:rsidR="00B029E8" w:rsidRPr="00DC6E80">
        <w:rPr>
          <w:rFonts w:ascii="Times New Roman" w:hAnsi="Times New Roman" w:cs="Times New Roman"/>
        </w:rPr>
        <w:t xml:space="preserve"> Morales</w:t>
      </w:r>
      <w:r w:rsidR="00B029E8">
        <w:rPr>
          <w:rFonts w:ascii="Times New Roman" w:hAnsi="Times New Roman" w:cs="Times New Roman"/>
        </w:rPr>
        <w:t>,</w:t>
      </w:r>
      <w:r w:rsidR="00B029E8" w:rsidRPr="00DC6E80">
        <w:rPr>
          <w:rFonts w:ascii="Times New Roman" w:hAnsi="Times New Roman" w:cs="Times New Roman"/>
          <w:lang w:val="es-ES"/>
        </w:rPr>
        <w:t xml:space="preserve"> 2021</w:t>
      </w:r>
      <w:r w:rsidR="00B029E8">
        <w:rPr>
          <w:rFonts w:ascii="Times New Roman" w:hAnsi="Times New Roman" w:cs="Times New Roman"/>
          <w:lang w:val="es-ES"/>
        </w:rPr>
        <w:t xml:space="preserve">; </w:t>
      </w:r>
      <w:r w:rsidR="00906A2F" w:rsidRPr="00DC6E80">
        <w:rPr>
          <w:rFonts w:ascii="Times New Roman" w:hAnsi="Times New Roman" w:cs="Times New Roman"/>
          <w:lang w:val="es-ES"/>
        </w:rPr>
        <w:t>Jordan,</w:t>
      </w:r>
      <w:r w:rsidR="00B029E8">
        <w:rPr>
          <w:rFonts w:ascii="Times New Roman" w:hAnsi="Times New Roman" w:cs="Times New Roman"/>
          <w:lang w:val="es-ES"/>
        </w:rPr>
        <w:t xml:space="preserve"> </w:t>
      </w:r>
      <w:r w:rsidR="00B029E8" w:rsidRPr="00421EB7">
        <w:rPr>
          <w:rFonts w:ascii="Times New Roman" w:hAnsi="Times New Roman" w:cs="Times New Roman"/>
          <w:lang w:val="es-MX"/>
        </w:rPr>
        <w:t>David, Phillips</w:t>
      </w:r>
      <w:r w:rsidR="00B029E8">
        <w:rPr>
          <w:rFonts w:ascii="Times New Roman" w:hAnsi="Times New Roman" w:cs="Times New Roman"/>
          <w:lang w:val="es-MX"/>
        </w:rPr>
        <w:t xml:space="preserve"> y</w:t>
      </w:r>
      <w:r w:rsidR="00B029E8" w:rsidRPr="00421EB7">
        <w:rPr>
          <w:rFonts w:ascii="Times New Roman" w:hAnsi="Times New Roman" w:cs="Times New Roman"/>
          <w:lang w:val="es-MX"/>
        </w:rPr>
        <w:t xml:space="preserve"> Pellini</w:t>
      </w:r>
      <w:r w:rsidR="00B029E8">
        <w:rPr>
          <w:rFonts w:ascii="Times New Roman" w:hAnsi="Times New Roman" w:cs="Times New Roman"/>
          <w:lang w:val="es-MX"/>
        </w:rPr>
        <w:t>,</w:t>
      </w:r>
      <w:r w:rsidR="00906A2F" w:rsidRPr="00DC6E80">
        <w:rPr>
          <w:rFonts w:ascii="Times New Roman" w:hAnsi="Times New Roman" w:cs="Times New Roman"/>
          <w:lang w:val="es-ES"/>
        </w:rPr>
        <w:t xml:space="preserve"> 2021</w:t>
      </w:r>
      <w:r w:rsidR="00A11B30">
        <w:rPr>
          <w:rFonts w:ascii="Times New Roman" w:hAnsi="Times New Roman" w:cs="Times New Roman"/>
          <w:lang w:val="es-ES"/>
        </w:rPr>
        <w:t xml:space="preserve">; </w:t>
      </w:r>
      <w:r w:rsidR="00A11B30" w:rsidRPr="00DC6E80">
        <w:rPr>
          <w:rFonts w:ascii="Times New Roman" w:hAnsi="Times New Roman" w:cs="Times New Roman"/>
          <w:lang w:val="es-ES"/>
        </w:rPr>
        <w:t>Pérez,</w:t>
      </w:r>
      <w:r w:rsidR="00A11B30">
        <w:rPr>
          <w:rFonts w:ascii="Times New Roman" w:hAnsi="Times New Roman" w:cs="Times New Roman"/>
          <w:lang w:val="es-ES"/>
        </w:rPr>
        <w:t xml:space="preserve"> </w:t>
      </w:r>
      <w:r w:rsidR="00A11B30" w:rsidRPr="009A217D">
        <w:rPr>
          <w:rFonts w:ascii="Times New Roman" w:hAnsi="Times New Roman" w:cs="Times New Roman"/>
        </w:rPr>
        <w:t>Vázquez</w:t>
      </w:r>
      <w:r w:rsidR="00A11B30">
        <w:rPr>
          <w:rFonts w:ascii="Times New Roman" w:hAnsi="Times New Roman" w:cs="Times New Roman"/>
        </w:rPr>
        <w:t xml:space="preserve"> y </w:t>
      </w:r>
      <w:r w:rsidR="00A11B30" w:rsidRPr="009A217D">
        <w:rPr>
          <w:rFonts w:ascii="Times New Roman" w:hAnsi="Times New Roman" w:cs="Times New Roman"/>
        </w:rPr>
        <w:t>Cambero</w:t>
      </w:r>
      <w:r w:rsidR="00A11B30">
        <w:rPr>
          <w:rFonts w:ascii="Times New Roman" w:hAnsi="Times New Roman" w:cs="Times New Roman"/>
        </w:rPr>
        <w:t>,</w:t>
      </w:r>
      <w:r w:rsidR="00A11B30" w:rsidRPr="00DC6E80">
        <w:rPr>
          <w:rFonts w:ascii="Times New Roman" w:hAnsi="Times New Roman" w:cs="Times New Roman"/>
          <w:lang w:val="es-ES"/>
        </w:rPr>
        <w:t xml:space="preserve"> 2020</w:t>
      </w:r>
      <w:r w:rsidR="00906A2F" w:rsidRPr="00DC6E80">
        <w:rPr>
          <w:rFonts w:ascii="Times New Roman" w:hAnsi="Times New Roman" w:cs="Times New Roman"/>
          <w:lang w:val="es-ES"/>
        </w:rPr>
        <w:t>)</w:t>
      </w:r>
      <w:r w:rsidRPr="00DC6E80">
        <w:rPr>
          <w:rFonts w:ascii="Times New Roman" w:hAnsi="Times New Roman" w:cs="Times New Roman"/>
          <w:lang w:val="es-ES"/>
        </w:rPr>
        <w:t xml:space="preserve">. </w:t>
      </w:r>
    </w:p>
    <w:p w14:paraId="11C1F2DB" w14:textId="7D01EA1E" w:rsidR="00E118E4" w:rsidRDefault="00FC0E2F" w:rsidP="00FF6D96">
      <w:pPr>
        <w:spacing w:line="360" w:lineRule="auto"/>
        <w:ind w:firstLine="568"/>
        <w:jc w:val="both"/>
        <w:rPr>
          <w:rFonts w:ascii="Times New Roman" w:hAnsi="Times New Roman" w:cs="Times New Roman"/>
        </w:rPr>
      </w:pPr>
      <w:r>
        <w:rPr>
          <w:rFonts w:ascii="Times New Roman" w:hAnsi="Times New Roman" w:cs="Times New Roman"/>
          <w:lang w:val="es-ES"/>
        </w:rPr>
        <w:t>En el caso de Latinoamérica,</w:t>
      </w:r>
      <w:r w:rsidR="00F44066" w:rsidRPr="00D73D91">
        <w:rPr>
          <w:rFonts w:ascii="Times New Roman" w:hAnsi="Times New Roman" w:cs="Times New Roman"/>
        </w:rPr>
        <w:t xml:space="preserve"> 30</w:t>
      </w:r>
      <w:r w:rsidR="002715AA">
        <w:rPr>
          <w:rFonts w:ascii="Times New Roman" w:hAnsi="Times New Roman" w:cs="Times New Roman"/>
        </w:rPr>
        <w:t>.0</w:t>
      </w:r>
      <w:r>
        <w:rPr>
          <w:rFonts w:ascii="Times New Roman" w:hAnsi="Times New Roman" w:cs="Times New Roman"/>
        </w:rPr>
        <w:t> </w:t>
      </w:r>
      <w:r w:rsidR="00F44066" w:rsidRPr="00D73D91">
        <w:rPr>
          <w:rFonts w:ascii="Times New Roman" w:hAnsi="Times New Roman" w:cs="Times New Roman"/>
        </w:rPr>
        <w:t xml:space="preserve">% de los estudiantes son integrantes de familias que presentan desventajas socioeconómicas, </w:t>
      </w:r>
      <w:r w:rsidR="004014F2" w:rsidRPr="00D73D91">
        <w:rPr>
          <w:rFonts w:ascii="Times New Roman" w:hAnsi="Times New Roman" w:cs="Times New Roman"/>
        </w:rPr>
        <w:t xml:space="preserve">lo cual afecta su desempeño </w:t>
      </w:r>
      <w:r w:rsidR="00F44066" w:rsidRPr="00D73D91">
        <w:rPr>
          <w:rFonts w:ascii="Times New Roman" w:hAnsi="Times New Roman" w:cs="Times New Roman"/>
        </w:rPr>
        <w:t>académico (</w:t>
      </w:r>
      <w:r w:rsidR="00C52CFF" w:rsidRPr="00C52CFF">
        <w:rPr>
          <w:rFonts w:ascii="Times New Roman" w:hAnsi="Times New Roman" w:cs="Times New Roman"/>
          <w:noProof/>
          <w:lang w:val="es-ES"/>
        </w:rPr>
        <w:t xml:space="preserve">Comisión Económica para América Latina y el Caribe </w:t>
      </w:r>
      <w:r w:rsidR="00C52CFF">
        <w:rPr>
          <w:rFonts w:ascii="Times New Roman" w:hAnsi="Times New Roman" w:cs="Times New Roman"/>
          <w:noProof/>
          <w:lang w:val="es-ES"/>
        </w:rPr>
        <w:t>[</w:t>
      </w:r>
      <w:r w:rsidR="00C52CFF" w:rsidRPr="00DC6E80">
        <w:rPr>
          <w:rFonts w:ascii="Times New Roman" w:hAnsi="Times New Roman" w:cs="Times New Roman"/>
          <w:noProof/>
          <w:lang w:val="es-ES"/>
        </w:rPr>
        <w:t>Cepal</w:t>
      </w:r>
      <w:r w:rsidR="00C52CFF">
        <w:rPr>
          <w:rFonts w:ascii="Times New Roman" w:hAnsi="Times New Roman" w:cs="Times New Roman"/>
          <w:noProof/>
          <w:lang w:val="es-ES"/>
        </w:rPr>
        <w:t>]</w:t>
      </w:r>
      <w:r w:rsidR="00F44066" w:rsidRPr="00D73D91">
        <w:rPr>
          <w:rFonts w:ascii="Times New Roman" w:hAnsi="Times New Roman" w:cs="Times New Roman"/>
        </w:rPr>
        <w:t>, 20</w:t>
      </w:r>
      <w:r w:rsidR="00D313F2" w:rsidRPr="00D73D91">
        <w:rPr>
          <w:rFonts w:ascii="Times New Roman" w:hAnsi="Times New Roman" w:cs="Times New Roman"/>
        </w:rPr>
        <w:t>21</w:t>
      </w:r>
      <w:r w:rsidR="00F44066" w:rsidRPr="00D73D91">
        <w:rPr>
          <w:rFonts w:ascii="Times New Roman" w:hAnsi="Times New Roman" w:cs="Times New Roman"/>
        </w:rPr>
        <w:t xml:space="preserve">). </w:t>
      </w:r>
      <w:r w:rsidR="00A11B30">
        <w:rPr>
          <w:rFonts w:ascii="Times New Roman" w:hAnsi="Times New Roman" w:cs="Times New Roman"/>
        </w:rPr>
        <w:t>En esa línea</w:t>
      </w:r>
      <w:r w:rsidR="00271994">
        <w:rPr>
          <w:rFonts w:ascii="Times New Roman" w:hAnsi="Times New Roman" w:cs="Times New Roman"/>
        </w:rPr>
        <w:t>,</w:t>
      </w:r>
      <w:r w:rsidR="00B56D5D">
        <w:rPr>
          <w:rFonts w:ascii="Times New Roman" w:hAnsi="Times New Roman" w:cs="Times New Roman"/>
        </w:rPr>
        <w:t xml:space="preserve"> Ullmann (2015) establece que </w:t>
      </w:r>
      <w:r w:rsidR="00E118E4" w:rsidRPr="00DC6E80">
        <w:rPr>
          <w:rFonts w:ascii="Times New Roman" w:hAnsi="Times New Roman" w:cs="Times New Roman"/>
        </w:rPr>
        <w:t>el aspecto socioeconómico, la calidad de</w:t>
      </w:r>
      <w:r w:rsidR="00B56D5D">
        <w:rPr>
          <w:rFonts w:ascii="Times New Roman" w:hAnsi="Times New Roman" w:cs="Times New Roman"/>
        </w:rPr>
        <w:t xml:space="preserve"> </w:t>
      </w:r>
      <w:r w:rsidR="00AC6675">
        <w:rPr>
          <w:rFonts w:ascii="Times New Roman" w:hAnsi="Times New Roman" w:cs="Times New Roman"/>
        </w:rPr>
        <w:t>l</w:t>
      </w:r>
      <w:r w:rsidR="00B56D5D">
        <w:rPr>
          <w:rFonts w:ascii="Times New Roman" w:hAnsi="Times New Roman" w:cs="Times New Roman"/>
        </w:rPr>
        <w:t>a enseñanza y el</w:t>
      </w:r>
      <w:r w:rsidR="00AC6675">
        <w:rPr>
          <w:rFonts w:ascii="Times New Roman" w:hAnsi="Times New Roman" w:cs="Times New Roman"/>
        </w:rPr>
        <w:t xml:space="preserve"> perfil </w:t>
      </w:r>
      <w:r w:rsidR="00B56D5D">
        <w:rPr>
          <w:rFonts w:ascii="Times New Roman" w:hAnsi="Times New Roman" w:cs="Times New Roman"/>
        </w:rPr>
        <w:t>de</w:t>
      </w:r>
      <w:r w:rsidR="00E118E4" w:rsidRPr="00DC6E80">
        <w:rPr>
          <w:rFonts w:ascii="Times New Roman" w:hAnsi="Times New Roman" w:cs="Times New Roman"/>
        </w:rPr>
        <w:t xml:space="preserve"> los profesores, entre otros</w:t>
      </w:r>
      <w:r w:rsidR="0007502C">
        <w:rPr>
          <w:rFonts w:ascii="Times New Roman" w:hAnsi="Times New Roman" w:cs="Times New Roman"/>
        </w:rPr>
        <w:t xml:space="preserve">, </w:t>
      </w:r>
      <w:r w:rsidR="00CE35AA">
        <w:rPr>
          <w:rFonts w:ascii="Times New Roman" w:hAnsi="Times New Roman" w:cs="Times New Roman"/>
        </w:rPr>
        <w:t xml:space="preserve">influyen </w:t>
      </w:r>
      <w:r w:rsidR="0007502C" w:rsidRPr="00DC6E80">
        <w:rPr>
          <w:rFonts w:ascii="Times New Roman" w:hAnsi="Times New Roman" w:cs="Times New Roman"/>
        </w:rPr>
        <w:t xml:space="preserve">en la educación </w:t>
      </w:r>
      <w:r w:rsidR="0007502C">
        <w:rPr>
          <w:rFonts w:ascii="Times New Roman" w:hAnsi="Times New Roman" w:cs="Times New Roman"/>
        </w:rPr>
        <w:t>en Latinoamérica</w:t>
      </w:r>
      <w:r w:rsidR="00E118E4" w:rsidRPr="00DC6E80">
        <w:rPr>
          <w:rFonts w:ascii="Times New Roman" w:hAnsi="Times New Roman" w:cs="Times New Roman"/>
        </w:rPr>
        <w:t xml:space="preserve">. </w:t>
      </w:r>
      <w:r w:rsidR="003471DB" w:rsidRPr="00DC6E80">
        <w:rPr>
          <w:rFonts w:ascii="Times New Roman" w:hAnsi="Times New Roman" w:cs="Times New Roman"/>
        </w:rPr>
        <w:t>El desarrollo educativo en el nivel superior toma parte de procesos complejos</w:t>
      </w:r>
      <w:r w:rsidR="002645F7">
        <w:rPr>
          <w:rFonts w:ascii="Times New Roman" w:hAnsi="Times New Roman" w:cs="Times New Roman"/>
        </w:rPr>
        <w:t>,</w:t>
      </w:r>
      <w:r w:rsidR="003471DB" w:rsidRPr="00DC6E80">
        <w:rPr>
          <w:rFonts w:ascii="Times New Roman" w:hAnsi="Times New Roman" w:cs="Times New Roman"/>
        </w:rPr>
        <w:t xml:space="preserve"> los cuales constituyen el éxito o fracaso en la perspectiva del estudiante. </w:t>
      </w:r>
      <w:r w:rsidR="00992993">
        <w:rPr>
          <w:rFonts w:ascii="Times New Roman" w:hAnsi="Times New Roman" w:cs="Times New Roman"/>
        </w:rPr>
        <w:t>L</w:t>
      </w:r>
      <w:r w:rsidR="00B56D5D">
        <w:rPr>
          <w:rFonts w:ascii="Times New Roman" w:hAnsi="Times New Roman" w:cs="Times New Roman"/>
        </w:rPr>
        <w:t>a</w:t>
      </w:r>
      <w:r w:rsidR="003471DB" w:rsidRPr="00DC6E80">
        <w:rPr>
          <w:rFonts w:ascii="Times New Roman" w:hAnsi="Times New Roman" w:cs="Times New Roman"/>
        </w:rPr>
        <w:t xml:space="preserve"> </w:t>
      </w:r>
      <w:r w:rsidR="00C52CFF" w:rsidRPr="00DC6E80">
        <w:rPr>
          <w:rFonts w:ascii="Times New Roman" w:hAnsi="Times New Roman" w:cs="Times New Roman"/>
          <w:noProof/>
        </w:rPr>
        <w:t xml:space="preserve">Cepal </w:t>
      </w:r>
      <w:r w:rsidR="00B56D5D">
        <w:rPr>
          <w:rFonts w:ascii="Times New Roman" w:hAnsi="Times New Roman" w:cs="Times New Roman"/>
          <w:noProof/>
        </w:rPr>
        <w:t>(</w:t>
      </w:r>
      <w:r w:rsidR="003471DB" w:rsidRPr="00DC6E80">
        <w:rPr>
          <w:rFonts w:ascii="Times New Roman" w:hAnsi="Times New Roman" w:cs="Times New Roman"/>
          <w:noProof/>
        </w:rPr>
        <w:t>2021)</w:t>
      </w:r>
      <w:r w:rsidR="003471DB" w:rsidRPr="00DC6E80">
        <w:rPr>
          <w:rFonts w:ascii="Times New Roman" w:hAnsi="Times New Roman" w:cs="Times New Roman"/>
        </w:rPr>
        <w:t xml:space="preserve"> comunic</w:t>
      </w:r>
      <w:r w:rsidR="008C7F9F">
        <w:rPr>
          <w:rFonts w:ascii="Times New Roman" w:hAnsi="Times New Roman" w:cs="Times New Roman"/>
        </w:rPr>
        <w:t>ó</w:t>
      </w:r>
      <w:r w:rsidR="003471DB" w:rsidRPr="00DC6E80">
        <w:rPr>
          <w:rFonts w:ascii="Times New Roman" w:hAnsi="Times New Roman" w:cs="Times New Roman"/>
        </w:rPr>
        <w:t xml:space="preserve"> que la deserción educativa </w:t>
      </w:r>
      <w:r w:rsidR="002645F7">
        <w:rPr>
          <w:rFonts w:ascii="Times New Roman" w:hAnsi="Times New Roman" w:cs="Times New Roman"/>
        </w:rPr>
        <w:t xml:space="preserve">en los últimos años </w:t>
      </w:r>
      <w:r w:rsidR="008C7F9F">
        <w:rPr>
          <w:rFonts w:ascii="Times New Roman" w:hAnsi="Times New Roman" w:cs="Times New Roman"/>
        </w:rPr>
        <w:t>fue</w:t>
      </w:r>
      <w:r w:rsidR="003471DB" w:rsidRPr="00DC6E80">
        <w:rPr>
          <w:rFonts w:ascii="Times New Roman" w:hAnsi="Times New Roman" w:cs="Times New Roman"/>
        </w:rPr>
        <w:t xml:space="preserve"> reflej</w:t>
      </w:r>
      <w:r w:rsidR="008C7F9F">
        <w:rPr>
          <w:rFonts w:ascii="Times New Roman" w:hAnsi="Times New Roman" w:cs="Times New Roman"/>
        </w:rPr>
        <w:t>o</w:t>
      </w:r>
      <w:r w:rsidR="003471DB" w:rsidRPr="00DC6E80">
        <w:rPr>
          <w:rFonts w:ascii="Times New Roman" w:hAnsi="Times New Roman" w:cs="Times New Roman"/>
        </w:rPr>
        <w:t xml:space="preserve"> </w:t>
      </w:r>
      <w:r w:rsidR="008C7F9F">
        <w:rPr>
          <w:rFonts w:ascii="Times New Roman" w:hAnsi="Times New Roman" w:cs="Times New Roman"/>
        </w:rPr>
        <w:t>de</w:t>
      </w:r>
      <w:r w:rsidR="003471DB" w:rsidRPr="00DC6E80">
        <w:rPr>
          <w:rFonts w:ascii="Times New Roman" w:hAnsi="Times New Roman" w:cs="Times New Roman"/>
        </w:rPr>
        <w:t xml:space="preserve"> la transición de la enseñanza presencial a la virtual, reto que enfrentaron y siguen enfrentando instituciones y estudiantes como </w:t>
      </w:r>
      <w:r w:rsidR="008C7F9F" w:rsidRPr="00DC6E80">
        <w:rPr>
          <w:rFonts w:ascii="Times New Roman" w:hAnsi="Times New Roman" w:cs="Times New Roman"/>
        </w:rPr>
        <w:t>efecto</w:t>
      </w:r>
      <w:r w:rsidR="003471DB" w:rsidRPr="00DC6E80">
        <w:rPr>
          <w:rFonts w:ascii="Times New Roman" w:hAnsi="Times New Roman" w:cs="Times New Roman"/>
        </w:rPr>
        <w:t xml:space="preserve"> de la pandemia de la </w:t>
      </w:r>
      <w:r w:rsidR="00992993">
        <w:rPr>
          <w:rFonts w:ascii="Times New Roman" w:hAnsi="Times New Roman" w:cs="Times New Roman"/>
        </w:rPr>
        <w:t>enfermedad por coronavirus de 2019 (c</w:t>
      </w:r>
      <w:r w:rsidR="003471DB" w:rsidRPr="00DC6E80">
        <w:rPr>
          <w:rFonts w:ascii="Times New Roman" w:hAnsi="Times New Roman" w:cs="Times New Roman"/>
        </w:rPr>
        <w:t>ovid-19</w:t>
      </w:r>
      <w:r w:rsidR="00992993">
        <w:rPr>
          <w:rFonts w:ascii="Times New Roman" w:hAnsi="Times New Roman" w:cs="Times New Roman"/>
        </w:rPr>
        <w:t>)</w:t>
      </w:r>
      <w:r w:rsidR="00C91AE1">
        <w:rPr>
          <w:rFonts w:ascii="Times New Roman" w:hAnsi="Times New Roman" w:cs="Times New Roman"/>
        </w:rPr>
        <w:t>, situación</w:t>
      </w:r>
      <w:r w:rsidR="003471DB" w:rsidRPr="00DC6E80">
        <w:rPr>
          <w:rFonts w:ascii="Times New Roman" w:hAnsi="Times New Roman" w:cs="Times New Roman"/>
        </w:rPr>
        <w:t xml:space="preserve"> que requirió </w:t>
      </w:r>
      <w:r w:rsidR="008C7F9F">
        <w:rPr>
          <w:rFonts w:ascii="Times New Roman" w:hAnsi="Times New Roman" w:cs="Times New Roman"/>
        </w:rPr>
        <w:t>la disminución de la movilidad</w:t>
      </w:r>
      <w:r w:rsidR="0001271E">
        <w:rPr>
          <w:rFonts w:ascii="Times New Roman" w:hAnsi="Times New Roman" w:cs="Times New Roman"/>
        </w:rPr>
        <w:t xml:space="preserve"> y </w:t>
      </w:r>
      <w:r w:rsidR="008C7F9F">
        <w:rPr>
          <w:rFonts w:ascii="Times New Roman" w:hAnsi="Times New Roman" w:cs="Times New Roman"/>
        </w:rPr>
        <w:t xml:space="preserve">de la mejora en </w:t>
      </w:r>
      <w:r w:rsidR="003471DB" w:rsidRPr="00DC6E80">
        <w:rPr>
          <w:rFonts w:ascii="Times New Roman" w:hAnsi="Times New Roman" w:cs="Times New Roman"/>
        </w:rPr>
        <w:t>higiene y sanidad de la población para evitar y aminorar los contagios (p. 22).</w:t>
      </w:r>
      <w:r w:rsidR="00296412">
        <w:rPr>
          <w:rFonts w:ascii="Times New Roman" w:hAnsi="Times New Roman" w:cs="Times New Roman"/>
        </w:rPr>
        <w:t xml:space="preserve"> </w:t>
      </w:r>
      <w:r w:rsidR="000A1C28">
        <w:rPr>
          <w:rFonts w:ascii="Times New Roman" w:hAnsi="Times New Roman" w:cs="Times New Roman"/>
        </w:rPr>
        <w:t>En efecto, la</w:t>
      </w:r>
      <w:r w:rsidR="003471DB" w:rsidRPr="00DC6E80">
        <w:rPr>
          <w:rFonts w:ascii="Times New Roman" w:hAnsi="Times New Roman" w:cs="Times New Roman"/>
        </w:rPr>
        <w:t xml:space="preserve"> pandemia fue el factor que detonó </w:t>
      </w:r>
      <w:r w:rsidR="00A91DAC">
        <w:rPr>
          <w:rFonts w:ascii="Times New Roman" w:hAnsi="Times New Roman" w:cs="Times New Roman"/>
        </w:rPr>
        <w:t>la</w:t>
      </w:r>
      <w:r w:rsidR="003471DB" w:rsidRPr="00DC6E80">
        <w:rPr>
          <w:rFonts w:ascii="Times New Roman" w:hAnsi="Times New Roman" w:cs="Times New Roman"/>
        </w:rPr>
        <w:t xml:space="preserve"> adaptación e innovación de los sistemas de enseñanza y aprendizaje</w:t>
      </w:r>
      <w:r w:rsidR="00A91DAC">
        <w:rPr>
          <w:rFonts w:ascii="Times New Roman" w:hAnsi="Times New Roman" w:cs="Times New Roman"/>
        </w:rPr>
        <w:t xml:space="preserve">. </w:t>
      </w:r>
      <w:r w:rsidR="0001271E">
        <w:rPr>
          <w:rFonts w:ascii="Times New Roman" w:hAnsi="Times New Roman" w:cs="Times New Roman"/>
        </w:rPr>
        <w:t xml:space="preserve">Y en este proceso </w:t>
      </w:r>
      <w:r w:rsidR="00A91DAC">
        <w:rPr>
          <w:rFonts w:ascii="Times New Roman" w:hAnsi="Times New Roman" w:cs="Times New Roman"/>
        </w:rPr>
        <w:t>qued</w:t>
      </w:r>
      <w:r w:rsidR="00E20C8C">
        <w:rPr>
          <w:rFonts w:ascii="Times New Roman" w:hAnsi="Times New Roman" w:cs="Times New Roman"/>
        </w:rPr>
        <w:t>aron</w:t>
      </w:r>
      <w:r w:rsidR="00A91DAC">
        <w:rPr>
          <w:rFonts w:ascii="Times New Roman" w:hAnsi="Times New Roman" w:cs="Times New Roman"/>
        </w:rPr>
        <w:t xml:space="preserve"> ausente</w:t>
      </w:r>
      <w:r w:rsidR="00E20C8C">
        <w:rPr>
          <w:rFonts w:ascii="Times New Roman" w:hAnsi="Times New Roman" w:cs="Times New Roman"/>
        </w:rPr>
        <w:t>s</w:t>
      </w:r>
      <w:r w:rsidR="00A91DAC">
        <w:rPr>
          <w:rFonts w:ascii="Times New Roman" w:hAnsi="Times New Roman" w:cs="Times New Roman"/>
        </w:rPr>
        <w:t xml:space="preserve"> </w:t>
      </w:r>
      <w:r w:rsidR="00E20C8C">
        <w:rPr>
          <w:rFonts w:ascii="Times New Roman" w:hAnsi="Times New Roman" w:cs="Times New Roman"/>
        </w:rPr>
        <w:t xml:space="preserve">las formas y los mecanismos </w:t>
      </w:r>
      <w:r w:rsidR="007E004E">
        <w:rPr>
          <w:rFonts w:ascii="Times New Roman" w:hAnsi="Times New Roman" w:cs="Times New Roman"/>
        </w:rPr>
        <w:t>para el</w:t>
      </w:r>
      <w:r w:rsidR="00CA11D7">
        <w:rPr>
          <w:rFonts w:ascii="Times New Roman" w:hAnsi="Times New Roman" w:cs="Times New Roman"/>
        </w:rPr>
        <w:t xml:space="preserve"> fomento de las vocaciones científicas </w:t>
      </w:r>
      <w:r w:rsidR="00A54E0F">
        <w:rPr>
          <w:rFonts w:ascii="Times New Roman" w:hAnsi="Times New Roman" w:cs="Times New Roman"/>
        </w:rPr>
        <w:t>en los jóvenes</w:t>
      </w:r>
      <w:r w:rsidR="00E20C8C">
        <w:rPr>
          <w:rFonts w:ascii="Times New Roman" w:hAnsi="Times New Roman" w:cs="Times New Roman"/>
        </w:rPr>
        <w:t xml:space="preserve"> </w:t>
      </w:r>
      <w:r w:rsidR="009A45B4">
        <w:rPr>
          <w:rFonts w:ascii="Times New Roman" w:hAnsi="Times New Roman" w:cs="Times New Roman"/>
        </w:rPr>
        <w:t xml:space="preserve">y </w:t>
      </w:r>
      <w:r w:rsidR="00E20C8C">
        <w:rPr>
          <w:rFonts w:ascii="Times New Roman" w:hAnsi="Times New Roman" w:cs="Times New Roman"/>
        </w:rPr>
        <w:t xml:space="preserve">la consolidación de las competencias </w:t>
      </w:r>
      <w:r w:rsidR="00A54E0F">
        <w:rPr>
          <w:rFonts w:ascii="Times New Roman" w:hAnsi="Times New Roman" w:cs="Times New Roman"/>
        </w:rPr>
        <w:t>científicas, tecnológicas y de</w:t>
      </w:r>
      <w:r w:rsidR="00E20C8C">
        <w:rPr>
          <w:rFonts w:ascii="Times New Roman" w:hAnsi="Times New Roman" w:cs="Times New Roman"/>
        </w:rPr>
        <w:t xml:space="preserve"> investigación.</w:t>
      </w:r>
      <w:r w:rsidR="003471DB" w:rsidRPr="00DC6E80">
        <w:rPr>
          <w:rFonts w:ascii="Times New Roman" w:hAnsi="Times New Roman" w:cs="Times New Roman"/>
        </w:rPr>
        <w:t xml:space="preserve"> </w:t>
      </w:r>
    </w:p>
    <w:p w14:paraId="651B41AF" w14:textId="1F65EE4D" w:rsidR="003471DB" w:rsidRPr="00DC6E80" w:rsidRDefault="0001271E" w:rsidP="00FF6D96">
      <w:pPr>
        <w:spacing w:line="360" w:lineRule="auto"/>
        <w:ind w:firstLine="708"/>
        <w:jc w:val="both"/>
        <w:rPr>
          <w:rFonts w:ascii="Times New Roman" w:hAnsi="Times New Roman" w:cs="Times New Roman"/>
        </w:rPr>
      </w:pPr>
      <w:r>
        <w:rPr>
          <w:rFonts w:ascii="Times New Roman" w:hAnsi="Times New Roman" w:cs="Times New Roman"/>
        </w:rPr>
        <w:t>S</w:t>
      </w:r>
      <w:r w:rsidR="003471DB" w:rsidRPr="00DC6E80">
        <w:rPr>
          <w:rFonts w:ascii="Times New Roman" w:hAnsi="Times New Roman" w:cs="Times New Roman"/>
        </w:rPr>
        <w:t xml:space="preserve">egún </w:t>
      </w:r>
      <w:r>
        <w:rPr>
          <w:rFonts w:ascii="Times New Roman" w:hAnsi="Times New Roman" w:cs="Times New Roman"/>
          <w:noProof/>
        </w:rPr>
        <w:t xml:space="preserve">la </w:t>
      </w:r>
      <w:r w:rsidR="00C52CFF" w:rsidRPr="00DC6E80">
        <w:rPr>
          <w:rFonts w:ascii="Times New Roman" w:hAnsi="Times New Roman" w:cs="Times New Roman"/>
          <w:noProof/>
        </w:rPr>
        <w:t>Cepal</w:t>
      </w:r>
      <w:r w:rsidR="003471DB" w:rsidRPr="00DC6E80">
        <w:rPr>
          <w:rFonts w:ascii="Times New Roman" w:hAnsi="Times New Roman" w:cs="Times New Roman"/>
          <w:noProof/>
        </w:rPr>
        <w:t xml:space="preserve"> </w:t>
      </w:r>
      <w:r>
        <w:rPr>
          <w:rFonts w:ascii="Times New Roman" w:hAnsi="Times New Roman" w:cs="Times New Roman"/>
          <w:noProof/>
        </w:rPr>
        <w:t>(</w:t>
      </w:r>
      <w:r w:rsidR="003471DB" w:rsidRPr="00DC6E80">
        <w:rPr>
          <w:rFonts w:ascii="Times New Roman" w:hAnsi="Times New Roman" w:cs="Times New Roman"/>
          <w:noProof/>
        </w:rPr>
        <w:t>2021</w:t>
      </w:r>
      <w:r w:rsidR="001F3B91">
        <w:rPr>
          <w:rFonts w:ascii="Times New Roman" w:hAnsi="Times New Roman" w:cs="Times New Roman"/>
          <w:noProof/>
        </w:rPr>
        <w:t>)</w:t>
      </w:r>
      <w:r>
        <w:rPr>
          <w:rFonts w:ascii="Times New Roman" w:hAnsi="Times New Roman" w:cs="Times New Roman"/>
          <w:noProof/>
        </w:rPr>
        <w:t>,</w:t>
      </w:r>
      <w:r w:rsidR="001F3B91">
        <w:rPr>
          <w:rFonts w:ascii="Times New Roman" w:hAnsi="Times New Roman" w:cs="Times New Roman"/>
          <w:noProof/>
        </w:rPr>
        <w:t xml:space="preserve"> </w:t>
      </w:r>
      <w:r w:rsidR="003471DB" w:rsidRPr="00DC6E80">
        <w:rPr>
          <w:rFonts w:ascii="Times New Roman" w:hAnsi="Times New Roman" w:cs="Times New Roman"/>
        </w:rPr>
        <w:t>la interrupción del ciclo escolar</w:t>
      </w:r>
      <w:r>
        <w:rPr>
          <w:rFonts w:ascii="Times New Roman" w:hAnsi="Times New Roman" w:cs="Times New Roman"/>
        </w:rPr>
        <w:t xml:space="preserve"> a raíz de la pandemia</w:t>
      </w:r>
      <w:r w:rsidR="003471DB" w:rsidRPr="00DC6E80">
        <w:rPr>
          <w:rFonts w:ascii="Times New Roman" w:hAnsi="Times New Roman" w:cs="Times New Roman"/>
        </w:rPr>
        <w:t xml:space="preserve"> “afect</w:t>
      </w:r>
      <w:r w:rsidR="009A45B4">
        <w:rPr>
          <w:rFonts w:ascii="Times New Roman" w:hAnsi="Times New Roman" w:cs="Times New Roman"/>
        </w:rPr>
        <w:t>ó</w:t>
      </w:r>
      <w:r w:rsidR="003471DB" w:rsidRPr="00DC6E80">
        <w:rPr>
          <w:rFonts w:ascii="Times New Roman" w:hAnsi="Times New Roman" w:cs="Times New Roman"/>
        </w:rPr>
        <w:t xml:space="preserve"> principalmente a los estudiantes que se encontraban en situación de desventaja puesto que dicha interrupción no ha hecho más que subrayar las brechas educativas relacionadas </w:t>
      </w:r>
      <w:r w:rsidR="009A45B4">
        <w:rPr>
          <w:rFonts w:ascii="Times New Roman" w:hAnsi="Times New Roman" w:cs="Times New Roman"/>
        </w:rPr>
        <w:t xml:space="preserve">con el </w:t>
      </w:r>
      <w:r w:rsidR="003471DB" w:rsidRPr="00DC6E80">
        <w:rPr>
          <w:rFonts w:ascii="Times New Roman" w:hAnsi="Times New Roman" w:cs="Times New Roman"/>
        </w:rPr>
        <w:t>nivel socioeconómico, zona de residencia o por alguna discapacidad” (p.</w:t>
      </w:r>
      <w:r w:rsidR="00F2768A">
        <w:rPr>
          <w:rFonts w:ascii="Times New Roman" w:hAnsi="Times New Roman" w:cs="Times New Roman"/>
        </w:rPr>
        <w:t xml:space="preserve"> </w:t>
      </w:r>
      <w:r w:rsidR="003471DB" w:rsidRPr="00DC6E80">
        <w:rPr>
          <w:rFonts w:ascii="Times New Roman" w:hAnsi="Times New Roman" w:cs="Times New Roman"/>
        </w:rPr>
        <w:t xml:space="preserve">24). </w:t>
      </w:r>
      <w:r>
        <w:rPr>
          <w:rFonts w:ascii="Times New Roman" w:hAnsi="Times New Roman" w:cs="Times New Roman"/>
        </w:rPr>
        <w:t>L</w:t>
      </w:r>
      <w:r w:rsidR="00F91229">
        <w:rPr>
          <w:rFonts w:ascii="Times New Roman" w:hAnsi="Times New Roman" w:cs="Times New Roman"/>
        </w:rPr>
        <w:t xml:space="preserve">as </w:t>
      </w:r>
      <w:r w:rsidR="003471DB" w:rsidRPr="00DC6E80">
        <w:rPr>
          <w:rFonts w:ascii="Times New Roman" w:hAnsi="Times New Roman" w:cs="Times New Roman"/>
        </w:rPr>
        <w:t xml:space="preserve">clases </w:t>
      </w:r>
      <w:r>
        <w:rPr>
          <w:rFonts w:ascii="Times New Roman" w:hAnsi="Times New Roman" w:cs="Times New Roman"/>
        </w:rPr>
        <w:t>en línea implican</w:t>
      </w:r>
      <w:r w:rsidR="003471DB" w:rsidRPr="00DC6E80">
        <w:rPr>
          <w:rFonts w:ascii="Times New Roman" w:hAnsi="Times New Roman" w:cs="Times New Roman"/>
        </w:rPr>
        <w:t xml:space="preserve"> gastos</w:t>
      </w:r>
      <w:r>
        <w:rPr>
          <w:rFonts w:ascii="Times New Roman" w:hAnsi="Times New Roman" w:cs="Times New Roman"/>
        </w:rPr>
        <w:t>:</w:t>
      </w:r>
      <w:r w:rsidR="003471DB" w:rsidRPr="00DC6E80">
        <w:rPr>
          <w:rFonts w:ascii="Times New Roman" w:hAnsi="Times New Roman" w:cs="Times New Roman"/>
        </w:rPr>
        <w:t xml:space="preserve"> </w:t>
      </w:r>
      <w:r w:rsidR="00F91229">
        <w:rPr>
          <w:rFonts w:ascii="Times New Roman" w:hAnsi="Times New Roman" w:cs="Times New Roman"/>
        </w:rPr>
        <w:t>i</w:t>
      </w:r>
      <w:r w:rsidR="003471DB" w:rsidRPr="00DC6E80">
        <w:rPr>
          <w:rFonts w:ascii="Times New Roman" w:hAnsi="Times New Roman" w:cs="Times New Roman"/>
        </w:rPr>
        <w:t xml:space="preserve">nternet, computadores portátiles y sobre todo un espacio en silencio donde el estudiante pueda concentrarse </w:t>
      </w:r>
      <w:r>
        <w:rPr>
          <w:rFonts w:ascii="Times New Roman" w:hAnsi="Times New Roman" w:cs="Times New Roman"/>
        </w:rPr>
        <w:t xml:space="preserve">durante </w:t>
      </w:r>
      <w:r w:rsidR="00CC49FA">
        <w:rPr>
          <w:rFonts w:ascii="Times New Roman" w:hAnsi="Times New Roman" w:cs="Times New Roman"/>
        </w:rPr>
        <w:t>las sesiones</w:t>
      </w:r>
      <w:r w:rsidR="003471DB" w:rsidRPr="00DC6E80">
        <w:rPr>
          <w:rFonts w:ascii="Times New Roman" w:hAnsi="Times New Roman" w:cs="Times New Roman"/>
        </w:rPr>
        <w:t xml:space="preserve"> sin interrupción. </w:t>
      </w:r>
    </w:p>
    <w:p w14:paraId="61B3B0F0" w14:textId="141B0B62" w:rsidR="003471DB" w:rsidRPr="00DC6E80" w:rsidRDefault="0001271E" w:rsidP="00FF6D96">
      <w:pPr>
        <w:spacing w:line="360" w:lineRule="auto"/>
        <w:ind w:firstLine="708"/>
        <w:jc w:val="both"/>
        <w:rPr>
          <w:rFonts w:ascii="Times New Roman" w:hAnsi="Times New Roman" w:cs="Times New Roman"/>
        </w:rPr>
      </w:pPr>
      <w:r>
        <w:rPr>
          <w:rFonts w:ascii="Times New Roman" w:hAnsi="Times New Roman" w:cs="Times New Roman"/>
        </w:rPr>
        <w:lastRenderedPageBreak/>
        <w:t>Uno de los</w:t>
      </w:r>
      <w:r w:rsidRPr="00DC6E80">
        <w:rPr>
          <w:rFonts w:ascii="Times New Roman" w:hAnsi="Times New Roman" w:cs="Times New Roman"/>
        </w:rPr>
        <w:t xml:space="preserve"> </w:t>
      </w:r>
      <w:r w:rsidR="003471DB" w:rsidRPr="00DC6E80">
        <w:rPr>
          <w:rFonts w:ascii="Times New Roman" w:hAnsi="Times New Roman" w:cs="Times New Roman"/>
        </w:rPr>
        <w:t>problemas</w:t>
      </w:r>
      <w:r w:rsidR="00A57002">
        <w:rPr>
          <w:rFonts w:ascii="Times New Roman" w:hAnsi="Times New Roman" w:cs="Times New Roman"/>
        </w:rPr>
        <w:t xml:space="preserve"> detectados</w:t>
      </w:r>
      <w:r w:rsidR="003471DB" w:rsidRPr="00DC6E80">
        <w:rPr>
          <w:rFonts w:ascii="Times New Roman" w:hAnsi="Times New Roman" w:cs="Times New Roman"/>
        </w:rPr>
        <w:t xml:space="preserve"> del sistema educativo en </w:t>
      </w:r>
      <w:r w:rsidR="00A57002" w:rsidRPr="00DC6E80">
        <w:rPr>
          <w:rFonts w:ascii="Times New Roman" w:hAnsi="Times New Roman" w:cs="Times New Roman"/>
        </w:rPr>
        <w:t>Latinoamérica</w:t>
      </w:r>
      <w:r w:rsidR="003471DB" w:rsidRPr="00DC6E80">
        <w:rPr>
          <w:rFonts w:ascii="Times New Roman" w:hAnsi="Times New Roman" w:cs="Times New Roman"/>
        </w:rPr>
        <w:t xml:space="preserve"> </w:t>
      </w:r>
      <w:r>
        <w:rPr>
          <w:rFonts w:ascii="Times New Roman" w:hAnsi="Times New Roman" w:cs="Times New Roman"/>
        </w:rPr>
        <w:t xml:space="preserve">es </w:t>
      </w:r>
      <w:r w:rsidR="003471DB" w:rsidRPr="00DC6E80">
        <w:rPr>
          <w:rFonts w:ascii="Times New Roman" w:hAnsi="Times New Roman" w:cs="Times New Roman"/>
        </w:rPr>
        <w:t>la escasa innovación en estructuras educativa</w:t>
      </w:r>
      <w:r w:rsidR="00A57002">
        <w:rPr>
          <w:rFonts w:ascii="Times New Roman" w:hAnsi="Times New Roman" w:cs="Times New Roman"/>
        </w:rPr>
        <w:t xml:space="preserve">s, </w:t>
      </w:r>
      <w:r w:rsidR="00151BD3">
        <w:rPr>
          <w:rFonts w:ascii="Times New Roman" w:hAnsi="Times New Roman" w:cs="Times New Roman"/>
        </w:rPr>
        <w:t>todavía</w:t>
      </w:r>
      <w:r>
        <w:rPr>
          <w:rFonts w:ascii="Times New Roman" w:hAnsi="Times New Roman" w:cs="Times New Roman"/>
        </w:rPr>
        <w:t xml:space="preserve"> </w:t>
      </w:r>
      <w:r w:rsidR="00A57002">
        <w:rPr>
          <w:rFonts w:ascii="Times New Roman" w:hAnsi="Times New Roman" w:cs="Times New Roman"/>
        </w:rPr>
        <w:t>más visible en las instituciones públicas</w:t>
      </w:r>
      <w:r w:rsidR="003471DB" w:rsidRPr="00DC6E80">
        <w:rPr>
          <w:rFonts w:ascii="Times New Roman" w:hAnsi="Times New Roman" w:cs="Times New Roman"/>
        </w:rPr>
        <w:t xml:space="preserve"> </w:t>
      </w:r>
      <w:r w:rsidR="003471DB" w:rsidRPr="00DC6E80">
        <w:rPr>
          <w:rFonts w:ascii="Times New Roman" w:hAnsi="Times New Roman" w:cs="Times New Roman"/>
          <w:noProof/>
        </w:rPr>
        <w:t>(Bernasconi, 2015</w:t>
      </w:r>
      <w:r w:rsidR="00F91229">
        <w:rPr>
          <w:rFonts w:ascii="Times New Roman" w:hAnsi="Times New Roman" w:cs="Times New Roman"/>
          <w:noProof/>
        </w:rPr>
        <w:t>;</w:t>
      </w:r>
      <w:r w:rsidR="003471DB" w:rsidRPr="00DC6E80">
        <w:rPr>
          <w:rFonts w:ascii="Times New Roman" w:hAnsi="Times New Roman" w:cs="Times New Roman"/>
        </w:rPr>
        <w:t xml:space="preserve"> </w:t>
      </w:r>
      <w:r w:rsidR="00D832BF" w:rsidRPr="00FB75D9">
        <w:rPr>
          <w:rFonts w:ascii="Times New Roman" w:hAnsi="Times New Roman" w:cs="Times New Roman"/>
          <w:noProof/>
          <w:lang w:val="es-ES"/>
        </w:rPr>
        <w:t>Claverie</w:t>
      </w:r>
      <w:r w:rsidR="00F91229">
        <w:rPr>
          <w:rFonts w:ascii="Times New Roman" w:hAnsi="Times New Roman" w:cs="Times New Roman"/>
          <w:noProof/>
        </w:rPr>
        <w:t>,</w:t>
      </w:r>
      <w:r w:rsidR="003471DB" w:rsidRPr="00DC6E80">
        <w:rPr>
          <w:rFonts w:ascii="Times New Roman" w:hAnsi="Times New Roman" w:cs="Times New Roman"/>
          <w:noProof/>
        </w:rPr>
        <w:t xml:space="preserve"> </w:t>
      </w:r>
      <w:r w:rsidR="0000296D" w:rsidRPr="00DC6E80">
        <w:rPr>
          <w:rFonts w:ascii="Times New Roman" w:hAnsi="Times New Roman" w:cs="Times New Roman"/>
          <w:noProof/>
        </w:rPr>
        <w:t>201</w:t>
      </w:r>
      <w:r w:rsidR="0000296D">
        <w:rPr>
          <w:rFonts w:ascii="Times New Roman" w:hAnsi="Times New Roman" w:cs="Times New Roman"/>
          <w:noProof/>
        </w:rPr>
        <w:t>2</w:t>
      </w:r>
      <w:r w:rsidR="00151BD3">
        <w:rPr>
          <w:rFonts w:ascii="Times New Roman" w:hAnsi="Times New Roman" w:cs="Times New Roman"/>
          <w:noProof/>
        </w:rPr>
        <w:t xml:space="preserve">; </w:t>
      </w:r>
      <w:r w:rsidR="00151BD3" w:rsidRPr="00DC6E80">
        <w:rPr>
          <w:rFonts w:ascii="Times New Roman" w:hAnsi="Times New Roman" w:cs="Times New Roman"/>
          <w:noProof/>
        </w:rPr>
        <w:t>Duarte</w:t>
      </w:r>
      <w:r w:rsidR="00611902">
        <w:rPr>
          <w:rFonts w:ascii="Times New Roman" w:hAnsi="Times New Roman" w:cs="Times New Roman"/>
          <w:noProof/>
        </w:rPr>
        <w:t xml:space="preserve">, </w:t>
      </w:r>
      <w:r w:rsidR="00611902" w:rsidRPr="009A217D">
        <w:rPr>
          <w:rFonts w:ascii="Times New Roman" w:hAnsi="Times New Roman" w:cs="Times New Roman"/>
          <w:noProof/>
          <w:lang w:val="es-ES"/>
        </w:rPr>
        <w:t xml:space="preserve">Gargiulo </w:t>
      </w:r>
      <w:r w:rsidR="00611902">
        <w:rPr>
          <w:rFonts w:ascii="Times New Roman" w:hAnsi="Times New Roman" w:cs="Times New Roman"/>
          <w:noProof/>
          <w:lang w:val="es-ES"/>
        </w:rPr>
        <w:t>y</w:t>
      </w:r>
      <w:r w:rsidR="00611902" w:rsidRPr="009A217D">
        <w:rPr>
          <w:rFonts w:ascii="Times New Roman" w:hAnsi="Times New Roman" w:cs="Times New Roman"/>
          <w:noProof/>
          <w:lang w:val="es-ES"/>
        </w:rPr>
        <w:t xml:space="preserve"> Moreno</w:t>
      </w:r>
      <w:r w:rsidR="00611902">
        <w:rPr>
          <w:rFonts w:ascii="Times New Roman" w:hAnsi="Times New Roman" w:cs="Times New Roman"/>
          <w:noProof/>
        </w:rPr>
        <w:t xml:space="preserve">, </w:t>
      </w:r>
      <w:r w:rsidR="00151BD3" w:rsidRPr="00DC6E80">
        <w:rPr>
          <w:rFonts w:ascii="Times New Roman" w:hAnsi="Times New Roman" w:cs="Times New Roman"/>
          <w:noProof/>
        </w:rPr>
        <w:t>2011</w:t>
      </w:r>
      <w:r w:rsidR="003471DB" w:rsidRPr="00DC6E80">
        <w:rPr>
          <w:rFonts w:ascii="Times New Roman" w:hAnsi="Times New Roman" w:cs="Times New Roman"/>
          <w:noProof/>
        </w:rPr>
        <w:t>)</w:t>
      </w:r>
      <w:r>
        <w:rPr>
          <w:rFonts w:ascii="Times New Roman" w:hAnsi="Times New Roman" w:cs="Times New Roman"/>
          <w:noProof/>
        </w:rPr>
        <w:t>.</w:t>
      </w:r>
      <w:r w:rsidR="00A57002">
        <w:rPr>
          <w:rFonts w:ascii="Times New Roman" w:hAnsi="Times New Roman" w:cs="Times New Roman"/>
          <w:noProof/>
        </w:rPr>
        <w:t xml:space="preserve"> </w:t>
      </w:r>
      <w:r>
        <w:rPr>
          <w:rFonts w:ascii="Times New Roman" w:hAnsi="Times New Roman" w:cs="Times New Roman"/>
          <w:noProof/>
        </w:rPr>
        <w:t>También está la</w:t>
      </w:r>
      <w:r w:rsidR="00A57002">
        <w:rPr>
          <w:rFonts w:ascii="Times New Roman" w:hAnsi="Times New Roman" w:cs="Times New Roman"/>
        </w:rPr>
        <w:t xml:space="preserve"> precaria</w:t>
      </w:r>
      <w:r w:rsidR="003471DB" w:rsidRPr="00DC6E80">
        <w:rPr>
          <w:rFonts w:ascii="Times New Roman" w:hAnsi="Times New Roman" w:cs="Times New Roman"/>
        </w:rPr>
        <w:t xml:space="preserve"> preparación académica de los profesores </w:t>
      </w:r>
      <w:r>
        <w:rPr>
          <w:rFonts w:ascii="Times New Roman" w:hAnsi="Times New Roman" w:cs="Times New Roman"/>
        </w:rPr>
        <w:t xml:space="preserve">en </w:t>
      </w:r>
      <w:r w:rsidR="003471DB" w:rsidRPr="00DC6E80">
        <w:rPr>
          <w:rFonts w:ascii="Times New Roman" w:hAnsi="Times New Roman" w:cs="Times New Roman"/>
        </w:rPr>
        <w:t xml:space="preserve">relación </w:t>
      </w:r>
      <w:r w:rsidR="0000296D">
        <w:rPr>
          <w:rFonts w:ascii="Times New Roman" w:hAnsi="Times New Roman" w:cs="Times New Roman"/>
        </w:rPr>
        <w:t xml:space="preserve">con </w:t>
      </w:r>
      <w:r w:rsidR="003471DB" w:rsidRPr="00DC6E80">
        <w:rPr>
          <w:rFonts w:ascii="Times New Roman" w:hAnsi="Times New Roman" w:cs="Times New Roman"/>
        </w:rPr>
        <w:t>las técnicas de enseñanza y el grado educativo alcanzado</w:t>
      </w:r>
      <w:r w:rsidR="00A57002">
        <w:rPr>
          <w:rFonts w:ascii="Times New Roman" w:hAnsi="Times New Roman" w:cs="Times New Roman"/>
        </w:rPr>
        <w:t xml:space="preserve">, lo que reduce el interés por </w:t>
      </w:r>
      <w:r w:rsidR="0096321C">
        <w:rPr>
          <w:rFonts w:ascii="Times New Roman" w:hAnsi="Times New Roman" w:cs="Times New Roman"/>
        </w:rPr>
        <w:t xml:space="preserve">el fomento de </w:t>
      </w:r>
      <w:r w:rsidR="00A57002">
        <w:rPr>
          <w:rFonts w:ascii="Times New Roman" w:hAnsi="Times New Roman" w:cs="Times New Roman"/>
        </w:rPr>
        <w:t>la ciencia, la innovación y la investigación</w:t>
      </w:r>
      <w:r w:rsidR="003471DB" w:rsidRPr="00DC6E80">
        <w:rPr>
          <w:rFonts w:ascii="Times New Roman" w:hAnsi="Times New Roman" w:cs="Times New Roman"/>
        </w:rPr>
        <w:t>.</w:t>
      </w:r>
    </w:p>
    <w:p w14:paraId="5139BB10" w14:textId="6CC1FB9F" w:rsidR="003916B9" w:rsidRPr="00DC6E80" w:rsidRDefault="003471DB" w:rsidP="00FF6D96">
      <w:pPr>
        <w:spacing w:line="360" w:lineRule="auto"/>
        <w:ind w:firstLine="708"/>
        <w:jc w:val="both"/>
        <w:rPr>
          <w:rFonts w:ascii="Times New Roman" w:hAnsi="Times New Roman" w:cs="Times New Roman"/>
        </w:rPr>
      </w:pPr>
      <w:r w:rsidRPr="00DC6E80">
        <w:rPr>
          <w:rFonts w:ascii="Times New Roman" w:hAnsi="Times New Roman" w:cs="Times New Roman"/>
        </w:rPr>
        <w:t>Para el caso de México</w:t>
      </w:r>
      <w:r w:rsidR="00982FF9">
        <w:rPr>
          <w:rFonts w:ascii="Times New Roman" w:hAnsi="Times New Roman" w:cs="Times New Roman"/>
        </w:rPr>
        <w:t>,</w:t>
      </w:r>
      <w:r w:rsidRPr="00DC6E80">
        <w:rPr>
          <w:rFonts w:ascii="Times New Roman" w:hAnsi="Times New Roman" w:cs="Times New Roman"/>
        </w:rPr>
        <w:t xml:space="preserve"> </w:t>
      </w:r>
      <w:r w:rsidRPr="00DC6E80">
        <w:rPr>
          <w:rFonts w:ascii="Times New Roman" w:hAnsi="Times New Roman" w:cs="Times New Roman"/>
          <w:noProof/>
        </w:rPr>
        <w:t xml:space="preserve">Rochin </w:t>
      </w:r>
      <w:r w:rsidR="00982FF9">
        <w:rPr>
          <w:rFonts w:ascii="Times New Roman" w:hAnsi="Times New Roman" w:cs="Times New Roman"/>
          <w:noProof/>
        </w:rPr>
        <w:t>(</w:t>
      </w:r>
      <w:r w:rsidRPr="00DC6E80">
        <w:rPr>
          <w:rFonts w:ascii="Times New Roman" w:hAnsi="Times New Roman" w:cs="Times New Roman"/>
          <w:noProof/>
        </w:rPr>
        <w:t>2021)</w:t>
      </w:r>
      <w:r w:rsidRPr="00DC6E80">
        <w:rPr>
          <w:rFonts w:ascii="Times New Roman" w:hAnsi="Times New Roman" w:cs="Times New Roman"/>
        </w:rPr>
        <w:t xml:space="preserve"> indica que las situaciones que han incidido en la baja en el nivel superior se relacionan </w:t>
      </w:r>
      <w:r w:rsidR="00F91229">
        <w:rPr>
          <w:rFonts w:ascii="Times New Roman" w:hAnsi="Times New Roman" w:cs="Times New Roman"/>
        </w:rPr>
        <w:t>c</w:t>
      </w:r>
      <w:r w:rsidRPr="00DC6E80">
        <w:rPr>
          <w:rFonts w:ascii="Times New Roman" w:hAnsi="Times New Roman" w:cs="Times New Roman"/>
        </w:rPr>
        <w:t xml:space="preserve">on el nivel de preparación académica previa del estudiante, los recursos económicos disponibles y los problemas familiares que inciden en la motivación, así como la actualización de los programas educativos, entre otros. </w:t>
      </w:r>
      <w:r w:rsidR="00C91AE1">
        <w:rPr>
          <w:rFonts w:ascii="Times New Roman" w:hAnsi="Times New Roman" w:cs="Times New Roman"/>
        </w:rPr>
        <w:t>P</w:t>
      </w:r>
      <w:r w:rsidR="00F459B1" w:rsidRPr="00DC6E80">
        <w:rPr>
          <w:rFonts w:ascii="Times New Roman" w:hAnsi="Times New Roman" w:cs="Times New Roman"/>
        </w:rPr>
        <w:t>ara el ciclo escolar 2020-2021 no se inscribieron en México 5.2 millones de personas (de entre 3 a 29 años) por ausencia de recursos económicos</w:t>
      </w:r>
      <w:r w:rsidR="00816F28">
        <w:rPr>
          <w:rFonts w:ascii="Times New Roman" w:hAnsi="Times New Roman" w:cs="Times New Roman"/>
        </w:rPr>
        <w:t xml:space="preserve">. De </w:t>
      </w:r>
      <w:r w:rsidR="0087448E">
        <w:rPr>
          <w:rFonts w:ascii="Times New Roman" w:hAnsi="Times New Roman" w:cs="Times New Roman"/>
        </w:rPr>
        <w:t>esta cantidad,</w:t>
      </w:r>
      <w:r w:rsidR="00F459B1" w:rsidRPr="00DC6E80">
        <w:rPr>
          <w:rFonts w:ascii="Times New Roman" w:hAnsi="Times New Roman" w:cs="Times New Roman"/>
        </w:rPr>
        <w:t xml:space="preserve"> 26.6</w:t>
      </w:r>
      <w:r w:rsidR="00816F28">
        <w:rPr>
          <w:rFonts w:ascii="Times New Roman" w:hAnsi="Times New Roman" w:cs="Times New Roman"/>
        </w:rPr>
        <w:t> </w:t>
      </w:r>
      <w:r w:rsidR="00F459B1" w:rsidRPr="00DC6E80">
        <w:rPr>
          <w:rFonts w:ascii="Times New Roman" w:hAnsi="Times New Roman" w:cs="Times New Roman"/>
        </w:rPr>
        <w:t>% consideró no apta la enseñanza en línea para su aprendizaje, 25.3</w:t>
      </w:r>
      <w:r w:rsidR="00816F28">
        <w:rPr>
          <w:rFonts w:ascii="Times New Roman" w:hAnsi="Times New Roman" w:cs="Times New Roman"/>
        </w:rPr>
        <w:t> </w:t>
      </w:r>
      <w:r w:rsidR="00F459B1" w:rsidRPr="00DC6E80">
        <w:rPr>
          <w:rFonts w:ascii="Times New Roman" w:hAnsi="Times New Roman" w:cs="Times New Roman"/>
        </w:rPr>
        <w:t>% indicó que sus padres se quedaron sin empleo y 21.9</w:t>
      </w:r>
      <w:r w:rsidR="00816F28">
        <w:rPr>
          <w:rFonts w:ascii="Times New Roman" w:hAnsi="Times New Roman" w:cs="Times New Roman"/>
        </w:rPr>
        <w:t> </w:t>
      </w:r>
      <w:r w:rsidR="00F459B1" w:rsidRPr="00DC6E80">
        <w:rPr>
          <w:rFonts w:ascii="Times New Roman" w:hAnsi="Times New Roman" w:cs="Times New Roman"/>
        </w:rPr>
        <w:t>% indicó que no cuenta con equipo tecnológico para las sesiones de clases (</w:t>
      </w:r>
      <w:r w:rsidR="000E7848">
        <w:rPr>
          <w:rFonts w:ascii="Times New Roman" w:hAnsi="Times New Roman" w:cs="Times New Roman"/>
        </w:rPr>
        <w:t xml:space="preserve">Instituto Nacional de </w:t>
      </w:r>
      <w:r w:rsidR="0023316B">
        <w:rPr>
          <w:rFonts w:ascii="Times New Roman" w:hAnsi="Times New Roman" w:cs="Times New Roman"/>
        </w:rPr>
        <w:t>Estadística y Geografía [Inegi]</w:t>
      </w:r>
      <w:r w:rsidR="00F459B1" w:rsidRPr="00DC6E80">
        <w:rPr>
          <w:rFonts w:ascii="Times New Roman" w:hAnsi="Times New Roman" w:cs="Times New Roman"/>
        </w:rPr>
        <w:t xml:space="preserve">, </w:t>
      </w:r>
      <w:r w:rsidR="000E7848">
        <w:rPr>
          <w:rFonts w:ascii="Times New Roman" w:hAnsi="Times New Roman" w:cs="Times New Roman"/>
          <w:noProof/>
          <w:lang w:val="es-ES"/>
        </w:rPr>
        <w:t>23 de marzo de 2021</w:t>
      </w:r>
      <w:r w:rsidR="00F459B1" w:rsidRPr="00DC6E80">
        <w:rPr>
          <w:rFonts w:ascii="Times New Roman" w:hAnsi="Times New Roman" w:cs="Times New Roman"/>
        </w:rPr>
        <w:t xml:space="preserve">). Del total de </w:t>
      </w:r>
      <w:r w:rsidR="00617F97">
        <w:rPr>
          <w:rFonts w:ascii="Times New Roman" w:hAnsi="Times New Roman" w:cs="Times New Roman"/>
        </w:rPr>
        <w:t xml:space="preserve">estudiantes </w:t>
      </w:r>
      <w:r w:rsidR="00F459B1" w:rsidRPr="00DC6E80">
        <w:rPr>
          <w:rFonts w:ascii="Times New Roman" w:hAnsi="Times New Roman" w:cs="Times New Roman"/>
        </w:rPr>
        <w:t xml:space="preserve">no inscritos, 2.5 millones </w:t>
      </w:r>
      <w:r w:rsidR="0023316B">
        <w:rPr>
          <w:rFonts w:ascii="Times New Roman" w:hAnsi="Times New Roman" w:cs="Times New Roman"/>
        </w:rPr>
        <w:t xml:space="preserve">eran </w:t>
      </w:r>
      <w:r w:rsidR="00F459B1" w:rsidRPr="00DC6E80">
        <w:rPr>
          <w:rFonts w:ascii="Times New Roman" w:hAnsi="Times New Roman" w:cs="Times New Roman"/>
        </w:rPr>
        <w:t>mujeres</w:t>
      </w:r>
      <w:r w:rsidR="0023316B">
        <w:rPr>
          <w:rFonts w:ascii="Times New Roman" w:hAnsi="Times New Roman" w:cs="Times New Roman"/>
        </w:rPr>
        <w:t>.</w:t>
      </w:r>
      <w:r w:rsidR="0023316B" w:rsidRPr="00DC6E80">
        <w:rPr>
          <w:rFonts w:ascii="Times New Roman" w:hAnsi="Times New Roman" w:cs="Times New Roman"/>
        </w:rPr>
        <w:t xml:space="preserve"> </w:t>
      </w:r>
      <w:r w:rsidR="00237885">
        <w:rPr>
          <w:rFonts w:ascii="Times New Roman" w:hAnsi="Times New Roman" w:cs="Times New Roman"/>
        </w:rPr>
        <w:t>En suma,</w:t>
      </w:r>
      <w:r w:rsidR="0023316B" w:rsidRPr="00DC6E80">
        <w:rPr>
          <w:rFonts w:ascii="Times New Roman" w:hAnsi="Times New Roman" w:cs="Times New Roman"/>
        </w:rPr>
        <w:t xml:space="preserve"> </w:t>
      </w:r>
      <w:r w:rsidR="00237885">
        <w:rPr>
          <w:rFonts w:ascii="Times New Roman" w:hAnsi="Times New Roman" w:cs="Times New Roman"/>
        </w:rPr>
        <w:t xml:space="preserve">las </w:t>
      </w:r>
      <w:r w:rsidR="00F459B1" w:rsidRPr="00DC6E80">
        <w:rPr>
          <w:rFonts w:ascii="Times New Roman" w:hAnsi="Times New Roman" w:cs="Times New Roman"/>
        </w:rPr>
        <w:t xml:space="preserve">causas fueron generadas por </w:t>
      </w:r>
      <w:r w:rsidR="00617F97">
        <w:rPr>
          <w:rFonts w:ascii="Times New Roman" w:hAnsi="Times New Roman" w:cs="Times New Roman"/>
        </w:rPr>
        <w:t>la</w:t>
      </w:r>
      <w:r w:rsidR="00F459B1" w:rsidRPr="00DC6E80">
        <w:rPr>
          <w:rFonts w:ascii="Times New Roman" w:hAnsi="Times New Roman" w:cs="Times New Roman"/>
        </w:rPr>
        <w:t xml:space="preserve"> </w:t>
      </w:r>
      <w:r w:rsidR="0023316B">
        <w:rPr>
          <w:rFonts w:ascii="Times New Roman" w:hAnsi="Times New Roman" w:cs="Times New Roman"/>
        </w:rPr>
        <w:t>c</w:t>
      </w:r>
      <w:r w:rsidR="00F459B1" w:rsidRPr="00DC6E80">
        <w:rPr>
          <w:rFonts w:ascii="Times New Roman" w:hAnsi="Times New Roman" w:cs="Times New Roman"/>
        </w:rPr>
        <w:t xml:space="preserve">ovid-19 y por </w:t>
      </w:r>
      <w:r w:rsidR="00237885">
        <w:rPr>
          <w:rFonts w:ascii="Times New Roman" w:hAnsi="Times New Roman" w:cs="Times New Roman"/>
        </w:rPr>
        <w:t xml:space="preserve">la </w:t>
      </w:r>
      <w:r w:rsidR="00F459B1" w:rsidRPr="00DC6E80">
        <w:rPr>
          <w:rFonts w:ascii="Times New Roman" w:hAnsi="Times New Roman" w:cs="Times New Roman"/>
        </w:rPr>
        <w:t>falta de recursos (</w:t>
      </w:r>
      <w:r w:rsidR="0023316B">
        <w:rPr>
          <w:rFonts w:ascii="Times New Roman" w:hAnsi="Times New Roman" w:cs="Times New Roman"/>
        </w:rPr>
        <w:t>Inegi</w:t>
      </w:r>
      <w:r w:rsidR="00F459B1" w:rsidRPr="00DC6E80">
        <w:rPr>
          <w:rFonts w:ascii="Times New Roman" w:hAnsi="Times New Roman" w:cs="Times New Roman"/>
        </w:rPr>
        <w:t xml:space="preserve">, 2021). </w:t>
      </w:r>
      <w:r w:rsidR="00F459B1">
        <w:rPr>
          <w:rFonts w:ascii="Times New Roman" w:hAnsi="Times New Roman" w:cs="Times New Roman"/>
        </w:rPr>
        <w:t>E</w:t>
      </w:r>
      <w:r w:rsidRPr="00DC6E80">
        <w:rPr>
          <w:rFonts w:ascii="Times New Roman" w:hAnsi="Times New Roman" w:cs="Times New Roman"/>
        </w:rPr>
        <w:t>n Yucatán la baja académica se</w:t>
      </w:r>
      <w:r w:rsidR="00F459B1">
        <w:rPr>
          <w:rFonts w:ascii="Times New Roman" w:hAnsi="Times New Roman" w:cs="Times New Roman"/>
        </w:rPr>
        <w:t xml:space="preserve"> ha </w:t>
      </w:r>
      <w:r w:rsidRPr="00DC6E80">
        <w:rPr>
          <w:rFonts w:ascii="Times New Roman" w:hAnsi="Times New Roman" w:cs="Times New Roman"/>
        </w:rPr>
        <w:t>genera</w:t>
      </w:r>
      <w:r w:rsidR="00F459B1">
        <w:rPr>
          <w:rFonts w:ascii="Times New Roman" w:hAnsi="Times New Roman" w:cs="Times New Roman"/>
        </w:rPr>
        <w:t>do</w:t>
      </w:r>
      <w:r w:rsidRPr="00DC6E80">
        <w:rPr>
          <w:rFonts w:ascii="Times New Roman" w:hAnsi="Times New Roman" w:cs="Times New Roman"/>
        </w:rPr>
        <w:t xml:space="preserve"> por aspectos económicos, el </w:t>
      </w:r>
      <w:r w:rsidR="00903E8F">
        <w:rPr>
          <w:rFonts w:ascii="Times New Roman" w:hAnsi="Times New Roman" w:cs="Times New Roman"/>
        </w:rPr>
        <w:t xml:space="preserve">poco </w:t>
      </w:r>
      <w:r w:rsidRPr="00DC6E80">
        <w:rPr>
          <w:rFonts w:ascii="Times New Roman" w:hAnsi="Times New Roman" w:cs="Times New Roman"/>
        </w:rPr>
        <w:t>interés por parte del estudiante,</w:t>
      </w:r>
      <w:r w:rsidR="0096321C">
        <w:rPr>
          <w:rFonts w:ascii="Times New Roman" w:hAnsi="Times New Roman" w:cs="Times New Roman"/>
        </w:rPr>
        <w:t xml:space="preserve"> problemas de índole familiar</w:t>
      </w:r>
      <w:r w:rsidR="00903E8F">
        <w:rPr>
          <w:rFonts w:ascii="Times New Roman" w:hAnsi="Times New Roman" w:cs="Times New Roman"/>
        </w:rPr>
        <w:t xml:space="preserve"> e </w:t>
      </w:r>
      <w:r w:rsidR="0096321C">
        <w:rPr>
          <w:rFonts w:ascii="Times New Roman" w:hAnsi="Times New Roman" w:cs="Times New Roman"/>
        </w:rPr>
        <w:t xml:space="preserve">incorporación laboral, </w:t>
      </w:r>
      <w:r w:rsidR="00031EDF">
        <w:rPr>
          <w:rFonts w:ascii="Times New Roman" w:hAnsi="Times New Roman" w:cs="Times New Roman"/>
        </w:rPr>
        <w:t xml:space="preserve">situación </w:t>
      </w:r>
      <w:r w:rsidR="001D214A">
        <w:rPr>
          <w:rFonts w:ascii="Times New Roman" w:hAnsi="Times New Roman" w:cs="Times New Roman"/>
        </w:rPr>
        <w:t xml:space="preserve">de mayor </w:t>
      </w:r>
      <w:r w:rsidR="00031EDF">
        <w:rPr>
          <w:rFonts w:ascii="Times New Roman" w:hAnsi="Times New Roman" w:cs="Times New Roman"/>
        </w:rPr>
        <w:t>representativ</w:t>
      </w:r>
      <w:r w:rsidR="001D214A">
        <w:rPr>
          <w:rFonts w:ascii="Times New Roman" w:hAnsi="Times New Roman" w:cs="Times New Roman"/>
        </w:rPr>
        <w:t>idad</w:t>
      </w:r>
      <w:r w:rsidR="00031EDF">
        <w:rPr>
          <w:rFonts w:ascii="Times New Roman" w:hAnsi="Times New Roman" w:cs="Times New Roman"/>
        </w:rPr>
        <w:t xml:space="preserve"> en el género femenino</w:t>
      </w:r>
      <w:r w:rsidR="00F459B1">
        <w:rPr>
          <w:rFonts w:ascii="Times New Roman" w:hAnsi="Times New Roman" w:cs="Times New Roman"/>
        </w:rPr>
        <w:t xml:space="preserve"> </w:t>
      </w:r>
      <w:r w:rsidR="00F459B1" w:rsidRPr="00DC6E80">
        <w:rPr>
          <w:rFonts w:ascii="Times New Roman" w:hAnsi="Times New Roman" w:cs="Times New Roman"/>
          <w:noProof/>
        </w:rPr>
        <w:t xml:space="preserve">(Casais </w:t>
      </w:r>
      <w:r w:rsidR="00903E8F">
        <w:rPr>
          <w:rFonts w:ascii="Times New Roman" w:hAnsi="Times New Roman" w:cs="Times New Roman"/>
          <w:noProof/>
        </w:rPr>
        <w:t>y</w:t>
      </w:r>
      <w:r w:rsidR="00F459B1" w:rsidRPr="00DC6E80">
        <w:rPr>
          <w:rFonts w:ascii="Times New Roman" w:hAnsi="Times New Roman" w:cs="Times New Roman"/>
          <w:noProof/>
        </w:rPr>
        <w:t xml:space="preserve"> Ortega, 2015, p. 63)</w:t>
      </w:r>
      <w:r w:rsidR="00031EDF">
        <w:rPr>
          <w:rFonts w:ascii="Times New Roman" w:hAnsi="Times New Roman" w:cs="Times New Roman"/>
        </w:rPr>
        <w:t xml:space="preserve">. </w:t>
      </w:r>
    </w:p>
    <w:p w14:paraId="4F6477F3" w14:textId="7AB860BE" w:rsidR="00D8497F" w:rsidRDefault="00BA0C14" w:rsidP="00FF6D96">
      <w:pPr>
        <w:spacing w:line="360" w:lineRule="auto"/>
        <w:ind w:firstLine="708"/>
        <w:jc w:val="both"/>
        <w:rPr>
          <w:rFonts w:ascii="Times New Roman" w:hAnsi="Times New Roman" w:cs="Times New Roman"/>
        </w:rPr>
      </w:pPr>
      <w:r>
        <w:rPr>
          <w:rFonts w:ascii="Times New Roman" w:hAnsi="Times New Roman" w:cs="Times New Roman"/>
        </w:rPr>
        <w:t>L</w:t>
      </w:r>
      <w:r w:rsidR="003471DB" w:rsidRPr="00DC6E80">
        <w:rPr>
          <w:rFonts w:ascii="Times New Roman" w:hAnsi="Times New Roman" w:cs="Times New Roman"/>
        </w:rPr>
        <w:t xml:space="preserve">a continuidad educativa </w:t>
      </w:r>
      <w:r>
        <w:rPr>
          <w:rFonts w:ascii="Times New Roman" w:hAnsi="Times New Roman" w:cs="Times New Roman"/>
        </w:rPr>
        <w:t xml:space="preserve">es </w:t>
      </w:r>
      <w:r w:rsidR="003471DB" w:rsidRPr="00DC6E80">
        <w:rPr>
          <w:rFonts w:ascii="Times New Roman" w:hAnsi="Times New Roman" w:cs="Times New Roman"/>
        </w:rPr>
        <w:t>poco considerada por los estudiantes</w:t>
      </w:r>
      <w:r>
        <w:rPr>
          <w:rFonts w:ascii="Times New Roman" w:hAnsi="Times New Roman" w:cs="Times New Roman"/>
        </w:rPr>
        <w:t>.</w:t>
      </w:r>
      <w:r w:rsidRPr="00DC6E80">
        <w:rPr>
          <w:rFonts w:ascii="Times New Roman" w:hAnsi="Times New Roman" w:cs="Times New Roman"/>
        </w:rPr>
        <w:t xml:space="preserve"> </w:t>
      </w:r>
      <w:r>
        <w:rPr>
          <w:rFonts w:ascii="Times New Roman" w:hAnsi="Times New Roman" w:cs="Times New Roman"/>
        </w:rPr>
        <w:t>T</w:t>
      </w:r>
      <w:r w:rsidRPr="00DC6E80">
        <w:rPr>
          <w:rFonts w:ascii="Times New Roman" w:hAnsi="Times New Roman" w:cs="Times New Roman"/>
        </w:rPr>
        <w:t xml:space="preserve">ambién </w:t>
      </w:r>
      <w:r w:rsidR="003471DB" w:rsidRPr="00DC6E80">
        <w:rPr>
          <w:rFonts w:ascii="Times New Roman" w:hAnsi="Times New Roman" w:cs="Times New Roman"/>
        </w:rPr>
        <w:t xml:space="preserve">en esta elección interviene el fomento </w:t>
      </w:r>
      <w:r>
        <w:rPr>
          <w:rFonts w:ascii="Times New Roman" w:hAnsi="Times New Roman" w:cs="Times New Roman"/>
        </w:rPr>
        <w:t>a</w:t>
      </w:r>
      <w:r w:rsidR="003471DB" w:rsidRPr="00DC6E80">
        <w:rPr>
          <w:rFonts w:ascii="Times New Roman" w:hAnsi="Times New Roman" w:cs="Times New Roman"/>
        </w:rPr>
        <w:t xml:space="preserve"> la investigación a través de la enseñanza (poco destacada por los profesores). Lizcano (1999) registra que las conceptualizaciones en materia científica incorporan aportes requeridos en el proceso de investigación</w:t>
      </w:r>
      <w:r w:rsidR="00500F7B">
        <w:rPr>
          <w:rFonts w:ascii="Times New Roman" w:hAnsi="Times New Roman" w:cs="Times New Roman"/>
        </w:rPr>
        <w:t>. La investigación</w:t>
      </w:r>
      <w:r w:rsidR="00237885" w:rsidRPr="00357A81">
        <w:rPr>
          <w:rFonts w:ascii="Times New Roman" w:hAnsi="Times New Roman" w:cs="Times New Roman"/>
          <w:color w:val="FF0000"/>
        </w:rPr>
        <w:t xml:space="preserve"> </w:t>
      </w:r>
      <w:r w:rsidR="005262D6">
        <w:rPr>
          <w:rFonts w:ascii="Times New Roman" w:hAnsi="Times New Roman" w:cs="Times New Roman"/>
        </w:rPr>
        <w:t>posee</w:t>
      </w:r>
      <w:r w:rsidR="003471DB" w:rsidRPr="00DC6E80">
        <w:rPr>
          <w:rFonts w:ascii="Times New Roman" w:hAnsi="Times New Roman" w:cs="Times New Roman"/>
        </w:rPr>
        <w:t xml:space="preserve"> relevancia en la integración laboral</w:t>
      </w:r>
      <w:r w:rsidR="00602AFD">
        <w:rPr>
          <w:rFonts w:ascii="Times New Roman" w:hAnsi="Times New Roman" w:cs="Times New Roman"/>
        </w:rPr>
        <w:t>,</w:t>
      </w:r>
      <w:r w:rsidR="003471DB" w:rsidRPr="00DC6E80">
        <w:rPr>
          <w:rFonts w:ascii="Times New Roman" w:hAnsi="Times New Roman" w:cs="Times New Roman"/>
        </w:rPr>
        <w:t xml:space="preserve"> </w:t>
      </w:r>
      <w:r w:rsidR="00602AFD">
        <w:rPr>
          <w:rFonts w:ascii="Times New Roman" w:hAnsi="Times New Roman" w:cs="Times New Roman"/>
        </w:rPr>
        <w:t>p</w:t>
      </w:r>
      <w:r w:rsidR="003471DB" w:rsidRPr="00DC6E80">
        <w:rPr>
          <w:rFonts w:ascii="Times New Roman" w:hAnsi="Times New Roman" w:cs="Times New Roman"/>
        </w:rPr>
        <w:t>ero</w:t>
      </w:r>
      <w:r w:rsidR="00602AFD">
        <w:rPr>
          <w:rFonts w:ascii="Times New Roman" w:hAnsi="Times New Roman" w:cs="Times New Roman"/>
        </w:rPr>
        <w:t>,</w:t>
      </w:r>
      <w:r w:rsidR="003471DB" w:rsidRPr="00DC6E80">
        <w:rPr>
          <w:rFonts w:ascii="Times New Roman" w:hAnsi="Times New Roman" w:cs="Times New Roman"/>
        </w:rPr>
        <w:t xml:space="preserve"> en múltiples ocasiones</w:t>
      </w:r>
      <w:r w:rsidR="008E4648">
        <w:rPr>
          <w:rFonts w:ascii="Times New Roman" w:hAnsi="Times New Roman" w:cs="Times New Roman"/>
        </w:rPr>
        <w:t>,</w:t>
      </w:r>
      <w:r w:rsidR="003471DB" w:rsidRPr="00DC6E80">
        <w:rPr>
          <w:rFonts w:ascii="Times New Roman" w:hAnsi="Times New Roman" w:cs="Times New Roman"/>
        </w:rPr>
        <w:t xml:space="preserve"> no es </w:t>
      </w:r>
      <w:r w:rsidR="00E94E7F" w:rsidRPr="00DC6E80">
        <w:rPr>
          <w:rFonts w:ascii="Times New Roman" w:hAnsi="Times New Roman" w:cs="Times New Roman"/>
        </w:rPr>
        <w:t>valorad</w:t>
      </w:r>
      <w:r w:rsidR="00E94E7F">
        <w:rPr>
          <w:rFonts w:ascii="Times New Roman" w:hAnsi="Times New Roman" w:cs="Times New Roman"/>
        </w:rPr>
        <w:t>a</w:t>
      </w:r>
      <w:r w:rsidR="00E94E7F" w:rsidRPr="00DC6E80">
        <w:rPr>
          <w:rFonts w:ascii="Times New Roman" w:hAnsi="Times New Roman" w:cs="Times New Roman"/>
        </w:rPr>
        <w:t xml:space="preserve"> </w:t>
      </w:r>
      <w:r w:rsidR="003471DB" w:rsidRPr="00DC6E80">
        <w:rPr>
          <w:rFonts w:ascii="Times New Roman" w:hAnsi="Times New Roman" w:cs="Times New Roman"/>
        </w:rPr>
        <w:t>por el mismo profesor y el estudiante</w:t>
      </w:r>
      <w:r w:rsidR="00357A81">
        <w:rPr>
          <w:rFonts w:ascii="Times New Roman" w:hAnsi="Times New Roman" w:cs="Times New Roman"/>
        </w:rPr>
        <w:t>,</w:t>
      </w:r>
      <w:r w:rsidR="003471DB" w:rsidRPr="00DC6E80">
        <w:rPr>
          <w:rFonts w:ascii="Times New Roman" w:hAnsi="Times New Roman" w:cs="Times New Roman"/>
        </w:rPr>
        <w:t xml:space="preserve"> </w:t>
      </w:r>
      <w:r w:rsidR="00B65D7B">
        <w:rPr>
          <w:rFonts w:ascii="Times New Roman" w:hAnsi="Times New Roman" w:cs="Times New Roman"/>
        </w:rPr>
        <w:t xml:space="preserve">por lo que se le </w:t>
      </w:r>
      <w:r w:rsidR="003471DB" w:rsidRPr="00DC6E80">
        <w:rPr>
          <w:rFonts w:ascii="Times New Roman" w:hAnsi="Times New Roman" w:cs="Times New Roman"/>
        </w:rPr>
        <w:t>de</w:t>
      </w:r>
      <w:r w:rsidR="00B65D7B">
        <w:rPr>
          <w:rFonts w:ascii="Times New Roman" w:hAnsi="Times New Roman" w:cs="Times New Roman"/>
        </w:rPr>
        <w:t>ja de</w:t>
      </w:r>
      <w:r w:rsidR="003471DB" w:rsidRPr="00DC6E80">
        <w:rPr>
          <w:rFonts w:ascii="Times New Roman" w:hAnsi="Times New Roman" w:cs="Times New Roman"/>
        </w:rPr>
        <w:t xml:space="preserve"> prestar </w:t>
      </w:r>
      <w:r w:rsidR="00B65D7B">
        <w:rPr>
          <w:rFonts w:ascii="Times New Roman" w:hAnsi="Times New Roman" w:cs="Times New Roman"/>
        </w:rPr>
        <w:t xml:space="preserve">atención a </w:t>
      </w:r>
      <w:r w:rsidR="003471DB" w:rsidRPr="00DC6E80">
        <w:rPr>
          <w:rFonts w:ascii="Times New Roman" w:hAnsi="Times New Roman" w:cs="Times New Roman"/>
        </w:rPr>
        <w:t>la opción de una vocación científica en el nivel superior.</w:t>
      </w:r>
      <w:r w:rsidR="00303954">
        <w:rPr>
          <w:rFonts w:ascii="Times New Roman" w:hAnsi="Times New Roman" w:cs="Times New Roman"/>
        </w:rPr>
        <w:t xml:space="preserve"> </w:t>
      </w:r>
      <w:r w:rsidR="005262D6">
        <w:rPr>
          <w:rFonts w:ascii="Times New Roman" w:hAnsi="Times New Roman" w:cs="Times New Roman"/>
        </w:rPr>
        <w:t>L</w:t>
      </w:r>
      <w:r w:rsidR="00900E36">
        <w:rPr>
          <w:rFonts w:ascii="Times New Roman" w:hAnsi="Times New Roman" w:cs="Times New Roman"/>
        </w:rPr>
        <w:t>a</w:t>
      </w:r>
      <w:r w:rsidR="00303954">
        <w:rPr>
          <w:rFonts w:ascii="Times New Roman" w:hAnsi="Times New Roman" w:cs="Times New Roman"/>
        </w:rPr>
        <w:t xml:space="preserve"> problemática se presenta por la precaria socialización </w:t>
      </w:r>
      <w:r w:rsidR="00D8497F">
        <w:rPr>
          <w:rFonts w:ascii="Times New Roman" w:hAnsi="Times New Roman" w:cs="Times New Roman"/>
        </w:rPr>
        <w:t>de la ciencia</w:t>
      </w:r>
      <w:r w:rsidR="00900E36">
        <w:rPr>
          <w:rFonts w:ascii="Times New Roman" w:hAnsi="Times New Roman" w:cs="Times New Roman"/>
        </w:rPr>
        <w:t xml:space="preserve"> en la enseñanza</w:t>
      </w:r>
      <w:r w:rsidR="00D8497F">
        <w:rPr>
          <w:rFonts w:ascii="Times New Roman" w:hAnsi="Times New Roman" w:cs="Times New Roman"/>
        </w:rPr>
        <w:t xml:space="preserve">, </w:t>
      </w:r>
      <w:r w:rsidR="00D8497F" w:rsidRPr="00900E36">
        <w:rPr>
          <w:rFonts w:ascii="Times New Roman" w:hAnsi="Times New Roman" w:cs="Times New Roman"/>
        </w:rPr>
        <w:t xml:space="preserve">así como </w:t>
      </w:r>
      <w:r w:rsidR="00C15477">
        <w:rPr>
          <w:rFonts w:ascii="Times New Roman" w:hAnsi="Times New Roman" w:cs="Times New Roman"/>
        </w:rPr>
        <w:t xml:space="preserve">por </w:t>
      </w:r>
      <w:r w:rsidR="00D8497F" w:rsidRPr="00900E36">
        <w:rPr>
          <w:rFonts w:ascii="Times New Roman" w:hAnsi="Times New Roman" w:cs="Times New Roman"/>
        </w:rPr>
        <w:t xml:space="preserve">la </w:t>
      </w:r>
      <w:r w:rsidR="00B11E44" w:rsidRPr="00900E36">
        <w:rPr>
          <w:rFonts w:ascii="Times New Roman" w:hAnsi="Times New Roman" w:cs="Times New Roman"/>
        </w:rPr>
        <w:t>influencia</w:t>
      </w:r>
      <w:r w:rsidR="003642D8">
        <w:rPr>
          <w:rFonts w:ascii="Times New Roman" w:hAnsi="Times New Roman" w:cs="Times New Roman"/>
        </w:rPr>
        <w:t xml:space="preserve"> y</w:t>
      </w:r>
      <w:r w:rsidR="00B11E44" w:rsidRPr="00900E36">
        <w:rPr>
          <w:rFonts w:ascii="Times New Roman" w:hAnsi="Times New Roman" w:cs="Times New Roman"/>
        </w:rPr>
        <w:t xml:space="preserve"> </w:t>
      </w:r>
      <w:r w:rsidR="00D8497F" w:rsidRPr="00900E36">
        <w:rPr>
          <w:rFonts w:ascii="Times New Roman" w:hAnsi="Times New Roman" w:cs="Times New Roman"/>
        </w:rPr>
        <w:t xml:space="preserve">expectativa familiar y </w:t>
      </w:r>
      <w:r w:rsidR="00C15477">
        <w:rPr>
          <w:rFonts w:ascii="Times New Roman" w:hAnsi="Times New Roman" w:cs="Times New Roman"/>
        </w:rPr>
        <w:t>social</w:t>
      </w:r>
      <w:r w:rsidR="00D8497F" w:rsidRPr="00900E36">
        <w:rPr>
          <w:rFonts w:ascii="Times New Roman" w:hAnsi="Times New Roman" w:cs="Times New Roman"/>
        </w:rPr>
        <w:t xml:space="preserve"> </w:t>
      </w:r>
      <w:r w:rsidR="00C15477">
        <w:rPr>
          <w:rFonts w:ascii="Times New Roman" w:hAnsi="Times New Roman" w:cs="Times New Roman"/>
        </w:rPr>
        <w:t xml:space="preserve">respecto a </w:t>
      </w:r>
      <w:r w:rsidR="005262D6">
        <w:rPr>
          <w:rFonts w:ascii="Times New Roman" w:hAnsi="Times New Roman" w:cs="Times New Roman"/>
        </w:rPr>
        <w:t>las</w:t>
      </w:r>
      <w:r w:rsidR="00D8497F" w:rsidRPr="00900E36">
        <w:rPr>
          <w:rFonts w:ascii="Times New Roman" w:hAnsi="Times New Roman" w:cs="Times New Roman"/>
        </w:rPr>
        <w:t xml:space="preserve"> oportunidad</w:t>
      </w:r>
      <w:r w:rsidR="008B6DEF" w:rsidRPr="00900E36">
        <w:rPr>
          <w:rFonts w:ascii="Times New Roman" w:hAnsi="Times New Roman" w:cs="Times New Roman"/>
        </w:rPr>
        <w:t>es</w:t>
      </w:r>
      <w:r w:rsidR="005262D6">
        <w:rPr>
          <w:rFonts w:ascii="Times New Roman" w:hAnsi="Times New Roman" w:cs="Times New Roman"/>
        </w:rPr>
        <w:t xml:space="preserve"> laborales, </w:t>
      </w:r>
      <w:r w:rsidR="003642D8">
        <w:rPr>
          <w:rFonts w:ascii="Times New Roman" w:hAnsi="Times New Roman" w:cs="Times New Roman"/>
        </w:rPr>
        <w:t>lo que disminuye</w:t>
      </w:r>
      <w:r w:rsidR="00D8497F" w:rsidRPr="00900E36">
        <w:rPr>
          <w:rFonts w:ascii="Times New Roman" w:hAnsi="Times New Roman" w:cs="Times New Roman"/>
        </w:rPr>
        <w:t xml:space="preserve"> </w:t>
      </w:r>
      <w:r w:rsidR="00D323B7">
        <w:rPr>
          <w:rFonts w:ascii="Times New Roman" w:hAnsi="Times New Roman" w:cs="Times New Roman"/>
        </w:rPr>
        <w:t xml:space="preserve">el interés de </w:t>
      </w:r>
      <w:r w:rsidR="00957B56">
        <w:rPr>
          <w:rFonts w:ascii="Times New Roman" w:hAnsi="Times New Roman" w:cs="Times New Roman"/>
        </w:rPr>
        <w:t>los alumnos</w:t>
      </w:r>
      <w:r w:rsidR="00C15477">
        <w:rPr>
          <w:rFonts w:ascii="Times New Roman" w:hAnsi="Times New Roman" w:cs="Times New Roman"/>
        </w:rPr>
        <w:t>,</w:t>
      </w:r>
      <w:r w:rsidR="00D323B7">
        <w:rPr>
          <w:rFonts w:ascii="Times New Roman" w:hAnsi="Times New Roman" w:cs="Times New Roman"/>
        </w:rPr>
        <w:t xml:space="preserve"> en especial </w:t>
      </w:r>
      <w:r w:rsidR="00D8497F" w:rsidRPr="00900E36">
        <w:rPr>
          <w:rFonts w:ascii="Times New Roman" w:hAnsi="Times New Roman" w:cs="Times New Roman"/>
        </w:rPr>
        <w:t>en el género femenino</w:t>
      </w:r>
      <w:r w:rsidR="00357A81">
        <w:rPr>
          <w:rFonts w:ascii="Times New Roman" w:hAnsi="Times New Roman" w:cs="Times New Roman"/>
        </w:rPr>
        <w:t xml:space="preserve"> (Guevara y Flores, 2018)</w:t>
      </w:r>
      <w:r w:rsidR="00D8497F">
        <w:rPr>
          <w:rFonts w:ascii="Times New Roman" w:hAnsi="Times New Roman" w:cs="Times New Roman"/>
        </w:rPr>
        <w:t>.</w:t>
      </w:r>
      <w:r w:rsidR="002D1FC9">
        <w:rPr>
          <w:rFonts w:ascii="Times New Roman" w:hAnsi="Times New Roman" w:cs="Times New Roman"/>
        </w:rPr>
        <w:t xml:space="preserve"> Sin embargo, esta precariedad se </w:t>
      </w:r>
      <w:r w:rsidR="005262D6">
        <w:rPr>
          <w:rFonts w:ascii="Times New Roman" w:hAnsi="Times New Roman" w:cs="Times New Roman"/>
        </w:rPr>
        <w:t>amplificó</w:t>
      </w:r>
      <w:r w:rsidR="002D1FC9">
        <w:rPr>
          <w:rFonts w:ascii="Times New Roman" w:hAnsi="Times New Roman" w:cs="Times New Roman"/>
        </w:rPr>
        <w:t xml:space="preserve"> con la presencia de la </w:t>
      </w:r>
      <w:r w:rsidR="00075F8F">
        <w:rPr>
          <w:rFonts w:ascii="Times New Roman" w:hAnsi="Times New Roman" w:cs="Times New Roman"/>
        </w:rPr>
        <w:t>c</w:t>
      </w:r>
      <w:r w:rsidR="002D1FC9">
        <w:rPr>
          <w:rFonts w:ascii="Times New Roman" w:hAnsi="Times New Roman" w:cs="Times New Roman"/>
        </w:rPr>
        <w:t xml:space="preserve">ovid-19, situación que puso </w:t>
      </w:r>
      <w:r w:rsidR="00DB741E">
        <w:rPr>
          <w:rFonts w:ascii="Times New Roman" w:hAnsi="Times New Roman" w:cs="Times New Roman"/>
        </w:rPr>
        <w:t xml:space="preserve">en entredicho la </w:t>
      </w:r>
      <w:r w:rsidR="002D1FC9">
        <w:rPr>
          <w:rFonts w:ascii="Times New Roman" w:hAnsi="Times New Roman" w:cs="Times New Roman"/>
        </w:rPr>
        <w:t>continuidad</w:t>
      </w:r>
      <w:r w:rsidR="00E21582">
        <w:rPr>
          <w:rFonts w:ascii="Times New Roman" w:hAnsi="Times New Roman" w:cs="Times New Roman"/>
        </w:rPr>
        <w:t xml:space="preserve">, </w:t>
      </w:r>
      <w:r w:rsidR="002D1FC9">
        <w:rPr>
          <w:rFonts w:ascii="Times New Roman" w:hAnsi="Times New Roman" w:cs="Times New Roman"/>
        </w:rPr>
        <w:t>el aprendizaje</w:t>
      </w:r>
      <w:r w:rsidR="00E21582">
        <w:rPr>
          <w:rFonts w:ascii="Times New Roman" w:hAnsi="Times New Roman" w:cs="Times New Roman"/>
        </w:rPr>
        <w:t xml:space="preserve"> y</w:t>
      </w:r>
      <w:r w:rsidR="002D1FC9">
        <w:rPr>
          <w:rFonts w:ascii="Times New Roman" w:hAnsi="Times New Roman" w:cs="Times New Roman"/>
        </w:rPr>
        <w:t xml:space="preserve"> </w:t>
      </w:r>
      <w:r w:rsidR="00E21582">
        <w:rPr>
          <w:rFonts w:ascii="Times New Roman" w:hAnsi="Times New Roman" w:cs="Times New Roman"/>
        </w:rPr>
        <w:t xml:space="preserve">la </w:t>
      </w:r>
      <w:r w:rsidR="002D1FC9">
        <w:rPr>
          <w:rFonts w:ascii="Times New Roman" w:hAnsi="Times New Roman" w:cs="Times New Roman"/>
        </w:rPr>
        <w:t xml:space="preserve">adaptabilidad </w:t>
      </w:r>
      <w:r w:rsidR="00E21582">
        <w:rPr>
          <w:rFonts w:ascii="Times New Roman" w:hAnsi="Times New Roman" w:cs="Times New Roman"/>
        </w:rPr>
        <w:t>de los jóvenes</w:t>
      </w:r>
      <w:r w:rsidR="002D1FC9">
        <w:rPr>
          <w:rFonts w:ascii="Times New Roman" w:hAnsi="Times New Roman" w:cs="Times New Roman"/>
        </w:rPr>
        <w:t>.</w:t>
      </w:r>
    </w:p>
    <w:p w14:paraId="1C6CAFA4" w14:textId="77777777" w:rsidR="00873588" w:rsidRDefault="00873588" w:rsidP="00FF6D96">
      <w:pPr>
        <w:spacing w:line="360" w:lineRule="auto"/>
        <w:ind w:firstLine="708"/>
        <w:jc w:val="both"/>
        <w:rPr>
          <w:rFonts w:ascii="Times New Roman" w:hAnsi="Times New Roman" w:cs="Times New Roman"/>
        </w:rPr>
      </w:pPr>
    </w:p>
    <w:p w14:paraId="27B5C332" w14:textId="66C8F27D" w:rsidR="00A24AB5" w:rsidRPr="00DA11F9" w:rsidRDefault="00B96CCD" w:rsidP="00421EB7">
      <w:pPr>
        <w:spacing w:line="360" w:lineRule="auto"/>
        <w:jc w:val="center"/>
        <w:rPr>
          <w:rFonts w:ascii="Times New Roman" w:hAnsi="Times New Roman" w:cs="Times New Roman"/>
          <w:b/>
          <w:bCs/>
          <w:sz w:val="28"/>
        </w:rPr>
      </w:pPr>
      <w:r w:rsidRPr="00DA11F9">
        <w:rPr>
          <w:rFonts w:ascii="Times New Roman" w:hAnsi="Times New Roman" w:cs="Times New Roman"/>
          <w:b/>
          <w:bCs/>
          <w:sz w:val="28"/>
        </w:rPr>
        <w:lastRenderedPageBreak/>
        <w:t>Objetivo</w:t>
      </w:r>
    </w:p>
    <w:p w14:paraId="7969F0B1" w14:textId="39A3448C" w:rsidR="00BC52EC" w:rsidRDefault="007415BA" w:rsidP="00FF6D96">
      <w:pPr>
        <w:spacing w:line="360" w:lineRule="auto"/>
        <w:ind w:firstLine="708"/>
        <w:jc w:val="both"/>
        <w:rPr>
          <w:rFonts w:ascii="Times New Roman" w:hAnsi="Times New Roman" w:cs="Times New Roman"/>
        </w:rPr>
      </w:pPr>
      <w:r>
        <w:rPr>
          <w:rFonts w:ascii="Times New Roman" w:hAnsi="Times New Roman" w:cs="Times New Roman"/>
        </w:rPr>
        <w:t xml:space="preserve">Determinar </w:t>
      </w:r>
      <w:r w:rsidR="00CE673F">
        <w:rPr>
          <w:rFonts w:ascii="Times New Roman" w:hAnsi="Times New Roman" w:cs="Times New Roman"/>
        </w:rPr>
        <w:t>las estrategias</w:t>
      </w:r>
      <w:r w:rsidR="00CE673F" w:rsidRPr="00DC6E80">
        <w:rPr>
          <w:rFonts w:ascii="Times New Roman" w:hAnsi="Times New Roman" w:cs="Times New Roman"/>
        </w:rPr>
        <w:t xml:space="preserve"> para el fomento de las vocaciones científicas en los jóvenes de educación superior de </w:t>
      </w:r>
      <w:r w:rsidR="008A3EDA">
        <w:rPr>
          <w:rFonts w:ascii="Times New Roman" w:hAnsi="Times New Roman" w:cs="Times New Roman"/>
        </w:rPr>
        <w:t>Yucatán</w:t>
      </w:r>
      <w:r w:rsidR="00CE673F" w:rsidRPr="00DC6E80">
        <w:rPr>
          <w:rFonts w:ascii="Times New Roman" w:hAnsi="Times New Roman" w:cs="Times New Roman"/>
        </w:rPr>
        <w:t>,</w:t>
      </w:r>
      <w:r w:rsidR="008A3EDA">
        <w:rPr>
          <w:rFonts w:ascii="Times New Roman" w:hAnsi="Times New Roman" w:cs="Times New Roman"/>
        </w:rPr>
        <w:t xml:space="preserve"> México,</w:t>
      </w:r>
      <w:r w:rsidR="00CE673F">
        <w:rPr>
          <w:rFonts w:ascii="Times New Roman" w:hAnsi="Times New Roman" w:cs="Times New Roman"/>
        </w:rPr>
        <w:t xml:space="preserve"> que incentiven</w:t>
      </w:r>
      <w:r w:rsidR="00CE673F" w:rsidRPr="00DC6E80">
        <w:rPr>
          <w:rFonts w:ascii="Times New Roman" w:hAnsi="Times New Roman" w:cs="Times New Roman"/>
        </w:rPr>
        <w:t xml:space="preserve"> </w:t>
      </w:r>
      <w:r w:rsidR="00CE673F">
        <w:rPr>
          <w:rFonts w:ascii="Times New Roman" w:hAnsi="Times New Roman" w:cs="Times New Roman"/>
        </w:rPr>
        <w:t>la elección de una continuidad educativa mediante las</w:t>
      </w:r>
      <w:r w:rsidR="00CE673F" w:rsidRPr="00DC6E80">
        <w:rPr>
          <w:rFonts w:ascii="Times New Roman" w:hAnsi="Times New Roman" w:cs="Times New Roman"/>
        </w:rPr>
        <w:t xml:space="preserve"> </w:t>
      </w:r>
      <w:r>
        <w:rPr>
          <w:rFonts w:ascii="Times New Roman" w:hAnsi="Times New Roman" w:cs="Times New Roman"/>
        </w:rPr>
        <w:t>acciones</w:t>
      </w:r>
      <w:r w:rsidR="00CE673F" w:rsidRPr="00DC6E80">
        <w:rPr>
          <w:rFonts w:ascii="Times New Roman" w:hAnsi="Times New Roman" w:cs="Times New Roman"/>
        </w:rPr>
        <w:t xml:space="preserve"> de difusión y </w:t>
      </w:r>
      <w:r>
        <w:rPr>
          <w:rFonts w:ascii="Times New Roman" w:hAnsi="Times New Roman" w:cs="Times New Roman"/>
        </w:rPr>
        <w:t>divulgación</w:t>
      </w:r>
      <w:r w:rsidR="00CE673F" w:rsidRPr="00DC6E80">
        <w:rPr>
          <w:rFonts w:ascii="Times New Roman" w:hAnsi="Times New Roman" w:cs="Times New Roman"/>
        </w:rPr>
        <w:t xml:space="preserve"> a través de escenarios tecnológicos durante la </w:t>
      </w:r>
      <w:r w:rsidR="008A3EDA">
        <w:rPr>
          <w:rFonts w:ascii="Times New Roman" w:hAnsi="Times New Roman" w:cs="Times New Roman"/>
        </w:rPr>
        <w:t>c</w:t>
      </w:r>
      <w:r w:rsidR="00CE673F" w:rsidRPr="00DC6E80">
        <w:rPr>
          <w:rFonts w:ascii="Times New Roman" w:hAnsi="Times New Roman" w:cs="Times New Roman"/>
        </w:rPr>
        <w:t>ovid-19</w:t>
      </w:r>
      <w:r w:rsidR="00EF1352" w:rsidRPr="00DC6E80">
        <w:rPr>
          <w:rFonts w:ascii="Times New Roman" w:hAnsi="Times New Roman" w:cs="Times New Roman"/>
        </w:rPr>
        <w:t>.</w:t>
      </w:r>
      <w:r w:rsidR="00491778">
        <w:rPr>
          <w:rFonts w:ascii="Times New Roman" w:hAnsi="Times New Roman" w:cs="Times New Roman"/>
        </w:rPr>
        <w:t xml:space="preserve"> </w:t>
      </w:r>
    </w:p>
    <w:p w14:paraId="241B89AD" w14:textId="77777777" w:rsidR="00873588" w:rsidRDefault="00873588" w:rsidP="00FF6D96">
      <w:pPr>
        <w:spacing w:line="360" w:lineRule="auto"/>
        <w:ind w:firstLine="708"/>
        <w:jc w:val="both"/>
        <w:rPr>
          <w:rFonts w:ascii="Times New Roman" w:hAnsi="Times New Roman" w:cs="Times New Roman"/>
        </w:rPr>
      </w:pPr>
    </w:p>
    <w:p w14:paraId="319A9B93" w14:textId="245A911E" w:rsidR="00B76943" w:rsidRDefault="00B76943" w:rsidP="00421EB7">
      <w:pPr>
        <w:spacing w:line="360" w:lineRule="auto"/>
        <w:jc w:val="center"/>
        <w:rPr>
          <w:rFonts w:ascii="Times New Roman" w:hAnsi="Times New Roman" w:cs="Times New Roman"/>
          <w:b/>
          <w:bCs/>
          <w:sz w:val="28"/>
          <w:shd w:val="clear" w:color="auto" w:fill="FFFFFF"/>
        </w:rPr>
      </w:pPr>
      <w:r>
        <w:rPr>
          <w:rFonts w:ascii="Times New Roman" w:hAnsi="Times New Roman" w:cs="Times New Roman"/>
          <w:b/>
          <w:bCs/>
          <w:sz w:val="28"/>
          <w:shd w:val="clear" w:color="auto" w:fill="FFFFFF"/>
        </w:rPr>
        <w:t>Pregunta general</w:t>
      </w:r>
    </w:p>
    <w:p w14:paraId="417DE3F2" w14:textId="002345AA" w:rsidR="00B76943" w:rsidRDefault="00B76943" w:rsidP="00FF6D96">
      <w:pPr>
        <w:spacing w:line="360" w:lineRule="auto"/>
        <w:ind w:firstLine="708"/>
        <w:jc w:val="both"/>
        <w:rPr>
          <w:rFonts w:ascii="Times New Roman" w:hAnsi="Times New Roman" w:cs="Times New Roman"/>
          <w:shd w:val="clear" w:color="auto" w:fill="FFFFFF"/>
        </w:rPr>
      </w:pPr>
      <w:r w:rsidRPr="00D94503">
        <w:rPr>
          <w:rFonts w:ascii="Times New Roman" w:hAnsi="Times New Roman" w:cs="Times New Roman"/>
          <w:shd w:val="clear" w:color="auto" w:fill="FFFFFF"/>
        </w:rPr>
        <w:t xml:space="preserve">¿Qué tipo de estrategias son requeridas para fomentar las </w:t>
      </w:r>
      <w:r w:rsidR="008A3EDA">
        <w:rPr>
          <w:rFonts w:ascii="Times New Roman" w:hAnsi="Times New Roman" w:cs="Times New Roman"/>
          <w:shd w:val="clear" w:color="auto" w:fill="FFFFFF"/>
        </w:rPr>
        <w:t>v</w:t>
      </w:r>
      <w:r w:rsidRPr="00D94503">
        <w:rPr>
          <w:rFonts w:ascii="Times New Roman" w:hAnsi="Times New Roman" w:cs="Times New Roman"/>
          <w:shd w:val="clear" w:color="auto" w:fill="FFFFFF"/>
        </w:rPr>
        <w:t xml:space="preserve">ocaciones </w:t>
      </w:r>
      <w:r w:rsidR="008A3EDA">
        <w:rPr>
          <w:rFonts w:ascii="Times New Roman" w:hAnsi="Times New Roman" w:cs="Times New Roman"/>
          <w:shd w:val="clear" w:color="auto" w:fill="FFFFFF"/>
        </w:rPr>
        <w:t>c</w:t>
      </w:r>
      <w:r w:rsidRPr="00D94503">
        <w:rPr>
          <w:rFonts w:ascii="Times New Roman" w:hAnsi="Times New Roman" w:cs="Times New Roman"/>
          <w:shd w:val="clear" w:color="auto" w:fill="FFFFFF"/>
        </w:rPr>
        <w:t>ientíficas en los jóvenes de educación superior para la estimulación de una continuidad educativa?</w:t>
      </w:r>
    </w:p>
    <w:p w14:paraId="2D5542D6" w14:textId="77777777" w:rsidR="008A3EDA" w:rsidRDefault="008A3EDA" w:rsidP="00FF6D96">
      <w:pPr>
        <w:spacing w:line="360" w:lineRule="auto"/>
        <w:ind w:firstLine="708"/>
        <w:jc w:val="both"/>
        <w:rPr>
          <w:rFonts w:ascii="Times New Roman" w:hAnsi="Times New Roman" w:cs="Times New Roman"/>
          <w:shd w:val="clear" w:color="auto" w:fill="FFFFFF"/>
        </w:rPr>
      </w:pPr>
    </w:p>
    <w:p w14:paraId="5974B4D8" w14:textId="348F234C" w:rsidR="00B76943" w:rsidRPr="00421EB7" w:rsidRDefault="00B76943" w:rsidP="00421EB7">
      <w:pPr>
        <w:spacing w:line="360" w:lineRule="auto"/>
        <w:jc w:val="center"/>
        <w:rPr>
          <w:rFonts w:ascii="Times New Roman" w:hAnsi="Times New Roman" w:cs="Times New Roman"/>
          <w:b/>
          <w:bCs/>
          <w:sz w:val="26"/>
          <w:szCs w:val="26"/>
          <w:shd w:val="clear" w:color="auto" w:fill="FFFFFF"/>
        </w:rPr>
      </w:pPr>
      <w:r w:rsidRPr="00421EB7">
        <w:rPr>
          <w:rFonts w:ascii="Times New Roman" w:hAnsi="Times New Roman" w:cs="Times New Roman"/>
          <w:b/>
          <w:bCs/>
          <w:sz w:val="26"/>
          <w:szCs w:val="26"/>
          <w:shd w:val="clear" w:color="auto" w:fill="FFFFFF"/>
        </w:rPr>
        <w:t>Preguntas específicas</w:t>
      </w:r>
    </w:p>
    <w:p w14:paraId="41C7966E" w14:textId="77777777" w:rsidR="00310B94" w:rsidRDefault="00310B94" w:rsidP="00421EB7">
      <w:pPr>
        <w:pStyle w:val="Prrafodelista"/>
        <w:numPr>
          <w:ilvl w:val="0"/>
          <w:numId w:val="7"/>
        </w:numPr>
        <w:spacing w:line="360" w:lineRule="auto"/>
        <w:ind w:left="0" w:firstLine="708"/>
        <w:jc w:val="both"/>
        <w:rPr>
          <w:rFonts w:ascii="Times New Roman" w:hAnsi="Times New Roman" w:cs="Times New Roman"/>
          <w:shd w:val="clear" w:color="auto" w:fill="FFFFFF"/>
        </w:rPr>
      </w:pPr>
      <w:r w:rsidRPr="00A461DA">
        <w:rPr>
          <w:rFonts w:ascii="Times New Roman" w:hAnsi="Times New Roman" w:cs="Times New Roman"/>
          <w:shd w:val="clear" w:color="auto" w:fill="FFFFFF"/>
        </w:rPr>
        <w:t xml:space="preserve">¿Cuál es el perfil de los estudiantes que </w:t>
      </w:r>
      <w:r>
        <w:rPr>
          <w:rFonts w:ascii="Times New Roman" w:hAnsi="Times New Roman" w:cs="Times New Roman"/>
          <w:shd w:val="clear" w:color="auto" w:fill="FFFFFF"/>
        </w:rPr>
        <w:t>consideran</w:t>
      </w:r>
      <w:r w:rsidRPr="00A461DA">
        <w:rPr>
          <w:rFonts w:ascii="Times New Roman" w:hAnsi="Times New Roman" w:cs="Times New Roman"/>
          <w:shd w:val="clear" w:color="auto" w:fill="FFFFFF"/>
        </w:rPr>
        <w:t xml:space="preserve"> una continuidad educativa</w:t>
      </w:r>
      <w:r>
        <w:rPr>
          <w:rFonts w:ascii="Times New Roman" w:hAnsi="Times New Roman" w:cs="Times New Roman"/>
          <w:shd w:val="clear" w:color="auto" w:fill="FFFFFF"/>
        </w:rPr>
        <w:t xml:space="preserve"> hacia los posgrados</w:t>
      </w:r>
      <w:r w:rsidRPr="00A461DA">
        <w:rPr>
          <w:rFonts w:ascii="Times New Roman" w:hAnsi="Times New Roman" w:cs="Times New Roman"/>
          <w:shd w:val="clear" w:color="auto" w:fill="FFFFFF"/>
        </w:rPr>
        <w:t>?</w:t>
      </w:r>
    </w:p>
    <w:p w14:paraId="20E2E2A3" w14:textId="77777777" w:rsidR="00310B94" w:rsidRDefault="00310B94" w:rsidP="00421EB7">
      <w:pPr>
        <w:pStyle w:val="Prrafodelista"/>
        <w:numPr>
          <w:ilvl w:val="0"/>
          <w:numId w:val="7"/>
        </w:numPr>
        <w:spacing w:line="360" w:lineRule="auto"/>
        <w:ind w:left="0" w:firstLine="708"/>
        <w:jc w:val="both"/>
        <w:rPr>
          <w:rFonts w:ascii="Times New Roman" w:hAnsi="Times New Roman" w:cs="Times New Roman"/>
          <w:shd w:val="clear" w:color="auto" w:fill="FFFFFF"/>
        </w:rPr>
      </w:pPr>
      <w:r>
        <w:rPr>
          <w:rFonts w:ascii="Times New Roman" w:hAnsi="Times New Roman" w:cs="Times New Roman"/>
          <w:shd w:val="clear" w:color="auto" w:fill="FFFFFF"/>
        </w:rPr>
        <w:t>¿Cuáles son las asignaturas que fomentan la investigación en los estudiantes de nivel superior?</w:t>
      </w:r>
    </w:p>
    <w:p w14:paraId="3B1D578A" w14:textId="77777777" w:rsidR="00310B94" w:rsidRDefault="00310B94" w:rsidP="00421EB7">
      <w:pPr>
        <w:pStyle w:val="Prrafodelista"/>
        <w:numPr>
          <w:ilvl w:val="0"/>
          <w:numId w:val="7"/>
        </w:numPr>
        <w:spacing w:line="360" w:lineRule="auto"/>
        <w:ind w:left="0" w:firstLine="708"/>
        <w:jc w:val="both"/>
        <w:rPr>
          <w:rFonts w:ascii="Times New Roman" w:hAnsi="Times New Roman" w:cs="Times New Roman"/>
          <w:shd w:val="clear" w:color="auto" w:fill="FFFFFF"/>
        </w:rPr>
      </w:pPr>
      <w:r>
        <w:rPr>
          <w:rFonts w:ascii="Times New Roman" w:hAnsi="Times New Roman" w:cs="Times New Roman"/>
          <w:shd w:val="clear" w:color="auto" w:fill="FFFFFF"/>
        </w:rPr>
        <w:t>¿Cuáles son los espacios de búsqueda de información utilizados para la realización de las actividades de investigación?</w:t>
      </w:r>
    </w:p>
    <w:p w14:paraId="1BD82DF8" w14:textId="77777777" w:rsidR="00873588" w:rsidRDefault="00873588" w:rsidP="00FF6D96">
      <w:pPr>
        <w:pStyle w:val="Prrafodelista"/>
        <w:spacing w:line="360" w:lineRule="auto"/>
        <w:ind w:left="1068"/>
        <w:jc w:val="both"/>
        <w:rPr>
          <w:rFonts w:ascii="Times New Roman" w:hAnsi="Times New Roman" w:cs="Times New Roman"/>
          <w:shd w:val="clear" w:color="auto" w:fill="FFFFFF"/>
        </w:rPr>
      </w:pPr>
    </w:p>
    <w:p w14:paraId="5CA1ABE9" w14:textId="0E607C28" w:rsidR="00CC76B1" w:rsidRPr="00DA11F9" w:rsidRDefault="00A979D1" w:rsidP="00421EB7">
      <w:pPr>
        <w:spacing w:line="360" w:lineRule="auto"/>
        <w:jc w:val="center"/>
        <w:rPr>
          <w:rFonts w:ascii="Times New Roman" w:hAnsi="Times New Roman" w:cs="Times New Roman"/>
          <w:b/>
          <w:bCs/>
          <w:sz w:val="28"/>
          <w:shd w:val="clear" w:color="auto" w:fill="FFFFFF"/>
        </w:rPr>
      </w:pPr>
      <w:r w:rsidRPr="00DA11F9">
        <w:rPr>
          <w:rFonts w:ascii="Times New Roman" w:hAnsi="Times New Roman" w:cs="Times New Roman"/>
          <w:b/>
          <w:bCs/>
          <w:sz w:val="28"/>
          <w:shd w:val="clear" w:color="auto" w:fill="FFFFFF"/>
        </w:rPr>
        <w:t>Hipótesis</w:t>
      </w:r>
    </w:p>
    <w:p w14:paraId="57950C2C" w14:textId="4B623E1F" w:rsidR="00E775B8" w:rsidRPr="00D94503" w:rsidRDefault="00E775B8" w:rsidP="00FF6D96">
      <w:pPr>
        <w:spacing w:line="360" w:lineRule="auto"/>
        <w:ind w:firstLine="708"/>
        <w:jc w:val="both"/>
        <w:rPr>
          <w:rFonts w:ascii="Times New Roman" w:hAnsi="Times New Roman" w:cs="Times New Roman"/>
          <w:shd w:val="clear" w:color="auto" w:fill="FFFFFF"/>
        </w:rPr>
      </w:pPr>
      <w:r w:rsidRPr="00D94503">
        <w:rPr>
          <w:rFonts w:ascii="Times New Roman" w:hAnsi="Times New Roman" w:cs="Times New Roman"/>
          <w:shd w:val="clear" w:color="auto" w:fill="FFFFFF"/>
        </w:rPr>
        <w:t>De acuerdo con Fonseca y Cascante (2019)</w:t>
      </w:r>
      <w:r w:rsidR="008A3EDA">
        <w:rPr>
          <w:rFonts w:ascii="Times New Roman" w:hAnsi="Times New Roman" w:cs="Times New Roman"/>
          <w:shd w:val="clear" w:color="auto" w:fill="FFFFFF"/>
        </w:rPr>
        <w:t>,</w:t>
      </w:r>
      <w:r w:rsidRPr="00D94503">
        <w:rPr>
          <w:rFonts w:ascii="Times New Roman" w:hAnsi="Times New Roman" w:cs="Times New Roman"/>
          <w:shd w:val="clear" w:color="auto" w:fill="FFFFFF"/>
        </w:rPr>
        <w:t xml:space="preserve"> el perfil que demanda un posgrado </w:t>
      </w:r>
      <w:r w:rsidR="009977D9">
        <w:rPr>
          <w:rFonts w:ascii="Times New Roman" w:hAnsi="Times New Roman" w:cs="Times New Roman"/>
          <w:shd w:val="clear" w:color="auto" w:fill="FFFFFF"/>
        </w:rPr>
        <w:t xml:space="preserve">incluye </w:t>
      </w:r>
      <w:r w:rsidRPr="00D94503">
        <w:rPr>
          <w:rFonts w:ascii="Times New Roman" w:hAnsi="Times New Roman" w:cs="Times New Roman"/>
          <w:shd w:val="clear" w:color="auto" w:fill="FFFFFF"/>
        </w:rPr>
        <w:t xml:space="preserve">diversos grupos etarios, pero destaca el rango de edad que oscila de entre </w:t>
      </w:r>
      <w:r w:rsidR="009977D9">
        <w:rPr>
          <w:rFonts w:ascii="Times New Roman" w:hAnsi="Times New Roman" w:cs="Times New Roman"/>
          <w:shd w:val="clear" w:color="auto" w:fill="FFFFFF"/>
        </w:rPr>
        <w:t xml:space="preserve">los </w:t>
      </w:r>
      <w:r w:rsidRPr="00D94503">
        <w:rPr>
          <w:rFonts w:ascii="Times New Roman" w:hAnsi="Times New Roman" w:cs="Times New Roman"/>
          <w:shd w:val="clear" w:color="auto" w:fill="FFFFFF"/>
        </w:rPr>
        <w:t xml:space="preserve">22 a </w:t>
      </w:r>
      <w:r w:rsidR="009977D9">
        <w:rPr>
          <w:rFonts w:ascii="Times New Roman" w:hAnsi="Times New Roman" w:cs="Times New Roman"/>
          <w:shd w:val="clear" w:color="auto" w:fill="FFFFFF"/>
        </w:rPr>
        <w:t xml:space="preserve">los </w:t>
      </w:r>
      <w:r w:rsidRPr="00D94503">
        <w:rPr>
          <w:rFonts w:ascii="Times New Roman" w:hAnsi="Times New Roman" w:cs="Times New Roman"/>
          <w:shd w:val="clear" w:color="auto" w:fill="FFFFFF"/>
        </w:rPr>
        <w:t>30 años</w:t>
      </w:r>
      <w:r w:rsidR="009977D9">
        <w:rPr>
          <w:rFonts w:ascii="Times New Roman" w:hAnsi="Times New Roman" w:cs="Times New Roman"/>
          <w:shd w:val="clear" w:color="auto" w:fill="FFFFFF"/>
        </w:rPr>
        <w:t>.</w:t>
      </w:r>
      <w:r w:rsidR="009977D9" w:rsidRPr="00D94503">
        <w:rPr>
          <w:rFonts w:ascii="Times New Roman" w:hAnsi="Times New Roman" w:cs="Times New Roman"/>
          <w:shd w:val="clear" w:color="auto" w:fill="FFFFFF"/>
        </w:rPr>
        <w:t xml:space="preserve"> </w:t>
      </w:r>
      <w:r w:rsidR="00126DD7">
        <w:rPr>
          <w:rFonts w:ascii="Times New Roman" w:hAnsi="Times New Roman" w:cs="Times New Roman"/>
          <w:shd w:val="clear" w:color="auto" w:fill="FFFFFF"/>
        </w:rPr>
        <w:t>Además,</w:t>
      </w:r>
      <w:r w:rsidR="009C5EED" w:rsidRPr="00D94503">
        <w:rPr>
          <w:rFonts w:ascii="Times New Roman" w:hAnsi="Times New Roman" w:cs="Times New Roman"/>
          <w:shd w:val="clear" w:color="auto" w:fill="FFFFFF"/>
        </w:rPr>
        <w:t xml:space="preserve"> los posgrados afines a las ciencias sociales </w:t>
      </w:r>
      <w:r w:rsidR="001C1013">
        <w:rPr>
          <w:rFonts w:ascii="Times New Roman" w:hAnsi="Times New Roman" w:cs="Times New Roman"/>
          <w:shd w:val="clear" w:color="auto" w:fill="FFFFFF"/>
        </w:rPr>
        <w:t>son más populares entre las</w:t>
      </w:r>
      <w:r w:rsidRPr="00D94503">
        <w:rPr>
          <w:rFonts w:ascii="Times New Roman" w:hAnsi="Times New Roman" w:cs="Times New Roman"/>
          <w:shd w:val="clear" w:color="auto" w:fill="FFFFFF"/>
        </w:rPr>
        <w:t xml:space="preserve"> mujeres. </w:t>
      </w:r>
      <w:r w:rsidR="00370A45" w:rsidRPr="00D94503">
        <w:rPr>
          <w:rFonts w:ascii="Times New Roman" w:hAnsi="Times New Roman" w:cs="Times New Roman"/>
          <w:shd w:val="clear" w:color="auto" w:fill="FFFFFF"/>
        </w:rPr>
        <w:t>A través de la investigación surge la siguiente hipótesis</w:t>
      </w:r>
      <w:r w:rsidR="00F45620" w:rsidRPr="00D94503">
        <w:rPr>
          <w:rFonts w:ascii="Times New Roman" w:hAnsi="Times New Roman" w:cs="Times New Roman"/>
          <w:shd w:val="clear" w:color="auto" w:fill="FFFFFF"/>
        </w:rPr>
        <w:t xml:space="preserve"> para conocer el perfil de los jóvenes de educación superior que se encaminan hacia un posgrado</w:t>
      </w:r>
      <w:r w:rsidR="00BB2160">
        <w:rPr>
          <w:rFonts w:ascii="Times New Roman" w:hAnsi="Times New Roman" w:cs="Times New Roman"/>
          <w:shd w:val="clear" w:color="auto" w:fill="FFFFFF"/>
        </w:rPr>
        <w:t>:</w:t>
      </w:r>
    </w:p>
    <w:p w14:paraId="77A63E9E" w14:textId="12F5F7D7" w:rsidR="00753FF0" w:rsidRDefault="00753FF0" w:rsidP="00FF6D96">
      <w:pPr>
        <w:spacing w:line="360" w:lineRule="auto"/>
        <w:ind w:firstLine="708"/>
        <w:jc w:val="both"/>
        <w:rPr>
          <w:rFonts w:ascii="Times New Roman" w:hAnsi="Times New Roman" w:cs="Times New Roman"/>
          <w:shd w:val="clear" w:color="auto" w:fill="FFFFFF"/>
        </w:rPr>
      </w:pPr>
      <w:r w:rsidRPr="00421EB7">
        <w:rPr>
          <w:rFonts w:ascii="Times New Roman" w:hAnsi="Times New Roman" w:cs="Times New Roman"/>
          <w:shd w:val="clear" w:color="auto" w:fill="FFFFFF"/>
        </w:rPr>
        <w:t>H</w:t>
      </w:r>
      <w:r w:rsidR="00BB2160" w:rsidRPr="00421EB7">
        <w:rPr>
          <w:rFonts w:ascii="Times New Roman" w:hAnsi="Times New Roman" w:cs="Times New Roman"/>
          <w:shd w:val="clear" w:color="auto" w:fill="FFFFFF"/>
          <w:vertAlign w:val="subscript"/>
        </w:rPr>
        <w:t>1</w:t>
      </w:r>
      <w:r w:rsidRPr="00D94503">
        <w:rPr>
          <w:rFonts w:ascii="Times New Roman" w:hAnsi="Times New Roman" w:cs="Times New Roman"/>
          <w:i/>
          <w:iCs/>
          <w:shd w:val="clear" w:color="auto" w:fill="FFFFFF"/>
        </w:rPr>
        <w:t>:</w:t>
      </w:r>
      <w:r w:rsidRPr="00D94503">
        <w:rPr>
          <w:rFonts w:ascii="Times New Roman" w:hAnsi="Times New Roman" w:cs="Times New Roman"/>
          <w:shd w:val="clear" w:color="auto" w:fill="FFFFFF"/>
        </w:rPr>
        <w:t xml:space="preserve"> Existe relación entre la edad y el grado educativo de los jóvenes de educación superior que </w:t>
      </w:r>
      <w:r w:rsidR="006A6F6B">
        <w:rPr>
          <w:rFonts w:ascii="Times New Roman" w:hAnsi="Times New Roman" w:cs="Times New Roman"/>
          <w:shd w:val="clear" w:color="auto" w:fill="FFFFFF"/>
        </w:rPr>
        <w:t xml:space="preserve">se </w:t>
      </w:r>
      <w:r w:rsidRPr="00D94503">
        <w:rPr>
          <w:rFonts w:ascii="Times New Roman" w:hAnsi="Times New Roman" w:cs="Times New Roman"/>
          <w:shd w:val="clear" w:color="auto" w:fill="FFFFFF"/>
        </w:rPr>
        <w:t>deciden por una continuidad educativa hacia los posgrados</w:t>
      </w:r>
      <w:r w:rsidR="00937DC7" w:rsidRPr="00D94503">
        <w:rPr>
          <w:rFonts w:ascii="Times New Roman" w:hAnsi="Times New Roman" w:cs="Times New Roman"/>
          <w:shd w:val="clear" w:color="auto" w:fill="FFFFFF"/>
        </w:rPr>
        <w:t>.</w:t>
      </w:r>
    </w:p>
    <w:p w14:paraId="6E275802" w14:textId="77777777" w:rsidR="00873588" w:rsidRDefault="00873588" w:rsidP="00FF6D96">
      <w:pPr>
        <w:spacing w:line="360" w:lineRule="auto"/>
        <w:ind w:firstLine="708"/>
        <w:jc w:val="both"/>
        <w:rPr>
          <w:rFonts w:ascii="Times New Roman" w:hAnsi="Times New Roman" w:cs="Times New Roman"/>
          <w:shd w:val="clear" w:color="auto" w:fill="FFFFFF"/>
        </w:rPr>
      </w:pPr>
    </w:p>
    <w:p w14:paraId="3258A3AE" w14:textId="77777777" w:rsidR="003471DB" w:rsidRPr="00DA11F9" w:rsidRDefault="003471DB" w:rsidP="00421EB7">
      <w:pPr>
        <w:spacing w:line="360" w:lineRule="auto"/>
        <w:jc w:val="center"/>
        <w:rPr>
          <w:rFonts w:ascii="Times New Roman" w:hAnsi="Times New Roman" w:cs="Times New Roman"/>
          <w:b/>
          <w:bCs/>
          <w:sz w:val="28"/>
        </w:rPr>
      </w:pPr>
      <w:r w:rsidRPr="00B218A2">
        <w:rPr>
          <w:rFonts w:ascii="Times New Roman" w:hAnsi="Times New Roman" w:cs="Times New Roman"/>
          <w:b/>
          <w:bCs/>
          <w:sz w:val="28"/>
        </w:rPr>
        <w:t>Justificación</w:t>
      </w:r>
    </w:p>
    <w:p w14:paraId="2FDA7DAA" w14:textId="07B68A79" w:rsidR="001671B4" w:rsidRDefault="00D11263"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E</w:t>
      </w:r>
      <w:r w:rsidR="00254325">
        <w:rPr>
          <w:rFonts w:ascii="Times New Roman" w:hAnsi="Times New Roman" w:cs="Times New Roman"/>
          <w:shd w:val="clear" w:color="auto" w:fill="FFFFFF"/>
        </w:rPr>
        <w:t xml:space="preserve">l </w:t>
      </w:r>
      <w:r w:rsidR="003471DB" w:rsidRPr="00DC6E80">
        <w:rPr>
          <w:rFonts w:ascii="Times New Roman" w:hAnsi="Times New Roman" w:cs="Times New Roman"/>
          <w:shd w:val="clear" w:color="auto" w:fill="FFFFFF"/>
        </w:rPr>
        <w:t xml:space="preserve">nivel superior es un escenario educativo que permite </w:t>
      </w:r>
      <w:r w:rsidR="001C3D4A">
        <w:rPr>
          <w:rFonts w:ascii="Times New Roman" w:hAnsi="Times New Roman" w:cs="Times New Roman"/>
          <w:shd w:val="clear" w:color="auto" w:fill="FFFFFF"/>
        </w:rPr>
        <w:t>fortalecer</w:t>
      </w:r>
      <w:r w:rsidR="003471DB" w:rsidRPr="00DC6E80">
        <w:rPr>
          <w:rFonts w:ascii="Times New Roman" w:hAnsi="Times New Roman" w:cs="Times New Roman"/>
          <w:shd w:val="clear" w:color="auto" w:fill="FFFFFF"/>
        </w:rPr>
        <w:t xml:space="preserve"> los conocimientos</w:t>
      </w:r>
      <w:r w:rsidR="001C3D4A">
        <w:rPr>
          <w:rFonts w:ascii="Times New Roman" w:hAnsi="Times New Roman" w:cs="Times New Roman"/>
          <w:shd w:val="clear" w:color="auto" w:fill="FFFFFF"/>
        </w:rPr>
        <w:t xml:space="preserve"> del estudiante</w:t>
      </w:r>
      <w:r w:rsidR="003471DB" w:rsidRPr="00DC6E80">
        <w:rPr>
          <w:rFonts w:ascii="Times New Roman" w:hAnsi="Times New Roman" w:cs="Times New Roman"/>
          <w:shd w:val="clear" w:color="auto" w:fill="FFFFFF"/>
        </w:rPr>
        <w:t xml:space="preserve"> y </w:t>
      </w:r>
      <w:r w:rsidR="001C3D4A">
        <w:rPr>
          <w:rFonts w:ascii="Times New Roman" w:hAnsi="Times New Roman" w:cs="Times New Roman"/>
          <w:shd w:val="clear" w:color="auto" w:fill="FFFFFF"/>
        </w:rPr>
        <w:t>conduce</w:t>
      </w:r>
      <w:r w:rsidR="003471DB" w:rsidRPr="00DC6E80">
        <w:rPr>
          <w:rFonts w:ascii="Times New Roman" w:hAnsi="Times New Roman" w:cs="Times New Roman"/>
          <w:shd w:val="clear" w:color="auto" w:fill="FFFFFF"/>
        </w:rPr>
        <w:t xml:space="preserve"> hacia una especialización profesional</w:t>
      </w:r>
      <w:r w:rsidR="00F964D1">
        <w:rPr>
          <w:rFonts w:ascii="Times New Roman" w:hAnsi="Times New Roman" w:cs="Times New Roman"/>
          <w:shd w:val="clear" w:color="auto" w:fill="FFFFFF"/>
        </w:rPr>
        <w:t xml:space="preserve"> </w:t>
      </w:r>
      <w:r w:rsidR="00F964D1" w:rsidRPr="00DC6E80">
        <w:rPr>
          <w:rFonts w:ascii="Times New Roman" w:hAnsi="Times New Roman" w:cs="Times New Roman"/>
          <w:noProof/>
          <w:shd w:val="clear" w:color="auto" w:fill="FFFFFF"/>
        </w:rPr>
        <w:t>(Silas, 2012)</w:t>
      </w:r>
      <w:r w:rsidR="003471DB" w:rsidRPr="00DC6E80">
        <w:rPr>
          <w:rFonts w:ascii="Times New Roman" w:hAnsi="Times New Roman" w:cs="Times New Roman"/>
          <w:shd w:val="clear" w:color="auto" w:fill="FFFFFF"/>
        </w:rPr>
        <w:t>.</w:t>
      </w:r>
      <w:r w:rsidR="003916B9" w:rsidRPr="00DC6E80">
        <w:rPr>
          <w:rFonts w:ascii="Times New Roman" w:hAnsi="Times New Roman" w:cs="Times New Roman"/>
          <w:shd w:val="clear" w:color="auto" w:fill="FFFFFF"/>
        </w:rPr>
        <w:t xml:space="preserve"> </w:t>
      </w:r>
      <w:r w:rsidR="001671B4">
        <w:rPr>
          <w:rFonts w:ascii="Times New Roman" w:hAnsi="Times New Roman" w:cs="Times New Roman"/>
          <w:shd w:val="clear" w:color="auto" w:fill="FFFFFF"/>
        </w:rPr>
        <w:t>Es aquí en donde los profesores juegan un papel fundamental para el fomento de las vocaciones científicas</w:t>
      </w:r>
      <w:r w:rsidR="00BB6F67">
        <w:rPr>
          <w:rFonts w:ascii="Times New Roman" w:hAnsi="Times New Roman" w:cs="Times New Roman"/>
          <w:shd w:val="clear" w:color="auto" w:fill="FFFFFF"/>
        </w:rPr>
        <w:t>.</w:t>
      </w:r>
      <w:r w:rsidR="001671B4">
        <w:rPr>
          <w:rFonts w:ascii="Times New Roman" w:hAnsi="Times New Roman" w:cs="Times New Roman"/>
          <w:shd w:val="clear" w:color="auto" w:fill="FFFFFF"/>
        </w:rPr>
        <w:t xml:space="preserve"> </w:t>
      </w:r>
      <w:r w:rsidR="00BB6F67">
        <w:rPr>
          <w:rFonts w:ascii="Times New Roman" w:hAnsi="Times New Roman" w:cs="Times New Roman"/>
          <w:shd w:val="clear" w:color="auto" w:fill="FFFFFF"/>
        </w:rPr>
        <w:t xml:space="preserve">A través de </w:t>
      </w:r>
      <w:r w:rsidR="001A0374">
        <w:rPr>
          <w:rFonts w:ascii="Times New Roman" w:hAnsi="Times New Roman" w:cs="Times New Roman"/>
          <w:shd w:val="clear" w:color="auto" w:fill="FFFFFF"/>
        </w:rPr>
        <w:t>su</w:t>
      </w:r>
      <w:r w:rsidR="001671B4">
        <w:rPr>
          <w:rFonts w:ascii="Times New Roman" w:hAnsi="Times New Roman" w:cs="Times New Roman"/>
          <w:shd w:val="clear" w:color="auto" w:fill="FFFFFF"/>
        </w:rPr>
        <w:t xml:space="preserve"> participación </w:t>
      </w:r>
      <w:r w:rsidR="001A0374">
        <w:rPr>
          <w:rFonts w:ascii="Times New Roman" w:hAnsi="Times New Roman" w:cs="Times New Roman"/>
          <w:shd w:val="clear" w:color="auto" w:fill="FFFFFF"/>
        </w:rPr>
        <w:t>e</w:t>
      </w:r>
      <w:r w:rsidR="000E3866">
        <w:rPr>
          <w:rFonts w:ascii="Times New Roman" w:hAnsi="Times New Roman" w:cs="Times New Roman"/>
          <w:shd w:val="clear" w:color="auto" w:fill="FFFFFF"/>
        </w:rPr>
        <w:t xml:space="preserve"> </w:t>
      </w:r>
      <w:r w:rsidR="001671B4">
        <w:rPr>
          <w:rFonts w:ascii="Times New Roman" w:hAnsi="Times New Roman" w:cs="Times New Roman"/>
          <w:shd w:val="clear" w:color="auto" w:fill="FFFFFF"/>
        </w:rPr>
        <w:t>integración</w:t>
      </w:r>
      <w:r w:rsidR="000E3866">
        <w:rPr>
          <w:rFonts w:ascii="Times New Roman" w:hAnsi="Times New Roman" w:cs="Times New Roman"/>
          <w:shd w:val="clear" w:color="auto" w:fill="FFFFFF"/>
        </w:rPr>
        <w:t xml:space="preserve">, </w:t>
      </w:r>
      <w:r w:rsidR="001A0374">
        <w:rPr>
          <w:rFonts w:ascii="Times New Roman" w:hAnsi="Times New Roman" w:cs="Times New Roman"/>
          <w:shd w:val="clear" w:color="auto" w:fill="FFFFFF"/>
        </w:rPr>
        <w:t xml:space="preserve">vinculándose en el rol del </w:t>
      </w:r>
      <w:r w:rsidR="001A0374">
        <w:rPr>
          <w:rFonts w:ascii="Times New Roman" w:hAnsi="Times New Roman" w:cs="Times New Roman"/>
          <w:shd w:val="clear" w:color="auto" w:fill="FFFFFF"/>
        </w:rPr>
        <w:lastRenderedPageBreak/>
        <w:t>conocimiento</w:t>
      </w:r>
      <w:r w:rsidR="00BB6F67">
        <w:rPr>
          <w:rFonts w:ascii="Times New Roman" w:hAnsi="Times New Roman" w:cs="Times New Roman"/>
          <w:shd w:val="clear" w:color="auto" w:fill="FFFFFF"/>
        </w:rPr>
        <w:t xml:space="preserve"> y</w:t>
      </w:r>
      <w:r w:rsidR="001A0374">
        <w:rPr>
          <w:rFonts w:ascii="Times New Roman" w:hAnsi="Times New Roman" w:cs="Times New Roman"/>
          <w:shd w:val="clear" w:color="auto" w:fill="FFFFFF"/>
        </w:rPr>
        <w:t xml:space="preserve"> complementariamente con la apreciación y difusión de las actividades, propician el interés de los jóvenes</w:t>
      </w:r>
      <w:r w:rsidR="00BB6F67">
        <w:rPr>
          <w:rFonts w:ascii="Times New Roman" w:hAnsi="Times New Roman" w:cs="Times New Roman"/>
          <w:shd w:val="clear" w:color="auto" w:fill="FFFFFF"/>
        </w:rPr>
        <w:t xml:space="preserve">. Con </w:t>
      </w:r>
      <w:r w:rsidR="001A0374">
        <w:rPr>
          <w:rFonts w:ascii="Times New Roman" w:hAnsi="Times New Roman" w:cs="Times New Roman"/>
          <w:shd w:val="clear" w:color="auto" w:fill="FFFFFF"/>
        </w:rPr>
        <w:t xml:space="preserve">la suma de esfuerzos, </w:t>
      </w:r>
      <w:r w:rsidR="00C21230">
        <w:rPr>
          <w:rFonts w:ascii="Times New Roman" w:hAnsi="Times New Roman" w:cs="Times New Roman"/>
          <w:shd w:val="clear" w:color="auto" w:fill="FFFFFF"/>
        </w:rPr>
        <w:t xml:space="preserve">se </w:t>
      </w:r>
      <w:r w:rsidR="001A0374">
        <w:rPr>
          <w:rFonts w:ascii="Times New Roman" w:hAnsi="Times New Roman" w:cs="Times New Roman"/>
          <w:shd w:val="clear" w:color="auto" w:fill="FFFFFF"/>
        </w:rPr>
        <w:t>reduc</w:t>
      </w:r>
      <w:r w:rsidR="00C21230">
        <w:rPr>
          <w:rFonts w:ascii="Times New Roman" w:hAnsi="Times New Roman" w:cs="Times New Roman"/>
          <w:shd w:val="clear" w:color="auto" w:fill="FFFFFF"/>
        </w:rPr>
        <w:t>e</w:t>
      </w:r>
      <w:r w:rsidR="001A0374">
        <w:rPr>
          <w:rFonts w:ascii="Times New Roman" w:hAnsi="Times New Roman" w:cs="Times New Roman"/>
          <w:shd w:val="clear" w:color="auto" w:fill="FFFFFF"/>
        </w:rPr>
        <w:t xml:space="preserve"> la posibilidad de una</w:t>
      </w:r>
      <w:r w:rsidR="000E3866">
        <w:rPr>
          <w:rFonts w:ascii="Times New Roman" w:hAnsi="Times New Roman" w:cs="Times New Roman"/>
          <w:shd w:val="clear" w:color="auto" w:fill="FFFFFF"/>
        </w:rPr>
        <w:t xml:space="preserve"> crea</w:t>
      </w:r>
      <w:r w:rsidR="001A0374">
        <w:rPr>
          <w:rFonts w:ascii="Times New Roman" w:hAnsi="Times New Roman" w:cs="Times New Roman"/>
          <w:shd w:val="clear" w:color="auto" w:fill="FFFFFF"/>
        </w:rPr>
        <w:t>ción</w:t>
      </w:r>
      <w:r w:rsidR="000E3866">
        <w:rPr>
          <w:rFonts w:ascii="Times New Roman" w:hAnsi="Times New Roman" w:cs="Times New Roman"/>
          <w:shd w:val="clear" w:color="auto" w:fill="FFFFFF"/>
        </w:rPr>
        <w:t xml:space="preserve"> </w:t>
      </w:r>
      <w:r w:rsidR="00C21230">
        <w:rPr>
          <w:rFonts w:ascii="Times New Roman" w:hAnsi="Times New Roman" w:cs="Times New Roman"/>
          <w:shd w:val="clear" w:color="auto" w:fill="FFFFFF"/>
        </w:rPr>
        <w:t xml:space="preserve">de </w:t>
      </w:r>
      <w:r w:rsidR="000E3866">
        <w:rPr>
          <w:rFonts w:ascii="Times New Roman" w:hAnsi="Times New Roman" w:cs="Times New Roman"/>
          <w:shd w:val="clear" w:color="auto" w:fill="FFFFFF"/>
        </w:rPr>
        <w:t xml:space="preserve">estereotipos </w:t>
      </w:r>
      <w:r w:rsidR="001A0374">
        <w:rPr>
          <w:rFonts w:ascii="Times New Roman" w:hAnsi="Times New Roman" w:cs="Times New Roman"/>
          <w:shd w:val="clear" w:color="auto" w:fill="FFFFFF"/>
        </w:rPr>
        <w:t xml:space="preserve">y </w:t>
      </w:r>
      <w:r w:rsidR="00C21230">
        <w:rPr>
          <w:rFonts w:ascii="Times New Roman" w:hAnsi="Times New Roman" w:cs="Times New Roman"/>
          <w:shd w:val="clear" w:color="auto" w:fill="FFFFFF"/>
        </w:rPr>
        <w:t>un distanciamiento</w:t>
      </w:r>
      <w:r w:rsidR="001A0374">
        <w:rPr>
          <w:rFonts w:ascii="Times New Roman" w:hAnsi="Times New Roman" w:cs="Times New Roman"/>
          <w:shd w:val="clear" w:color="auto" w:fill="FFFFFF"/>
        </w:rPr>
        <w:t xml:space="preserve"> </w:t>
      </w:r>
      <w:r w:rsidR="000E3866">
        <w:rPr>
          <w:rFonts w:ascii="Times New Roman" w:hAnsi="Times New Roman" w:cs="Times New Roman"/>
          <w:shd w:val="clear" w:color="auto" w:fill="FFFFFF"/>
        </w:rPr>
        <w:t>de la ciencia e investigación</w:t>
      </w:r>
      <w:r w:rsidR="001D01D9">
        <w:rPr>
          <w:rFonts w:ascii="Times New Roman" w:hAnsi="Times New Roman" w:cs="Times New Roman"/>
          <w:shd w:val="clear" w:color="auto" w:fill="FFFFFF"/>
        </w:rPr>
        <w:t xml:space="preserve">, de acuerdo con </w:t>
      </w:r>
      <w:r w:rsidR="000208D2">
        <w:rPr>
          <w:rFonts w:ascii="Times New Roman" w:hAnsi="Times New Roman" w:cs="Times New Roman"/>
          <w:shd w:val="clear" w:color="auto" w:fill="FFFFFF"/>
        </w:rPr>
        <w:t xml:space="preserve">Couso </w:t>
      </w:r>
      <w:r w:rsidR="00BB6F67">
        <w:rPr>
          <w:rFonts w:ascii="Times New Roman" w:hAnsi="Times New Roman" w:cs="Times New Roman"/>
          <w:shd w:val="clear" w:color="auto" w:fill="FFFFFF"/>
        </w:rPr>
        <w:t>(</w:t>
      </w:r>
      <w:r w:rsidR="000208D2">
        <w:rPr>
          <w:rFonts w:ascii="Times New Roman" w:hAnsi="Times New Roman" w:cs="Times New Roman"/>
          <w:shd w:val="clear" w:color="auto" w:fill="FFFFFF"/>
        </w:rPr>
        <w:t xml:space="preserve">2018, citado </w:t>
      </w:r>
      <w:r w:rsidR="00C21230">
        <w:rPr>
          <w:rFonts w:ascii="Times New Roman" w:hAnsi="Times New Roman" w:cs="Times New Roman"/>
          <w:shd w:val="clear" w:color="auto" w:fill="FFFFFF"/>
        </w:rPr>
        <w:t>en</w:t>
      </w:r>
      <w:r w:rsidR="000208D2">
        <w:rPr>
          <w:rFonts w:ascii="Times New Roman" w:hAnsi="Times New Roman" w:cs="Times New Roman"/>
          <w:shd w:val="clear" w:color="auto" w:fill="FFFFFF"/>
        </w:rPr>
        <w:t xml:space="preserve"> Fundación Lilly, 2018)</w:t>
      </w:r>
      <w:r w:rsidR="001671B4">
        <w:rPr>
          <w:rFonts w:ascii="Times New Roman" w:hAnsi="Times New Roman" w:cs="Times New Roman"/>
          <w:shd w:val="clear" w:color="auto" w:fill="FFFFFF"/>
        </w:rPr>
        <w:t>.</w:t>
      </w:r>
    </w:p>
    <w:p w14:paraId="1E87B032" w14:textId="5072CDD7" w:rsidR="006B56CD" w:rsidRDefault="003471DB" w:rsidP="00FF6D96">
      <w:pPr>
        <w:spacing w:line="360" w:lineRule="auto"/>
        <w:ind w:firstLine="708"/>
        <w:jc w:val="both"/>
        <w:rPr>
          <w:rFonts w:ascii="Times New Roman" w:hAnsi="Times New Roman" w:cs="Times New Roman"/>
          <w:shd w:val="clear" w:color="auto" w:fill="FFFFFF"/>
        </w:rPr>
      </w:pPr>
      <w:r w:rsidRPr="00D94503">
        <w:rPr>
          <w:rFonts w:ascii="Times New Roman" w:hAnsi="Times New Roman" w:cs="Times New Roman"/>
          <w:shd w:val="clear" w:color="auto" w:fill="FFFFFF"/>
        </w:rPr>
        <w:t>Se considera</w:t>
      </w:r>
      <w:r w:rsidR="001C3D4A" w:rsidRPr="00D94503">
        <w:rPr>
          <w:rFonts w:ascii="Times New Roman" w:hAnsi="Times New Roman" w:cs="Times New Roman"/>
          <w:shd w:val="clear" w:color="auto" w:fill="FFFFFF"/>
        </w:rPr>
        <w:t xml:space="preserve"> que </w:t>
      </w:r>
      <w:r w:rsidR="003D6B4A" w:rsidRPr="00D94503">
        <w:rPr>
          <w:rFonts w:ascii="Times New Roman" w:hAnsi="Times New Roman" w:cs="Times New Roman"/>
          <w:shd w:val="clear" w:color="auto" w:fill="FFFFFF"/>
        </w:rPr>
        <w:t xml:space="preserve">la estimulación </w:t>
      </w:r>
      <w:r w:rsidR="001C3D4A" w:rsidRPr="00D94503">
        <w:rPr>
          <w:rFonts w:ascii="Times New Roman" w:hAnsi="Times New Roman" w:cs="Times New Roman"/>
          <w:shd w:val="clear" w:color="auto" w:fill="FFFFFF"/>
        </w:rPr>
        <w:t>en la educación superior</w:t>
      </w:r>
      <w:r w:rsidRPr="00D94503">
        <w:rPr>
          <w:rFonts w:ascii="Times New Roman" w:hAnsi="Times New Roman" w:cs="Times New Roman"/>
          <w:shd w:val="clear" w:color="auto" w:fill="FFFFFF"/>
        </w:rPr>
        <w:t xml:space="preserve"> </w:t>
      </w:r>
      <w:r w:rsidR="001C3D4A" w:rsidRPr="00D94503">
        <w:rPr>
          <w:rFonts w:ascii="Times New Roman" w:hAnsi="Times New Roman" w:cs="Times New Roman"/>
          <w:shd w:val="clear" w:color="auto" w:fill="FFFFFF"/>
        </w:rPr>
        <w:t>en especialidades como</w:t>
      </w:r>
      <w:r w:rsidRPr="00D94503">
        <w:rPr>
          <w:rFonts w:ascii="Times New Roman" w:hAnsi="Times New Roman" w:cs="Times New Roman"/>
          <w:shd w:val="clear" w:color="auto" w:fill="FFFFFF"/>
        </w:rPr>
        <w:t xml:space="preserve"> las humanidades, las artes, las ciencias y las tecnologías </w:t>
      </w:r>
      <w:r w:rsidR="00D94503" w:rsidRPr="00D94503">
        <w:rPr>
          <w:rFonts w:ascii="Times New Roman" w:hAnsi="Times New Roman" w:cs="Times New Roman"/>
          <w:shd w:val="clear" w:color="auto" w:fill="FFFFFF"/>
        </w:rPr>
        <w:t>motivan</w:t>
      </w:r>
      <w:r w:rsidR="003D6B4A" w:rsidRPr="00D94503">
        <w:rPr>
          <w:rFonts w:ascii="Times New Roman" w:hAnsi="Times New Roman" w:cs="Times New Roman"/>
          <w:shd w:val="clear" w:color="auto" w:fill="FFFFFF"/>
        </w:rPr>
        <w:t xml:space="preserve"> el </w:t>
      </w:r>
      <w:r w:rsidR="00AF3442" w:rsidRPr="00D94503">
        <w:rPr>
          <w:rFonts w:ascii="Times New Roman" w:hAnsi="Times New Roman" w:cs="Times New Roman"/>
          <w:shd w:val="clear" w:color="auto" w:fill="FFFFFF"/>
        </w:rPr>
        <w:t>crecimiento</w:t>
      </w:r>
      <w:r w:rsidR="003D6B4A" w:rsidRPr="00D94503">
        <w:rPr>
          <w:rFonts w:ascii="Times New Roman" w:hAnsi="Times New Roman" w:cs="Times New Roman"/>
          <w:shd w:val="clear" w:color="auto" w:fill="FFFFFF"/>
        </w:rPr>
        <w:t xml:space="preserve"> de la competitividad y el empleo requeridos en la economía basada en el conocimiento</w:t>
      </w:r>
      <w:r w:rsidRPr="00D94503">
        <w:rPr>
          <w:rFonts w:ascii="Times New Roman" w:hAnsi="Times New Roman" w:cs="Times New Roman"/>
          <w:shd w:val="clear" w:color="auto" w:fill="FFFFFF"/>
        </w:rPr>
        <w:t xml:space="preserve">. </w:t>
      </w:r>
      <w:r w:rsidR="008F4E73" w:rsidRPr="00D94503">
        <w:rPr>
          <w:rFonts w:ascii="Times New Roman" w:hAnsi="Times New Roman" w:cs="Times New Roman"/>
          <w:shd w:val="clear" w:color="auto" w:fill="FFFFFF"/>
        </w:rPr>
        <w:t>E</w:t>
      </w:r>
      <w:r w:rsidR="008F4E73" w:rsidRPr="00D94503">
        <w:rPr>
          <w:rFonts w:ascii="Times New Roman" w:hAnsi="Times New Roman" w:cs="Times New Roman"/>
        </w:rPr>
        <w:t xml:space="preserve">l avance tecnológico, la industrialización y los escenarios comerciales demandan un perfil profesional cualificado asociada a las áreas de las ciencias, tecnología, ingeniería y matemáticas, pero las competencias de los jóvenes preocupan de forma internacional, </w:t>
      </w:r>
      <w:r w:rsidR="007843E2">
        <w:rPr>
          <w:rFonts w:ascii="Times New Roman" w:hAnsi="Times New Roman" w:cs="Times New Roman"/>
        </w:rPr>
        <w:t>por lo que han pasado a ser</w:t>
      </w:r>
      <w:r w:rsidR="008F4E73" w:rsidRPr="00D94503">
        <w:rPr>
          <w:rFonts w:ascii="Times New Roman" w:hAnsi="Times New Roman" w:cs="Times New Roman"/>
        </w:rPr>
        <w:t xml:space="preserve"> un área de oportunidad por atender (Lupión</w:t>
      </w:r>
      <w:r w:rsidR="00104363">
        <w:rPr>
          <w:rFonts w:ascii="Times New Roman" w:hAnsi="Times New Roman" w:cs="Times New Roman"/>
        </w:rPr>
        <w:t xml:space="preserve">, </w:t>
      </w:r>
      <w:r w:rsidR="00104363" w:rsidRPr="009A217D">
        <w:rPr>
          <w:rFonts w:ascii="Times New Roman" w:hAnsi="Times New Roman" w:cs="Times New Roman"/>
          <w:noProof/>
          <w:lang w:val="es-ES"/>
        </w:rPr>
        <w:t>Franco</w:t>
      </w:r>
      <w:r w:rsidR="00104363">
        <w:rPr>
          <w:rFonts w:ascii="Times New Roman" w:hAnsi="Times New Roman" w:cs="Times New Roman"/>
          <w:noProof/>
          <w:lang w:val="es-ES"/>
        </w:rPr>
        <w:t xml:space="preserve"> </w:t>
      </w:r>
      <w:r w:rsidR="00104363" w:rsidRPr="009A217D">
        <w:rPr>
          <w:rFonts w:ascii="Times New Roman" w:hAnsi="Times New Roman" w:cs="Times New Roman"/>
          <w:noProof/>
          <w:lang w:val="es-ES"/>
        </w:rPr>
        <w:t>y Girón</w:t>
      </w:r>
      <w:r w:rsidR="00104363">
        <w:rPr>
          <w:rFonts w:ascii="Times New Roman" w:hAnsi="Times New Roman" w:cs="Times New Roman"/>
          <w:noProof/>
          <w:lang w:val="es-ES"/>
        </w:rPr>
        <w:t>,</w:t>
      </w:r>
      <w:r w:rsidR="008F4E73" w:rsidRPr="00D94503">
        <w:rPr>
          <w:rFonts w:ascii="Times New Roman" w:hAnsi="Times New Roman" w:cs="Times New Roman"/>
        </w:rPr>
        <w:t xml:space="preserve"> 2019</w:t>
      </w:r>
      <w:r w:rsidR="007843E2">
        <w:rPr>
          <w:rFonts w:ascii="Times New Roman" w:hAnsi="Times New Roman" w:cs="Times New Roman"/>
        </w:rPr>
        <w:t>;</w:t>
      </w:r>
      <w:r w:rsidR="007843E2" w:rsidRPr="007843E2">
        <w:rPr>
          <w:rFonts w:ascii="Times New Roman" w:hAnsi="Times New Roman" w:cs="Times New Roman"/>
        </w:rPr>
        <w:t xml:space="preserve"> </w:t>
      </w:r>
      <w:r w:rsidR="009A71BB">
        <w:rPr>
          <w:rFonts w:ascii="Times New Roman" w:hAnsi="Times New Roman" w:cs="Times New Roman"/>
        </w:rPr>
        <w:t xml:space="preserve">de </w:t>
      </w:r>
      <w:r w:rsidR="007843E2" w:rsidRPr="00D94503">
        <w:rPr>
          <w:rFonts w:ascii="Times New Roman" w:hAnsi="Times New Roman" w:cs="Times New Roman"/>
        </w:rPr>
        <w:t>Pro y Pérez</w:t>
      </w:r>
      <w:r w:rsidR="009A71BB">
        <w:rPr>
          <w:rFonts w:ascii="Times New Roman" w:hAnsi="Times New Roman" w:cs="Times New Roman"/>
        </w:rPr>
        <w:t>,</w:t>
      </w:r>
      <w:r w:rsidR="007843E2" w:rsidRPr="00D94503">
        <w:rPr>
          <w:rFonts w:ascii="Times New Roman" w:hAnsi="Times New Roman" w:cs="Times New Roman"/>
        </w:rPr>
        <w:t xml:space="preserve"> 2014; Vázquez y Manassero</w:t>
      </w:r>
      <w:r w:rsidR="007843E2">
        <w:rPr>
          <w:rFonts w:ascii="Times New Roman" w:hAnsi="Times New Roman" w:cs="Times New Roman"/>
        </w:rPr>
        <w:t>,</w:t>
      </w:r>
      <w:r w:rsidR="007843E2" w:rsidRPr="00D94503">
        <w:rPr>
          <w:rFonts w:ascii="Times New Roman" w:hAnsi="Times New Roman" w:cs="Times New Roman"/>
        </w:rPr>
        <w:t xml:space="preserve"> 2009</w:t>
      </w:r>
      <w:r w:rsidR="008F4E73" w:rsidRPr="00D94503">
        <w:rPr>
          <w:rFonts w:ascii="Times New Roman" w:hAnsi="Times New Roman" w:cs="Times New Roman"/>
        </w:rPr>
        <w:t xml:space="preserve">). </w:t>
      </w:r>
      <w:r w:rsidR="00097B44" w:rsidRPr="00D94503">
        <w:rPr>
          <w:rFonts w:ascii="Times New Roman" w:hAnsi="Times New Roman" w:cs="Times New Roman"/>
        </w:rPr>
        <w:t>Considerando que el c</w:t>
      </w:r>
      <w:r w:rsidR="00A25B2E" w:rsidRPr="00D94503">
        <w:rPr>
          <w:rFonts w:ascii="Times New Roman" w:hAnsi="Times New Roman" w:cs="Times New Roman"/>
        </w:rPr>
        <w:t>onocimiento</w:t>
      </w:r>
      <w:r w:rsidR="00097B44" w:rsidRPr="00D94503">
        <w:rPr>
          <w:rFonts w:ascii="Times New Roman" w:hAnsi="Times New Roman" w:cs="Times New Roman"/>
        </w:rPr>
        <w:t xml:space="preserve"> avanza a mayor velocidad en materia de ciencia, tecnología e innovación, se va requiriendo que las instituciones diseñen programas </w:t>
      </w:r>
      <w:r w:rsidR="007A2154" w:rsidRPr="00D94503">
        <w:rPr>
          <w:rFonts w:ascii="Times New Roman" w:hAnsi="Times New Roman" w:cs="Times New Roman"/>
        </w:rPr>
        <w:t>y</w:t>
      </w:r>
      <w:r w:rsidR="00097B44" w:rsidRPr="00D94503">
        <w:rPr>
          <w:rFonts w:ascii="Times New Roman" w:hAnsi="Times New Roman" w:cs="Times New Roman"/>
        </w:rPr>
        <w:t xml:space="preserve"> especialidades </w:t>
      </w:r>
      <w:r w:rsidR="00D36AD4" w:rsidRPr="00D94503">
        <w:rPr>
          <w:rFonts w:ascii="Times New Roman" w:hAnsi="Times New Roman" w:cs="Times New Roman"/>
        </w:rPr>
        <w:t xml:space="preserve">para promover una cultura en un espacio diferente al de las aulas, </w:t>
      </w:r>
      <w:r w:rsidR="00E00794" w:rsidRPr="00D94503">
        <w:rPr>
          <w:rFonts w:ascii="Times New Roman" w:hAnsi="Times New Roman" w:cs="Times New Roman"/>
        </w:rPr>
        <w:t xml:space="preserve">en donde </w:t>
      </w:r>
      <w:r w:rsidR="006308CC" w:rsidRPr="00D94503">
        <w:rPr>
          <w:rFonts w:ascii="Times New Roman" w:hAnsi="Times New Roman" w:cs="Times New Roman"/>
        </w:rPr>
        <w:t>la difusión de las actividades establecidas juegue</w:t>
      </w:r>
      <w:r w:rsidR="005F38B8" w:rsidRPr="00D94503">
        <w:rPr>
          <w:rFonts w:ascii="Times New Roman" w:hAnsi="Times New Roman" w:cs="Times New Roman"/>
        </w:rPr>
        <w:t xml:space="preserve"> un papel fundamental para llegar </w:t>
      </w:r>
      <w:r w:rsidR="00AF3442" w:rsidRPr="00D94503">
        <w:rPr>
          <w:rFonts w:ascii="Times New Roman" w:hAnsi="Times New Roman" w:cs="Times New Roman"/>
        </w:rPr>
        <w:t>hacia la juventud</w:t>
      </w:r>
      <w:r w:rsidR="00D36AD4" w:rsidRPr="00D94503">
        <w:rPr>
          <w:rFonts w:ascii="Times New Roman" w:hAnsi="Times New Roman" w:cs="Times New Roman"/>
        </w:rPr>
        <w:t xml:space="preserve"> (Martín y Parejo</w:t>
      </w:r>
      <w:r w:rsidR="00960DFB" w:rsidRPr="00D94503">
        <w:rPr>
          <w:rFonts w:ascii="Times New Roman" w:hAnsi="Times New Roman" w:cs="Times New Roman"/>
        </w:rPr>
        <w:t>,</w:t>
      </w:r>
      <w:r w:rsidR="00D36AD4" w:rsidRPr="00D94503">
        <w:rPr>
          <w:rFonts w:ascii="Times New Roman" w:hAnsi="Times New Roman" w:cs="Times New Roman"/>
        </w:rPr>
        <w:t xml:space="preserve"> 2016</w:t>
      </w:r>
      <w:r w:rsidR="005F38B8" w:rsidRPr="00D94503">
        <w:rPr>
          <w:rFonts w:ascii="Times New Roman" w:hAnsi="Times New Roman" w:cs="Times New Roman"/>
        </w:rPr>
        <w:t>; Martín,</w:t>
      </w:r>
      <w:r w:rsidR="00274F24">
        <w:rPr>
          <w:rFonts w:ascii="Times New Roman" w:hAnsi="Times New Roman" w:cs="Times New Roman"/>
        </w:rPr>
        <w:t xml:space="preserve"> </w:t>
      </w:r>
      <w:r w:rsidR="00274F24" w:rsidRPr="009A217D">
        <w:rPr>
          <w:rFonts w:ascii="Times New Roman" w:hAnsi="Times New Roman" w:cs="Times New Roman"/>
        </w:rPr>
        <w:t>Parejo</w:t>
      </w:r>
      <w:r w:rsidR="00274F24">
        <w:rPr>
          <w:rFonts w:ascii="Times New Roman" w:hAnsi="Times New Roman" w:cs="Times New Roman"/>
        </w:rPr>
        <w:t xml:space="preserve"> </w:t>
      </w:r>
      <w:r w:rsidR="00274F24" w:rsidRPr="009A217D">
        <w:rPr>
          <w:rFonts w:ascii="Times New Roman" w:hAnsi="Times New Roman" w:cs="Times New Roman"/>
        </w:rPr>
        <w:t>y Vivas</w:t>
      </w:r>
      <w:r w:rsidR="00274F24">
        <w:rPr>
          <w:rFonts w:ascii="Times New Roman" w:hAnsi="Times New Roman" w:cs="Times New Roman"/>
        </w:rPr>
        <w:t>,</w:t>
      </w:r>
      <w:r w:rsidR="005F38B8" w:rsidRPr="00D94503">
        <w:rPr>
          <w:rFonts w:ascii="Times New Roman" w:hAnsi="Times New Roman" w:cs="Times New Roman"/>
        </w:rPr>
        <w:t xml:space="preserve"> 2018</w:t>
      </w:r>
      <w:r w:rsidR="00085E4E">
        <w:rPr>
          <w:rFonts w:ascii="Times New Roman" w:hAnsi="Times New Roman" w:cs="Times New Roman"/>
        </w:rPr>
        <w:t xml:space="preserve">; </w:t>
      </w:r>
      <w:r w:rsidR="00085E4E" w:rsidRPr="00D94503">
        <w:rPr>
          <w:rFonts w:ascii="Times New Roman" w:hAnsi="Times New Roman" w:cs="Times New Roman"/>
        </w:rPr>
        <w:t>Tohar</w:t>
      </w:r>
      <w:r w:rsidR="000D2EF8">
        <w:rPr>
          <w:rFonts w:ascii="Times New Roman" w:hAnsi="Times New Roman" w:cs="Times New Roman"/>
        </w:rPr>
        <w:t>i</w:t>
      </w:r>
      <w:r w:rsidR="00085E4E" w:rsidRPr="00D94503">
        <w:rPr>
          <w:rFonts w:ascii="Times New Roman" w:hAnsi="Times New Roman" w:cs="Times New Roman"/>
        </w:rPr>
        <w:t>a, 2010</w:t>
      </w:r>
      <w:r w:rsidR="00D36AD4" w:rsidRPr="00D94503">
        <w:rPr>
          <w:rFonts w:ascii="Times New Roman" w:hAnsi="Times New Roman" w:cs="Times New Roman"/>
        </w:rPr>
        <w:t>).</w:t>
      </w:r>
      <w:r w:rsidR="00097B44" w:rsidRPr="00D94503">
        <w:rPr>
          <w:rFonts w:ascii="Times New Roman" w:hAnsi="Times New Roman" w:cs="Times New Roman"/>
        </w:rPr>
        <w:t xml:space="preserve"> </w:t>
      </w:r>
    </w:p>
    <w:p w14:paraId="34DBA100" w14:textId="5D6D8F58" w:rsidR="00EA5239" w:rsidRDefault="006B56CD" w:rsidP="00FF6D96">
      <w:pPr>
        <w:spacing w:line="360" w:lineRule="auto"/>
        <w:ind w:firstLine="708"/>
        <w:jc w:val="both"/>
        <w:rPr>
          <w:rFonts w:ascii="Times New Roman" w:hAnsi="Times New Roman" w:cs="Times New Roman"/>
        </w:rPr>
      </w:pPr>
      <w:r>
        <w:rPr>
          <w:rFonts w:ascii="Times New Roman" w:hAnsi="Times New Roman" w:cs="Times New Roman"/>
          <w:shd w:val="clear" w:color="auto" w:fill="FFFFFF"/>
        </w:rPr>
        <w:t>R</w:t>
      </w:r>
      <w:r w:rsidRPr="00D94503">
        <w:rPr>
          <w:rFonts w:ascii="Times New Roman" w:hAnsi="Times New Roman" w:cs="Times New Roman"/>
          <w:shd w:val="clear" w:color="auto" w:fill="FFFFFF"/>
        </w:rPr>
        <w:t xml:space="preserve">especto </w:t>
      </w:r>
      <w:r>
        <w:rPr>
          <w:rFonts w:ascii="Times New Roman" w:hAnsi="Times New Roman" w:cs="Times New Roman"/>
          <w:shd w:val="clear" w:color="auto" w:fill="FFFFFF"/>
        </w:rPr>
        <w:t>a</w:t>
      </w:r>
      <w:r w:rsidRPr="00D94503">
        <w:rPr>
          <w:rFonts w:ascii="Times New Roman" w:hAnsi="Times New Roman" w:cs="Times New Roman"/>
          <w:shd w:val="clear" w:color="auto" w:fill="FFFFFF"/>
        </w:rPr>
        <w:t xml:space="preserve"> </w:t>
      </w:r>
      <w:r w:rsidR="003471DB" w:rsidRPr="00D94503">
        <w:rPr>
          <w:rFonts w:ascii="Times New Roman" w:hAnsi="Times New Roman" w:cs="Times New Roman"/>
          <w:shd w:val="clear" w:color="auto" w:fill="FFFFFF"/>
        </w:rPr>
        <w:t xml:space="preserve">la importancia que tiene </w:t>
      </w:r>
      <w:r w:rsidR="005F38B8" w:rsidRPr="00D94503">
        <w:rPr>
          <w:rFonts w:ascii="Times New Roman" w:hAnsi="Times New Roman" w:cs="Times New Roman"/>
          <w:shd w:val="clear" w:color="auto" w:fill="FFFFFF"/>
        </w:rPr>
        <w:t xml:space="preserve">la finalización de </w:t>
      </w:r>
      <w:r w:rsidR="00844283" w:rsidRPr="00D94503">
        <w:rPr>
          <w:rFonts w:ascii="Times New Roman" w:hAnsi="Times New Roman" w:cs="Times New Roman"/>
          <w:shd w:val="clear" w:color="auto" w:fill="FFFFFF"/>
        </w:rPr>
        <w:t xml:space="preserve">los estudios </w:t>
      </w:r>
      <w:r w:rsidR="005F38B8" w:rsidRPr="00D94503">
        <w:rPr>
          <w:rFonts w:ascii="Times New Roman" w:hAnsi="Times New Roman" w:cs="Times New Roman"/>
          <w:shd w:val="clear" w:color="auto" w:fill="FFFFFF"/>
        </w:rPr>
        <w:t>profesionales</w:t>
      </w:r>
      <w:r>
        <w:rPr>
          <w:rFonts w:ascii="Times New Roman" w:hAnsi="Times New Roman" w:cs="Times New Roman"/>
          <w:shd w:val="clear" w:color="auto" w:fill="FFFFFF"/>
        </w:rPr>
        <w:t>,</w:t>
      </w:r>
      <w:r w:rsidR="003471DB" w:rsidRPr="00D94503">
        <w:rPr>
          <w:rFonts w:ascii="Times New Roman" w:hAnsi="Times New Roman" w:cs="Times New Roman"/>
          <w:shd w:val="clear" w:color="auto" w:fill="FFFFFF"/>
        </w:rPr>
        <w:t xml:space="preserve"> </w:t>
      </w:r>
      <w:r w:rsidR="005F38B8" w:rsidRPr="00D94503">
        <w:rPr>
          <w:rFonts w:ascii="Times New Roman" w:hAnsi="Times New Roman" w:cs="Times New Roman"/>
          <w:noProof/>
          <w:shd w:val="clear" w:color="auto" w:fill="FFFFFF"/>
        </w:rPr>
        <w:t xml:space="preserve">Silas </w:t>
      </w:r>
      <w:r>
        <w:rPr>
          <w:rFonts w:ascii="Times New Roman" w:hAnsi="Times New Roman" w:cs="Times New Roman"/>
          <w:noProof/>
          <w:shd w:val="clear" w:color="auto" w:fill="FFFFFF"/>
        </w:rPr>
        <w:t>(</w:t>
      </w:r>
      <w:r w:rsidR="005F38B8" w:rsidRPr="00D94503">
        <w:rPr>
          <w:rFonts w:ascii="Times New Roman" w:hAnsi="Times New Roman" w:cs="Times New Roman"/>
          <w:noProof/>
          <w:shd w:val="clear" w:color="auto" w:fill="FFFFFF"/>
        </w:rPr>
        <w:t>2012)</w:t>
      </w:r>
      <w:r w:rsidR="003471DB" w:rsidRPr="00D94503">
        <w:rPr>
          <w:rFonts w:ascii="Times New Roman" w:hAnsi="Times New Roman" w:cs="Times New Roman"/>
          <w:shd w:val="clear" w:color="auto" w:fill="FFFFFF"/>
        </w:rPr>
        <w:t xml:space="preserve"> </w:t>
      </w:r>
      <w:r w:rsidR="00E2080B" w:rsidRPr="00D94503">
        <w:rPr>
          <w:rFonts w:ascii="Times New Roman" w:hAnsi="Times New Roman" w:cs="Times New Roman"/>
          <w:shd w:val="clear" w:color="auto" w:fill="FFFFFF"/>
        </w:rPr>
        <w:t>menciona que</w:t>
      </w:r>
      <w:r w:rsidR="003471DB" w:rsidRPr="00D94503">
        <w:rPr>
          <w:rFonts w:ascii="Times New Roman" w:hAnsi="Times New Roman" w:cs="Times New Roman"/>
          <w:shd w:val="clear" w:color="auto" w:fill="FFFFFF"/>
        </w:rPr>
        <w:t xml:space="preserve"> los</w:t>
      </w:r>
      <w:r w:rsidR="00E2080B" w:rsidRPr="00D94503">
        <w:rPr>
          <w:rFonts w:ascii="Times New Roman" w:hAnsi="Times New Roman" w:cs="Times New Roman"/>
          <w:shd w:val="clear" w:color="auto" w:fill="FFFFFF"/>
        </w:rPr>
        <w:t xml:space="preserve"> </w:t>
      </w:r>
      <w:r w:rsidR="00AD28B3" w:rsidRPr="00D94503">
        <w:rPr>
          <w:rFonts w:ascii="Times New Roman" w:hAnsi="Times New Roman" w:cs="Times New Roman"/>
          <w:shd w:val="clear" w:color="auto" w:fill="FFFFFF"/>
        </w:rPr>
        <w:t>jóvenes consideran</w:t>
      </w:r>
      <w:r w:rsidR="00E2080B" w:rsidRPr="00D94503">
        <w:rPr>
          <w:rFonts w:ascii="Times New Roman" w:hAnsi="Times New Roman" w:cs="Times New Roman"/>
          <w:shd w:val="clear" w:color="auto" w:fill="FFFFFF"/>
        </w:rPr>
        <w:t xml:space="preserve"> que </w:t>
      </w:r>
      <w:r w:rsidR="00852620" w:rsidRPr="00D94503">
        <w:rPr>
          <w:rFonts w:ascii="Times New Roman" w:hAnsi="Times New Roman" w:cs="Times New Roman"/>
          <w:shd w:val="clear" w:color="auto" w:fill="FFFFFF"/>
        </w:rPr>
        <w:t xml:space="preserve">el </w:t>
      </w:r>
      <w:r w:rsidR="00AB79CA" w:rsidRPr="00D94503">
        <w:rPr>
          <w:rFonts w:ascii="Times New Roman" w:hAnsi="Times New Roman" w:cs="Times New Roman"/>
          <w:shd w:val="clear" w:color="auto" w:fill="FFFFFF"/>
        </w:rPr>
        <w:t>concluir</w:t>
      </w:r>
      <w:r w:rsidR="00E2080B" w:rsidRPr="00D94503">
        <w:rPr>
          <w:rFonts w:ascii="Times New Roman" w:hAnsi="Times New Roman" w:cs="Times New Roman"/>
          <w:shd w:val="clear" w:color="auto" w:fill="FFFFFF"/>
        </w:rPr>
        <w:t xml:space="preserve"> el nivel superior </w:t>
      </w:r>
      <w:r w:rsidR="00BD2277" w:rsidRPr="00D94503">
        <w:rPr>
          <w:rFonts w:ascii="Times New Roman" w:hAnsi="Times New Roman" w:cs="Times New Roman"/>
          <w:shd w:val="clear" w:color="auto" w:fill="FFFFFF"/>
        </w:rPr>
        <w:t>incidirá para alcanzar</w:t>
      </w:r>
      <w:r w:rsidR="003471DB" w:rsidRPr="00D94503">
        <w:rPr>
          <w:rFonts w:ascii="Times New Roman" w:hAnsi="Times New Roman" w:cs="Times New Roman"/>
          <w:shd w:val="clear" w:color="auto" w:fill="FFFFFF"/>
        </w:rPr>
        <w:t xml:space="preserve"> una mejor calidad de vida, una mayor preparación para </w:t>
      </w:r>
      <w:r w:rsidR="00BD2277" w:rsidRPr="00D94503">
        <w:rPr>
          <w:rFonts w:ascii="Times New Roman" w:hAnsi="Times New Roman" w:cs="Times New Roman"/>
          <w:shd w:val="clear" w:color="auto" w:fill="FFFFFF"/>
        </w:rPr>
        <w:t xml:space="preserve">insertarse en </w:t>
      </w:r>
      <w:r w:rsidR="003471DB" w:rsidRPr="00D94503">
        <w:rPr>
          <w:rFonts w:ascii="Times New Roman" w:hAnsi="Times New Roman" w:cs="Times New Roman"/>
          <w:shd w:val="clear" w:color="auto" w:fill="FFFFFF"/>
        </w:rPr>
        <w:t xml:space="preserve">el ámbito laboral </w:t>
      </w:r>
      <w:r w:rsidR="00AB79CA" w:rsidRPr="00D94503">
        <w:rPr>
          <w:rFonts w:ascii="Times New Roman" w:hAnsi="Times New Roman" w:cs="Times New Roman"/>
          <w:shd w:val="clear" w:color="auto" w:fill="FFFFFF"/>
        </w:rPr>
        <w:t>e incremento en</w:t>
      </w:r>
      <w:r w:rsidR="003471DB" w:rsidRPr="00D94503">
        <w:rPr>
          <w:rFonts w:ascii="Times New Roman" w:hAnsi="Times New Roman" w:cs="Times New Roman"/>
          <w:shd w:val="clear" w:color="auto" w:fill="FFFFFF"/>
        </w:rPr>
        <w:t xml:space="preserve"> </w:t>
      </w:r>
      <w:r w:rsidR="00844283" w:rsidRPr="00D94503">
        <w:rPr>
          <w:rFonts w:ascii="Times New Roman" w:hAnsi="Times New Roman" w:cs="Times New Roman"/>
          <w:shd w:val="clear" w:color="auto" w:fill="FFFFFF"/>
        </w:rPr>
        <w:t xml:space="preserve">las </w:t>
      </w:r>
      <w:r w:rsidR="003471DB" w:rsidRPr="00D94503">
        <w:rPr>
          <w:rFonts w:ascii="Times New Roman" w:hAnsi="Times New Roman" w:cs="Times New Roman"/>
          <w:shd w:val="clear" w:color="auto" w:fill="FFFFFF"/>
        </w:rPr>
        <w:t>oportunidades de trabajo</w:t>
      </w:r>
      <w:r w:rsidR="002F134C">
        <w:rPr>
          <w:rFonts w:ascii="Times New Roman" w:hAnsi="Times New Roman" w:cs="Times New Roman"/>
          <w:shd w:val="clear" w:color="auto" w:fill="FFFFFF"/>
        </w:rPr>
        <w:t>. Esto coincide con</w:t>
      </w:r>
      <w:r w:rsidR="006308CC" w:rsidRPr="00D94503">
        <w:rPr>
          <w:rFonts w:ascii="Times New Roman" w:hAnsi="Times New Roman" w:cs="Times New Roman"/>
          <w:shd w:val="clear" w:color="auto" w:fill="FFFFFF"/>
        </w:rPr>
        <w:t xml:space="preserve"> lo que plantean </w:t>
      </w:r>
      <w:r w:rsidR="00310B94" w:rsidRPr="00DC6E80">
        <w:rPr>
          <w:rFonts w:ascii="Times New Roman" w:hAnsi="Times New Roman" w:cs="Times New Roman"/>
          <w:noProof/>
          <w:shd w:val="clear" w:color="auto" w:fill="FFFFFF"/>
        </w:rPr>
        <w:t xml:space="preserve">Cruz </w:t>
      </w:r>
      <w:r w:rsidR="002F134C">
        <w:rPr>
          <w:rFonts w:ascii="Times New Roman" w:hAnsi="Times New Roman" w:cs="Times New Roman"/>
          <w:noProof/>
          <w:shd w:val="clear" w:color="auto" w:fill="FFFFFF"/>
        </w:rPr>
        <w:t>y</w:t>
      </w:r>
      <w:r w:rsidR="00310B94" w:rsidRPr="00DC6E80">
        <w:rPr>
          <w:rFonts w:ascii="Times New Roman" w:hAnsi="Times New Roman" w:cs="Times New Roman"/>
          <w:noProof/>
          <w:shd w:val="clear" w:color="auto" w:fill="FFFFFF"/>
        </w:rPr>
        <w:t xml:space="preserve"> Sandí </w:t>
      </w:r>
      <w:r w:rsidR="00310B94">
        <w:rPr>
          <w:rFonts w:ascii="Times New Roman" w:hAnsi="Times New Roman" w:cs="Times New Roman"/>
          <w:noProof/>
          <w:shd w:val="clear" w:color="auto" w:fill="FFFFFF"/>
        </w:rPr>
        <w:t>(</w:t>
      </w:r>
      <w:r w:rsidR="00310B94" w:rsidRPr="00DC6E80">
        <w:rPr>
          <w:rFonts w:ascii="Times New Roman" w:hAnsi="Times New Roman" w:cs="Times New Roman"/>
          <w:noProof/>
          <w:shd w:val="clear" w:color="auto" w:fill="FFFFFF"/>
        </w:rPr>
        <w:t>2014)</w:t>
      </w:r>
      <w:r w:rsidR="000248EE">
        <w:rPr>
          <w:rFonts w:ascii="Times New Roman" w:hAnsi="Times New Roman" w:cs="Times New Roman"/>
          <w:noProof/>
          <w:shd w:val="clear" w:color="auto" w:fill="FFFFFF"/>
        </w:rPr>
        <w:t>, quienes incluyen</w:t>
      </w:r>
      <w:r w:rsidR="003471DB" w:rsidRPr="00DC6E80">
        <w:rPr>
          <w:rFonts w:ascii="Times New Roman" w:hAnsi="Times New Roman" w:cs="Times New Roman"/>
          <w:shd w:val="clear" w:color="auto" w:fill="FFFFFF"/>
        </w:rPr>
        <w:t xml:space="preserve"> </w:t>
      </w:r>
      <w:r w:rsidR="006308CC">
        <w:rPr>
          <w:rFonts w:ascii="Times New Roman" w:hAnsi="Times New Roman" w:cs="Times New Roman"/>
          <w:shd w:val="clear" w:color="auto" w:fill="FFFFFF"/>
        </w:rPr>
        <w:t>la búsqueda de</w:t>
      </w:r>
      <w:r w:rsidR="003471DB" w:rsidRPr="00DC6E80">
        <w:rPr>
          <w:rFonts w:ascii="Times New Roman" w:hAnsi="Times New Roman" w:cs="Times New Roman"/>
          <w:shd w:val="clear" w:color="auto" w:fill="FFFFFF"/>
        </w:rPr>
        <w:t xml:space="preserve"> una calidad vida, no solo de manera profesional</w:t>
      </w:r>
      <w:r w:rsidR="000248EE">
        <w:rPr>
          <w:rFonts w:ascii="Times New Roman" w:hAnsi="Times New Roman" w:cs="Times New Roman"/>
          <w:shd w:val="clear" w:color="auto" w:fill="FFFFFF"/>
        </w:rPr>
        <w:t>,</w:t>
      </w:r>
      <w:r w:rsidR="003471DB" w:rsidRPr="00DC6E80">
        <w:rPr>
          <w:rFonts w:ascii="Times New Roman" w:hAnsi="Times New Roman" w:cs="Times New Roman"/>
          <w:shd w:val="clear" w:color="auto" w:fill="FFFFFF"/>
        </w:rPr>
        <w:t xml:space="preserve"> sino también familiar</w:t>
      </w:r>
      <w:r w:rsidR="00310B94">
        <w:rPr>
          <w:rFonts w:ascii="Times New Roman" w:hAnsi="Times New Roman" w:cs="Times New Roman"/>
          <w:shd w:val="clear" w:color="auto" w:fill="FFFFFF"/>
        </w:rPr>
        <w:t>, para contar con mayores</w:t>
      </w:r>
      <w:r w:rsidR="003471DB" w:rsidRPr="00DC6E80">
        <w:rPr>
          <w:rFonts w:ascii="Times New Roman" w:hAnsi="Times New Roman" w:cs="Times New Roman"/>
          <w:shd w:val="clear" w:color="auto" w:fill="FFFFFF"/>
        </w:rPr>
        <w:t xml:space="preserve"> oportunidades </w:t>
      </w:r>
      <w:r w:rsidR="00310B94">
        <w:rPr>
          <w:rFonts w:ascii="Times New Roman" w:hAnsi="Times New Roman" w:cs="Times New Roman"/>
          <w:shd w:val="clear" w:color="auto" w:fill="FFFFFF"/>
        </w:rPr>
        <w:t>económica</w:t>
      </w:r>
      <w:r w:rsidR="006308CC">
        <w:rPr>
          <w:rFonts w:ascii="Times New Roman" w:hAnsi="Times New Roman" w:cs="Times New Roman"/>
          <w:shd w:val="clear" w:color="auto" w:fill="FFFFFF"/>
        </w:rPr>
        <w:t xml:space="preserve">s, así como acrecentar la </w:t>
      </w:r>
      <w:r w:rsidR="006308CC" w:rsidRPr="00D94503">
        <w:rPr>
          <w:rFonts w:ascii="Times New Roman" w:hAnsi="Times New Roman" w:cs="Times New Roman"/>
          <w:shd w:val="clear" w:color="auto" w:fill="FFFFFF"/>
        </w:rPr>
        <w:t>posibilidad de</w:t>
      </w:r>
      <w:r w:rsidR="003471DB" w:rsidRPr="00D94503">
        <w:rPr>
          <w:rFonts w:ascii="Times New Roman" w:hAnsi="Times New Roman" w:cs="Times New Roman"/>
          <w:shd w:val="clear" w:color="auto" w:fill="FFFFFF"/>
        </w:rPr>
        <w:t xml:space="preserve"> una solvencia económica que </w:t>
      </w:r>
      <w:r w:rsidR="006308CC" w:rsidRPr="00D94503">
        <w:rPr>
          <w:rFonts w:ascii="Times New Roman" w:hAnsi="Times New Roman" w:cs="Times New Roman"/>
          <w:shd w:val="clear" w:color="auto" w:fill="FFFFFF"/>
        </w:rPr>
        <w:t>consient</w:t>
      </w:r>
      <w:r w:rsidR="00C62488">
        <w:rPr>
          <w:rFonts w:ascii="Times New Roman" w:hAnsi="Times New Roman" w:cs="Times New Roman"/>
          <w:shd w:val="clear" w:color="auto" w:fill="FFFFFF"/>
        </w:rPr>
        <w:t>a</w:t>
      </w:r>
      <w:r w:rsidR="003471DB" w:rsidRPr="00D94503">
        <w:rPr>
          <w:rFonts w:ascii="Times New Roman" w:hAnsi="Times New Roman" w:cs="Times New Roman"/>
          <w:shd w:val="clear" w:color="auto" w:fill="FFFFFF"/>
        </w:rPr>
        <w:t xml:space="preserve"> un mejor estilo de vida y </w:t>
      </w:r>
      <w:r w:rsidR="00F45E83">
        <w:rPr>
          <w:rFonts w:ascii="Times New Roman" w:hAnsi="Times New Roman" w:cs="Times New Roman"/>
          <w:shd w:val="clear" w:color="auto" w:fill="FFFFFF"/>
        </w:rPr>
        <w:t xml:space="preserve">mayores </w:t>
      </w:r>
      <w:r w:rsidR="003471DB" w:rsidRPr="00D94503">
        <w:rPr>
          <w:rFonts w:ascii="Times New Roman" w:hAnsi="Times New Roman" w:cs="Times New Roman"/>
          <w:shd w:val="clear" w:color="auto" w:fill="FFFFFF"/>
        </w:rPr>
        <w:t>libertades</w:t>
      </w:r>
      <w:r w:rsidR="00F45E83">
        <w:rPr>
          <w:rFonts w:ascii="Times New Roman" w:hAnsi="Times New Roman" w:cs="Times New Roman"/>
          <w:shd w:val="clear" w:color="auto" w:fill="FFFFFF"/>
        </w:rPr>
        <w:t>.</w:t>
      </w:r>
      <w:r w:rsidR="00F45E83" w:rsidRPr="00D94503">
        <w:rPr>
          <w:rFonts w:ascii="Times New Roman" w:hAnsi="Times New Roman" w:cs="Times New Roman"/>
          <w:shd w:val="clear" w:color="auto" w:fill="FFFFFF"/>
        </w:rPr>
        <w:t xml:space="preserve"> </w:t>
      </w:r>
      <w:r w:rsidR="00F45E83">
        <w:rPr>
          <w:rFonts w:ascii="Times New Roman" w:hAnsi="Times New Roman" w:cs="Times New Roman"/>
          <w:shd w:val="clear" w:color="auto" w:fill="FFFFFF"/>
        </w:rPr>
        <w:t>T</w:t>
      </w:r>
      <w:r w:rsidR="00F45E83" w:rsidRPr="00D94503">
        <w:rPr>
          <w:rFonts w:ascii="Times New Roman" w:hAnsi="Times New Roman" w:cs="Times New Roman"/>
          <w:shd w:val="clear" w:color="auto" w:fill="FFFFFF"/>
        </w:rPr>
        <w:t xml:space="preserve">ambién </w:t>
      </w:r>
      <w:r w:rsidR="003471DB" w:rsidRPr="00D94503">
        <w:rPr>
          <w:rFonts w:ascii="Times New Roman" w:hAnsi="Times New Roman" w:cs="Times New Roman"/>
          <w:shd w:val="clear" w:color="auto" w:fill="FFFFFF"/>
        </w:rPr>
        <w:t>destaca</w:t>
      </w:r>
      <w:r w:rsidR="006308CC" w:rsidRPr="00D94503">
        <w:rPr>
          <w:rFonts w:ascii="Times New Roman" w:hAnsi="Times New Roman" w:cs="Times New Roman"/>
          <w:shd w:val="clear" w:color="auto" w:fill="FFFFFF"/>
        </w:rPr>
        <w:t>n</w:t>
      </w:r>
      <w:r w:rsidR="003471DB" w:rsidRPr="00D94503">
        <w:rPr>
          <w:rFonts w:ascii="Times New Roman" w:hAnsi="Times New Roman" w:cs="Times New Roman"/>
          <w:shd w:val="clear" w:color="auto" w:fill="FFFFFF"/>
        </w:rPr>
        <w:t xml:space="preserve"> un nivel en la sociedad en donde se obtiene crecimiento personal alcanzando metas a lo largo de su vida. </w:t>
      </w:r>
      <w:r w:rsidR="00D94503" w:rsidRPr="00D94503">
        <w:rPr>
          <w:rFonts w:ascii="Times New Roman" w:hAnsi="Times New Roman" w:cs="Times New Roman"/>
          <w:noProof/>
        </w:rPr>
        <w:t xml:space="preserve">La </w:t>
      </w:r>
      <w:r w:rsidR="004E1FFC" w:rsidRPr="004E1FFC">
        <w:rPr>
          <w:rFonts w:ascii="Times New Roman" w:hAnsi="Times New Roman" w:cs="Times New Roman"/>
          <w:noProof/>
        </w:rPr>
        <w:t xml:space="preserve">Organización para la Cooperación y el Desarrollo Económicos </w:t>
      </w:r>
      <w:r w:rsidR="004E1FFC">
        <w:rPr>
          <w:rFonts w:ascii="Times New Roman" w:hAnsi="Times New Roman" w:cs="Times New Roman"/>
          <w:noProof/>
        </w:rPr>
        <w:t>[</w:t>
      </w:r>
      <w:r w:rsidR="00BD2277" w:rsidRPr="00D94503">
        <w:rPr>
          <w:rFonts w:ascii="Times New Roman" w:hAnsi="Times New Roman" w:cs="Times New Roman"/>
          <w:noProof/>
        </w:rPr>
        <w:t>OECD</w:t>
      </w:r>
      <w:r w:rsidR="004E1FFC">
        <w:rPr>
          <w:rFonts w:ascii="Times New Roman" w:hAnsi="Times New Roman" w:cs="Times New Roman"/>
          <w:noProof/>
        </w:rPr>
        <w:t>]</w:t>
      </w:r>
      <w:r w:rsidR="00BD2277" w:rsidRPr="00D94503">
        <w:rPr>
          <w:rFonts w:ascii="Times New Roman" w:hAnsi="Times New Roman" w:cs="Times New Roman"/>
          <w:noProof/>
        </w:rPr>
        <w:t xml:space="preserve"> </w:t>
      </w:r>
      <w:r w:rsidR="00D94503" w:rsidRPr="00D94503">
        <w:rPr>
          <w:rFonts w:ascii="Times New Roman" w:hAnsi="Times New Roman" w:cs="Times New Roman"/>
          <w:noProof/>
        </w:rPr>
        <w:t>(</w:t>
      </w:r>
      <w:r w:rsidR="00BD2277" w:rsidRPr="00D94503">
        <w:rPr>
          <w:rFonts w:ascii="Times New Roman" w:hAnsi="Times New Roman" w:cs="Times New Roman"/>
          <w:noProof/>
        </w:rPr>
        <w:t>2019)</w:t>
      </w:r>
      <w:r w:rsidR="00F45E83">
        <w:rPr>
          <w:rFonts w:ascii="Times New Roman" w:hAnsi="Times New Roman" w:cs="Times New Roman"/>
          <w:noProof/>
        </w:rPr>
        <w:t>, por su parte,</w:t>
      </w:r>
      <w:r w:rsidR="003471DB" w:rsidRPr="00D94503">
        <w:rPr>
          <w:rFonts w:ascii="Times New Roman" w:hAnsi="Times New Roman" w:cs="Times New Roman"/>
        </w:rPr>
        <w:t xml:space="preserve"> asegura que cuando el estudiante se integra en </w:t>
      </w:r>
      <w:r w:rsidR="00AB79CA" w:rsidRPr="00D94503">
        <w:rPr>
          <w:rFonts w:ascii="Times New Roman" w:hAnsi="Times New Roman" w:cs="Times New Roman"/>
        </w:rPr>
        <w:t>la educación</w:t>
      </w:r>
      <w:r w:rsidR="00AB79CA">
        <w:rPr>
          <w:rFonts w:ascii="Times New Roman" w:hAnsi="Times New Roman" w:cs="Times New Roman"/>
        </w:rPr>
        <w:t xml:space="preserve"> </w:t>
      </w:r>
      <w:r w:rsidR="003471DB" w:rsidRPr="00AB79CA">
        <w:rPr>
          <w:rFonts w:ascii="Times New Roman" w:hAnsi="Times New Roman" w:cs="Times New Roman"/>
        </w:rPr>
        <w:t>superior</w:t>
      </w:r>
      <w:r w:rsidR="00C44CA0">
        <w:rPr>
          <w:rFonts w:ascii="Times New Roman" w:hAnsi="Times New Roman" w:cs="Times New Roman"/>
        </w:rPr>
        <w:t xml:space="preserve"> y </w:t>
      </w:r>
      <w:r w:rsidR="00DF603E">
        <w:rPr>
          <w:rFonts w:ascii="Times New Roman" w:hAnsi="Times New Roman" w:cs="Times New Roman"/>
        </w:rPr>
        <w:t>desarrolla</w:t>
      </w:r>
      <w:r w:rsidR="003471DB" w:rsidRPr="00DC6E80">
        <w:rPr>
          <w:rFonts w:ascii="Times New Roman" w:hAnsi="Times New Roman" w:cs="Times New Roman"/>
        </w:rPr>
        <w:t xml:space="preserve"> conocimientos y competencias </w:t>
      </w:r>
      <w:r w:rsidR="00863BE8">
        <w:rPr>
          <w:rFonts w:ascii="Times New Roman" w:hAnsi="Times New Roman" w:cs="Times New Roman"/>
        </w:rPr>
        <w:t>para</w:t>
      </w:r>
      <w:r w:rsidR="003471DB" w:rsidRPr="00DC6E80">
        <w:rPr>
          <w:rFonts w:ascii="Times New Roman" w:hAnsi="Times New Roman" w:cs="Times New Roman"/>
        </w:rPr>
        <w:t xml:space="preserve"> una incorporación efectiva en el sector laboral, </w:t>
      </w:r>
      <w:r w:rsidR="003471DB" w:rsidRPr="00D94503">
        <w:rPr>
          <w:rFonts w:ascii="Times New Roman" w:hAnsi="Times New Roman" w:cs="Times New Roman"/>
        </w:rPr>
        <w:t>profesional o de investigación</w:t>
      </w:r>
      <w:r w:rsidR="00C0322B" w:rsidRPr="00D94503">
        <w:rPr>
          <w:rFonts w:ascii="Times New Roman" w:hAnsi="Times New Roman" w:cs="Times New Roman"/>
        </w:rPr>
        <w:t>,</w:t>
      </w:r>
      <w:r w:rsidR="00C0322B">
        <w:rPr>
          <w:rFonts w:ascii="Times New Roman" w:hAnsi="Times New Roman" w:cs="Times New Roman"/>
        </w:rPr>
        <w:t xml:space="preserve"> </w:t>
      </w:r>
      <w:r w:rsidR="00C44CA0">
        <w:rPr>
          <w:rFonts w:ascii="Times New Roman" w:hAnsi="Times New Roman" w:cs="Times New Roman"/>
        </w:rPr>
        <w:t xml:space="preserve">adquiere </w:t>
      </w:r>
      <w:r w:rsidR="00C0322B">
        <w:rPr>
          <w:rFonts w:ascii="Times New Roman" w:hAnsi="Times New Roman" w:cs="Times New Roman"/>
        </w:rPr>
        <w:t xml:space="preserve">mayor seguridad en </w:t>
      </w:r>
      <w:r w:rsidR="00D94503">
        <w:rPr>
          <w:rFonts w:ascii="Times New Roman" w:hAnsi="Times New Roman" w:cs="Times New Roman"/>
        </w:rPr>
        <w:t>é</w:t>
      </w:r>
      <w:r w:rsidR="00C0322B">
        <w:rPr>
          <w:rFonts w:ascii="Times New Roman" w:hAnsi="Times New Roman" w:cs="Times New Roman"/>
        </w:rPr>
        <w:t>l.</w:t>
      </w:r>
      <w:r w:rsidR="003471DB" w:rsidRPr="00DC6E80">
        <w:rPr>
          <w:rFonts w:ascii="Times New Roman" w:hAnsi="Times New Roman" w:cs="Times New Roman"/>
        </w:rPr>
        <w:t xml:space="preserve"> </w:t>
      </w:r>
      <w:r w:rsidR="00C0322B">
        <w:rPr>
          <w:rFonts w:ascii="Times New Roman" w:hAnsi="Times New Roman" w:cs="Times New Roman"/>
        </w:rPr>
        <w:t>U</w:t>
      </w:r>
      <w:r w:rsidR="00C0322B" w:rsidRPr="00DC6E80">
        <w:rPr>
          <w:rFonts w:ascii="Times New Roman" w:hAnsi="Times New Roman" w:cs="Times New Roman"/>
        </w:rPr>
        <w:t xml:space="preserve">na continuidad educativa </w:t>
      </w:r>
      <w:r w:rsidR="00C0322B">
        <w:rPr>
          <w:rFonts w:ascii="Times New Roman" w:hAnsi="Times New Roman" w:cs="Times New Roman"/>
        </w:rPr>
        <w:t xml:space="preserve">en donde se asegure la calidad de la investigación conducirá </w:t>
      </w:r>
      <w:r w:rsidR="00C44CA0">
        <w:rPr>
          <w:rFonts w:ascii="Times New Roman" w:hAnsi="Times New Roman" w:cs="Times New Roman"/>
        </w:rPr>
        <w:t xml:space="preserve">a </w:t>
      </w:r>
      <w:r w:rsidR="00C0322B">
        <w:rPr>
          <w:rFonts w:ascii="Times New Roman" w:hAnsi="Times New Roman" w:cs="Times New Roman"/>
        </w:rPr>
        <w:t>la formación de científicos e investigadores que contribuyan con sus esfuerzos en la solución de las necesidades y situaciones que se afrontan actualmente, razón por la que la estimulación de las vocaciones científicas juega un papel fundamental, ya que consolida las decisiones de los jóvenes estudiantes y reafirma el interés por estas.</w:t>
      </w:r>
      <w:r w:rsidR="00C0322B" w:rsidRPr="00DC6E80">
        <w:rPr>
          <w:rFonts w:ascii="Times New Roman" w:hAnsi="Times New Roman" w:cs="Times New Roman"/>
        </w:rPr>
        <w:t xml:space="preserve"> </w:t>
      </w:r>
    </w:p>
    <w:p w14:paraId="245EE8F7" w14:textId="7FFEAD57" w:rsidR="007A581A" w:rsidRPr="00421EB7" w:rsidRDefault="007A581A" w:rsidP="00421EB7">
      <w:pPr>
        <w:spacing w:line="360" w:lineRule="auto"/>
        <w:jc w:val="center"/>
        <w:rPr>
          <w:rFonts w:ascii="Times New Roman" w:hAnsi="Times New Roman" w:cs="Times New Roman"/>
          <w:b/>
          <w:bCs/>
          <w:sz w:val="28"/>
          <w:szCs w:val="22"/>
          <w:shd w:val="clear" w:color="auto" w:fill="FFFFFF"/>
        </w:rPr>
      </w:pPr>
      <w:r w:rsidRPr="00421EB7">
        <w:rPr>
          <w:rFonts w:ascii="Times New Roman" w:hAnsi="Times New Roman" w:cs="Times New Roman"/>
          <w:b/>
          <w:bCs/>
          <w:sz w:val="28"/>
          <w:szCs w:val="22"/>
          <w:shd w:val="clear" w:color="auto" w:fill="FFFFFF"/>
        </w:rPr>
        <w:lastRenderedPageBreak/>
        <w:t>Marco conceptual</w:t>
      </w:r>
    </w:p>
    <w:p w14:paraId="684CE55A" w14:textId="7826748B" w:rsidR="007A581A" w:rsidRPr="00421EB7" w:rsidRDefault="007E17FA" w:rsidP="00421EB7">
      <w:pPr>
        <w:spacing w:line="360" w:lineRule="auto"/>
        <w:jc w:val="center"/>
        <w:rPr>
          <w:rFonts w:ascii="Times New Roman" w:hAnsi="Times New Roman" w:cs="Times New Roman"/>
          <w:b/>
          <w:bCs/>
          <w:sz w:val="26"/>
          <w:szCs w:val="26"/>
          <w:shd w:val="clear" w:color="auto" w:fill="FFFFFF"/>
        </w:rPr>
      </w:pPr>
      <w:r w:rsidRPr="00421EB7">
        <w:rPr>
          <w:rFonts w:ascii="Times New Roman" w:hAnsi="Times New Roman" w:cs="Times New Roman"/>
          <w:b/>
          <w:bCs/>
          <w:sz w:val="26"/>
          <w:szCs w:val="26"/>
          <w:shd w:val="clear" w:color="auto" w:fill="FFFFFF"/>
        </w:rPr>
        <w:t>Introducción a l</w:t>
      </w:r>
      <w:r w:rsidR="007A581A" w:rsidRPr="00421EB7">
        <w:rPr>
          <w:rFonts w:ascii="Times New Roman" w:hAnsi="Times New Roman" w:cs="Times New Roman"/>
          <w:b/>
          <w:bCs/>
          <w:sz w:val="26"/>
          <w:szCs w:val="26"/>
          <w:shd w:val="clear" w:color="auto" w:fill="FFFFFF"/>
        </w:rPr>
        <w:t>as vocaciones científicas</w:t>
      </w:r>
    </w:p>
    <w:p w14:paraId="6735BED3" w14:textId="3931689B" w:rsidR="000E2DA6" w:rsidRPr="00D94503" w:rsidRDefault="00DF6B0F" w:rsidP="00E87EFA">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En la actualidad </w:t>
      </w:r>
      <w:r w:rsidR="00E87EFA">
        <w:rPr>
          <w:rFonts w:ascii="Times New Roman" w:hAnsi="Times New Roman" w:cs="Times New Roman"/>
          <w:shd w:val="clear" w:color="auto" w:fill="FFFFFF"/>
        </w:rPr>
        <w:t>existe</w:t>
      </w:r>
      <w:r>
        <w:rPr>
          <w:rFonts w:ascii="Times New Roman" w:hAnsi="Times New Roman" w:cs="Times New Roman"/>
          <w:shd w:val="clear" w:color="auto" w:fill="FFFFFF"/>
        </w:rPr>
        <w:t xml:space="preserve"> la necesidad de una continuidad educativa para una </w:t>
      </w:r>
      <w:r w:rsidR="005C1632">
        <w:rPr>
          <w:rFonts w:ascii="Times New Roman" w:hAnsi="Times New Roman" w:cs="Times New Roman"/>
          <w:shd w:val="clear" w:color="auto" w:fill="FFFFFF"/>
        </w:rPr>
        <w:t>preparación</w:t>
      </w:r>
      <w:r>
        <w:rPr>
          <w:rFonts w:ascii="Times New Roman" w:hAnsi="Times New Roman" w:cs="Times New Roman"/>
          <w:shd w:val="clear" w:color="auto" w:fill="FFFFFF"/>
        </w:rPr>
        <w:t xml:space="preserve"> exitosa </w:t>
      </w:r>
      <w:r w:rsidR="000E2851">
        <w:rPr>
          <w:rFonts w:ascii="Times New Roman" w:hAnsi="Times New Roman" w:cs="Times New Roman"/>
          <w:shd w:val="clear" w:color="auto" w:fill="FFFFFF"/>
        </w:rPr>
        <w:t>ante</w:t>
      </w:r>
      <w:r>
        <w:rPr>
          <w:rFonts w:ascii="Times New Roman" w:hAnsi="Times New Roman" w:cs="Times New Roman"/>
          <w:shd w:val="clear" w:color="auto" w:fill="FFFFFF"/>
        </w:rPr>
        <w:t xml:space="preserve"> los desafíos del futuro (</w:t>
      </w:r>
      <w:r w:rsidR="00EF7246">
        <w:rPr>
          <w:rFonts w:ascii="Times New Roman" w:hAnsi="Times New Roman" w:cs="Times New Roman"/>
          <w:shd w:val="clear" w:color="auto" w:fill="FFFFFF"/>
        </w:rPr>
        <w:t>Lupión</w:t>
      </w:r>
      <w:r w:rsidR="002D701F">
        <w:rPr>
          <w:rFonts w:ascii="Times New Roman" w:hAnsi="Times New Roman" w:cs="Times New Roman"/>
          <w:shd w:val="clear" w:color="auto" w:fill="FFFFFF"/>
        </w:rPr>
        <w:t xml:space="preserve"> </w:t>
      </w:r>
      <w:r w:rsidR="002D701F" w:rsidRPr="00421EB7">
        <w:rPr>
          <w:rFonts w:ascii="Times New Roman" w:hAnsi="Times New Roman" w:cs="Times New Roman"/>
          <w:i/>
          <w:iCs/>
          <w:shd w:val="clear" w:color="auto" w:fill="FFFFFF"/>
        </w:rPr>
        <w:t>et al</w:t>
      </w:r>
      <w:r w:rsidR="002D701F">
        <w:rPr>
          <w:rFonts w:ascii="Times New Roman" w:hAnsi="Times New Roman" w:cs="Times New Roman"/>
          <w:shd w:val="clear" w:color="auto" w:fill="FFFFFF"/>
        </w:rPr>
        <w:t>.,</w:t>
      </w:r>
      <w:r w:rsidR="00EF7246">
        <w:rPr>
          <w:rFonts w:ascii="Times New Roman" w:hAnsi="Times New Roman" w:cs="Times New Roman"/>
          <w:shd w:val="clear" w:color="auto" w:fill="FFFFFF"/>
        </w:rPr>
        <w:t xml:space="preserve"> 2019</w:t>
      </w:r>
      <w:r w:rsidR="00E87EFA">
        <w:rPr>
          <w:rFonts w:ascii="Times New Roman" w:hAnsi="Times New Roman" w:cs="Times New Roman"/>
          <w:shd w:val="clear" w:color="auto" w:fill="FFFFFF"/>
        </w:rPr>
        <w:t>; OECD, 2015; Sutcliffe, 2011</w:t>
      </w:r>
      <w:r>
        <w:rPr>
          <w:rFonts w:ascii="Times New Roman" w:hAnsi="Times New Roman" w:cs="Times New Roman"/>
          <w:shd w:val="clear" w:color="auto" w:fill="FFFFFF"/>
        </w:rPr>
        <w:t>)</w:t>
      </w:r>
      <w:r w:rsidR="002D701F">
        <w:rPr>
          <w:rFonts w:ascii="Times New Roman" w:hAnsi="Times New Roman" w:cs="Times New Roman"/>
          <w:shd w:val="clear" w:color="auto" w:fill="FFFFFF"/>
        </w:rPr>
        <w:t>.</w:t>
      </w:r>
      <w:r w:rsidR="005C1632">
        <w:rPr>
          <w:rFonts w:ascii="Times New Roman" w:hAnsi="Times New Roman" w:cs="Times New Roman"/>
          <w:shd w:val="clear" w:color="auto" w:fill="FFFFFF"/>
        </w:rPr>
        <w:t xml:space="preserve"> </w:t>
      </w:r>
      <w:r w:rsidR="00F01E9D">
        <w:rPr>
          <w:rFonts w:ascii="Times New Roman" w:hAnsi="Times New Roman" w:cs="Times New Roman"/>
          <w:shd w:val="clear" w:color="auto" w:fill="FFFFFF"/>
        </w:rPr>
        <w:t xml:space="preserve">Una vocación requiere de una elección basada en la personalidad, los gustos, los intereses, las habilidades, capacidades y deseos del quehacer en una vida futura por parte del individuo. </w:t>
      </w:r>
      <w:r w:rsidR="001D6808">
        <w:rPr>
          <w:rFonts w:ascii="Times New Roman" w:hAnsi="Times New Roman" w:cs="Times New Roman"/>
          <w:shd w:val="clear" w:color="auto" w:fill="FFFFFF"/>
        </w:rPr>
        <w:t>Entonces</w:t>
      </w:r>
      <w:r w:rsidR="000F1E21">
        <w:rPr>
          <w:rFonts w:ascii="Times New Roman" w:hAnsi="Times New Roman" w:cs="Times New Roman"/>
          <w:shd w:val="clear" w:color="auto" w:fill="FFFFFF"/>
        </w:rPr>
        <w:t>,</w:t>
      </w:r>
      <w:r w:rsidR="001D6808">
        <w:rPr>
          <w:rFonts w:ascii="Times New Roman" w:hAnsi="Times New Roman" w:cs="Times New Roman"/>
          <w:shd w:val="clear" w:color="auto" w:fill="FFFFFF"/>
        </w:rPr>
        <w:t xml:space="preserve"> el interés vocacional surge a partir de diferencias intrapersonales que estimulan la personalidad del individuo </w:t>
      </w:r>
      <w:r w:rsidR="00DD327B">
        <w:rPr>
          <w:rFonts w:ascii="Times New Roman" w:hAnsi="Times New Roman" w:cs="Times New Roman"/>
          <w:shd w:val="clear" w:color="auto" w:fill="FFFFFF"/>
        </w:rPr>
        <w:t xml:space="preserve">dirigida hacia esos deseos de continuar estudiando o elección de </w:t>
      </w:r>
      <w:r w:rsidR="00DD327B" w:rsidRPr="00737535">
        <w:rPr>
          <w:rFonts w:ascii="Times New Roman" w:hAnsi="Times New Roman" w:cs="Times New Roman"/>
          <w:shd w:val="clear" w:color="auto" w:fill="FFFFFF"/>
        </w:rPr>
        <w:t xml:space="preserve">estudios </w:t>
      </w:r>
      <w:r w:rsidR="001D6808" w:rsidRPr="00737535">
        <w:rPr>
          <w:rFonts w:ascii="Times New Roman" w:hAnsi="Times New Roman" w:cs="Times New Roman"/>
          <w:shd w:val="clear" w:color="auto" w:fill="FFFFFF"/>
        </w:rPr>
        <w:t>(Ackerman y Heggestad, 1997; Rodríguez,</w:t>
      </w:r>
      <w:r w:rsidR="00765525">
        <w:rPr>
          <w:rFonts w:ascii="Times New Roman" w:hAnsi="Times New Roman" w:cs="Times New Roman"/>
          <w:shd w:val="clear" w:color="auto" w:fill="FFFFFF"/>
        </w:rPr>
        <w:t xml:space="preserve"> </w:t>
      </w:r>
      <w:r w:rsidR="00765525" w:rsidRPr="009A217D">
        <w:rPr>
          <w:rFonts w:ascii="Times New Roman" w:hAnsi="Times New Roman" w:cs="Times New Roman"/>
          <w:noProof/>
          <w:lang w:val="es-ES"/>
        </w:rPr>
        <w:t xml:space="preserve">Sánchez </w:t>
      </w:r>
      <w:r w:rsidR="00765525">
        <w:rPr>
          <w:rFonts w:ascii="Times New Roman" w:hAnsi="Times New Roman" w:cs="Times New Roman"/>
          <w:noProof/>
          <w:lang w:val="es-ES"/>
        </w:rPr>
        <w:t>y</w:t>
      </w:r>
      <w:r w:rsidR="00765525" w:rsidRPr="009A217D">
        <w:rPr>
          <w:rFonts w:ascii="Times New Roman" w:hAnsi="Times New Roman" w:cs="Times New Roman"/>
          <w:noProof/>
          <w:lang w:val="es-ES"/>
        </w:rPr>
        <w:t xml:space="preserve"> Labajos</w:t>
      </w:r>
      <w:r w:rsidR="00765525">
        <w:rPr>
          <w:rFonts w:ascii="Times New Roman" w:hAnsi="Times New Roman" w:cs="Times New Roman"/>
          <w:noProof/>
          <w:lang w:val="es-ES"/>
        </w:rPr>
        <w:t>,</w:t>
      </w:r>
      <w:r w:rsidR="001D6808" w:rsidRPr="00737535">
        <w:rPr>
          <w:rFonts w:ascii="Times New Roman" w:hAnsi="Times New Roman" w:cs="Times New Roman"/>
          <w:shd w:val="clear" w:color="auto" w:fill="FFFFFF"/>
        </w:rPr>
        <w:t xml:space="preserve"> 2017). </w:t>
      </w:r>
      <w:r w:rsidR="000E2DA6" w:rsidRPr="00737535">
        <w:rPr>
          <w:rFonts w:ascii="Times New Roman" w:hAnsi="Times New Roman" w:cs="Times New Roman"/>
          <w:shd w:val="clear" w:color="auto" w:fill="FFFFFF"/>
        </w:rPr>
        <w:t>La ele</w:t>
      </w:r>
      <w:r w:rsidR="000E2DA6">
        <w:rPr>
          <w:rFonts w:ascii="Times New Roman" w:hAnsi="Times New Roman" w:cs="Times New Roman"/>
          <w:shd w:val="clear" w:color="auto" w:fill="FFFFFF"/>
        </w:rPr>
        <w:t xml:space="preserve">cción vocacional se genera cuando el individuo ha estimulado sus habilidades y capacidades hacia una especialidad interesada y </w:t>
      </w:r>
      <w:r w:rsidR="006709F1">
        <w:rPr>
          <w:rFonts w:ascii="Times New Roman" w:hAnsi="Times New Roman" w:cs="Times New Roman"/>
          <w:shd w:val="clear" w:color="auto" w:fill="FFFFFF"/>
        </w:rPr>
        <w:t xml:space="preserve">que </w:t>
      </w:r>
      <w:r w:rsidR="000E2DA6">
        <w:rPr>
          <w:rFonts w:ascii="Times New Roman" w:hAnsi="Times New Roman" w:cs="Times New Roman"/>
          <w:shd w:val="clear" w:color="auto" w:fill="FFFFFF"/>
        </w:rPr>
        <w:t>desea seguir nutriendo, con dirección hacia la consolidación en una profesión, es decir</w:t>
      </w:r>
      <w:r w:rsidR="0073653D">
        <w:rPr>
          <w:rFonts w:ascii="Times New Roman" w:hAnsi="Times New Roman" w:cs="Times New Roman"/>
          <w:shd w:val="clear" w:color="auto" w:fill="FFFFFF"/>
        </w:rPr>
        <w:t>,</w:t>
      </w:r>
      <w:r w:rsidR="000E2DA6">
        <w:rPr>
          <w:rFonts w:ascii="Times New Roman" w:hAnsi="Times New Roman" w:cs="Times New Roman"/>
          <w:shd w:val="clear" w:color="auto" w:fill="FFFFFF"/>
        </w:rPr>
        <w:t xml:space="preserve"> la elección de la carrera que </w:t>
      </w:r>
      <w:r w:rsidR="00725D6E">
        <w:rPr>
          <w:rFonts w:ascii="Times New Roman" w:hAnsi="Times New Roman" w:cs="Times New Roman"/>
          <w:shd w:val="clear" w:color="auto" w:fill="FFFFFF"/>
        </w:rPr>
        <w:t xml:space="preserve">reunirá </w:t>
      </w:r>
      <w:r w:rsidR="000E2DA6">
        <w:rPr>
          <w:rFonts w:ascii="Times New Roman" w:hAnsi="Times New Roman" w:cs="Times New Roman"/>
          <w:shd w:val="clear" w:color="auto" w:fill="FFFFFF"/>
        </w:rPr>
        <w:t xml:space="preserve">estas cualidades para su vida </w:t>
      </w:r>
      <w:r w:rsidR="009939DA">
        <w:rPr>
          <w:rFonts w:ascii="Times New Roman" w:hAnsi="Times New Roman" w:cs="Times New Roman"/>
          <w:shd w:val="clear" w:color="auto" w:fill="FFFFFF"/>
        </w:rPr>
        <w:t>eminentemente laboral</w:t>
      </w:r>
      <w:r w:rsidR="006709F1">
        <w:rPr>
          <w:rFonts w:ascii="Times New Roman" w:hAnsi="Times New Roman" w:cs="Times New Roman"/>
          <w:shd w:val="clear" w:color="auto" w:fill="FFFFFF"/>
        </w:rPr>
        <w:t>. Pero en el trayecto l</w:t>
      </w:r>
      <w:r w:rsidR="00907D9D">
        <w:rPr>
          <w:rFonts w:ascii="Times New Roman" w:hAnsi="Times New Roman" w:cs="Times New Roman"/>
          <w:shd w:val="clear" w:color="auto" w:fill="FFFFFF"/>
        </w:rPr>
        <w:t>as vocaciones científicas se asocian al interés, habilidades y cualidades del individuo forjadas hacia la investigación, ciencia, tecnología, ingenierías, humanidades y otros para contribuir con estas a la solución de problemáticas detectadas</w:t>
      </w:r>
      <w:r w:rsidR="008440A8">
        <w:rPr>
          <w:rFonts w:ascii="Times New Roman" w:hAnsi="Times New Roman" w:cs="Times New Roman"/>
          <w:shd w:val="clear" w:color="auto" w:fill="FFFFFF"/>
        </w:rPr>
        <w:t xml:space="preserve"> en un contexto laboral y científico</w:t>
      </w:r>
      <w:r w:rsidR="00907D9D" w:rsidRPr="00D94503">
        <w:rPr>
          <w:rFonts w:ascii="Times New Roman" w:hAnsi="Times New Roman" w:cs="Times New Roman"/>
          <w:shd w:val="clear" w:color="auto" w:fill="FFFFFF"/>
        </w:rPr>
        <w:t>.</w:t>
      </w:r>
    </w:p>
    <w:p w14:paraId="3971ECAE" w14:textId="72AECD35" w:rsidR="00737535" w:rsidRDefault="009C1857" w:rsidP="00FF6D96">
      <w:pPr>
        <w:spacing w:line="360" w:lineRule="auto"/>
        <w:ind w:firstLine="708"/>
        <w:jc w:val="both"/>
        <w:rPr>
          <w:rFonts w:ascii="Times New Roman" w:hAnsi="Times New Roman" w:cs="Times New Roman"/>
        </w:rPr>
      </w:pPr>
      <w:r w:rsidRPr="00D94503">
        <w:rPr>
          <w:rFonts w:ascii="Times New Roman" w:hAnsi="Times New Roman" w:cs="Times New Roman"/>
        </w:rPr>
        <w:t xml:space="preserve">La alfabetización científica es una forma de clarificar la terminología </w:t>
      </w:r>
      <w:r w:rsidR="00823AB0" w:rsidRPr="00D94503">
        <w:rPr>
          <w:rFonts w:ascii="Times New Roman" w:hAnsi="Times New Roman" w:cs="Times New Roman"/>
        </w:rPr>
        <w:t xml:space="preserve">utilizada </w:t>
      </w:r>
      <w:r w:rsidR="000651CF" w:rsidRPr="00D94503">
        <w:rPr>
          <w:rFonts w:ascii="Times New Roman" w:hAnsi="Times New Roman" w:cs="Times New Roman"/>
        </w:rPr>
        <w:t>para su accesibilidad</w:t>
      </w:r>
      <w:r w:rsidRPr="00D94503">
        <w:rPr>
          <w:rFonts w:ascii="Times New Roman" w:hAnsi="Times New Roman" w:cs="Times New Roman"/>
        </w:rPr>
        <w:t xml:space="preserve">, </w:t>
      </w:r>
      <w:r w:rsidR="00DC55BA" w:rsidRPr="00D94503">
        <w:rPr>
          <w:rFonts w:ascii="Times New Roman" w:hAnsi="Times New Roman" w:cs="Times New Roman"/>
        </w:rPr>
        <w:t xml:space="preserve">lo que disipa </w:t>
      </w:r>
      <w:r w:rsidR="005D3C28" w:rsidRPr="00D94503">
        <w:rPr>
          <w:rFonts w:ascii="Times New Roman" w:hAnsi="Times New Roman" w:cs="Times New Roman"/>
        </w:rPr>
        <w:t xml:space="preserve">dudas </w:t>
      </w:r>
      <w:r w:rsidR="000651CF" w:rsidRPr="00D94503">
        <w:rPr>
          <w:rFonts w:ascii="Times New Roman" w:hAnsi="Times New Roman" w:cs="Times New Roman"/>
        </w:rPr>
        <w:t xml:space="preserve">sobre el </w:t>
      </w:r>
      <w:r w:rsidR="005D3C28" w:rsidRPr="00D94503">
        <w:rPr>
          <w:rFonts w:ascii="Times New Roman" w:hAnsi="Times New Roman" w:cs="Times New Roman"/>
        </w:rPr>
        <w:t>conocimiento</w:t>
      </w:r>
      <w:r w:rsidR="000651CF" w:rsidRPr="00D94503">
        <w:rPr>
          <w:rFonts w:ascii="Times New Roman" w:hAnsi="Times New Roman" w:cs="Times New Roman"/>
        </w:rPr>
        <w:t xml:space="preserve"> que se posee de </w:t>
      </w:r>
      <w:r w:rsidR="00F41C03" w:rsidRPr="00D94503">
        <w:rPr>
          <w:rFonts w:ascii="Times New Roman" w:hAnsi="Times New Roman" w:cs="Times New Roman"/>
        </w:rPr>
        <w:t>esta</w:t>
      </w:r>
      <w:r w:rsidR="00725D6E">
        <w:rPr>
          <w:rFonts w:ascii="Times New Roman" w:hAnsi="Times New Roman" w:cs="Times New Roman"/>
        </w:rPr>
        <w:t>.</w:t>
      </w:r>
      <w:r w:rsidR="00725D6E" w:rsidRPr="00D94503">
        <w:rPr>
          <w:rFonts w:ascii="Times New Roman" w:hAnsi="Times New Roman" w:cs="Times New Roman"/>
        </w:rPr>
        <w:t xml:space="preserve"> </w:t>
      </w:r>
      <w:r w:rsidR="00725D6E">
        <w:rPr>
          <w:rFonts w:ascii="Times New Roman" w:hAnsi="Times New Roman" w:cs="Times New Roman"/>
        </w:rPr>
        <w:t>T</w:t>
      </w:r>
      <w:r w:rsidR="00725D6E" w:rsidRPr="00D94503">
        <w:rPr>
          <w:rFonts w:ascii="Times New Roman" w:hAnsi="Times New Roman" w:cs="Times New Roman"/>
        </w:rPr>
        <w:t xml:space="preserve">ambién </w:t>
      </w:r>
      <w:r w:rsidR="00823AB0" w:rsidRPr="00D94503">
        <w:rPr>
          <w:rFonts w:ascii="Times New Roman" w:hAnsi="Times New Roman" w:cs="Times New Roman"/>
        </w:rPr>
        <w:t>es</w:t>
      </w:r>
      <w:r w:rsidR="005D3C28" w:rsidRPr="00D94503">
        <w:rPr>
          <w:rFonts w:ascii="Times New Roman" w:hAnsi="Times New Roman" w:cs="Times New Roman"/>
        </w:rPr>
        <w:t xml:space="preserve"> un referente ante situaciones</w:t>
      </w:r>
      <w:r w:rsidRPr="00D94503">
        <w:rPr>
          <w:rFonts w:ascii="Times New Roman" w:hAnsi="Times New Roman" w:cs="Times New Roman"/>
        </w:rPr>
        <w:t xml:space="preserve"> que requieren </w:t>
      </w:r>
      <w:r w:rsidR="00C10E22" w:rsidRPr="00D94503">
        <w:rPr>
          <w:rFonts w:ascii="Times New Roman" w:hAnsi="Times New Roman" w:cs="Times New Roman"/>
        </w:rPr>
        <w:t xml:space="preserve">de </w:t>
      </w:r>
      <w:r w:rsidRPr="00D94503">
        <w:rPr>
          <w:rFonts w:ascii="Times New Roman" w:hAnsi="Times New Roman" w:cs="Times New Roman"/>
        </w:rPr>
        <w:t xml:space="preserve">diálogo, debate y argumentación. </w:t>
      </w:r>
      <w:r w:rsidRPr="00C923F1">
        <w:rPr>
          <w:rFonts w:ascii="Times New Roman" w:hAnsi="Times New Roman" w:cs="Times New Roman"/>
        </w:rPr>
        <w:t xml:space="preserve">Es entonces cuando el fomento de las vocaciones científicas y </w:t>
      </w:r>
      <w:r w:rsidR="009516CA" w:rsidRPr="00C923F1">
        <w:rPr>
          <w:rFonts w:ascii="Times New Roman" w:hAnsi="Times New Roman" w:cs="Times New Roman"/>
        </w:rPr>
        <w:t>tecnológicas</w:t>
      </w:r>
      <w:r w:rsidRPr="00C923F1">
        <w:rPr>
          <w:rFonts w:ascii="Times New Roman" w:hAnsi="Times New Roman" w:cs="Times New Roman"/>
        </w:rPr>
        <w:t xml:space="preserve"> tiene por objeto</w:t>
      </w:r>
      <w:r w:rsidR="009516CA" w:rsidRPr="00C923F1">
        <w:rPr>
          <w:rFonts w:ascii="Times New Roman" w:hAnsi="Times New Roman" w:cs="Times New Roman"/>
        </w:rPr>
        <w:t xml:space="preserve"> la divulgación de las grandes especialidades</w:t>
      </w:r>
      <w:r w:rsidR="00823AB0" w:rsidRPr="00C923F1">
        <w:rPr>
          <w:rFonts w:ascii="Times New Roman" w:hAnsi="Times New Roman" w:cs="Times New Roman"/>
        </w:rPr>
        <w:t>,</w:t>
      </w:r>
      <w:r w:rsidR="009516CA" w:rsidRPr="00C923F1">
        <w:rPr>
          <w:rFonts w:ascii="Times New Roman" w:hAnsi="Times New Roman" w:cs="Times New Roman"/>
        </w:rPr>
        <w:t xml:space="preserve"> </w:t>
      </w:r>
      <w:r w:rsidR="00823AB0" w:rsidRPr="00C923F1">
        <w:rPr>
          <w:rFonts w:ascii="Times New Roman" w:hAnsi="Times New Roman" w:cs="Times New Roman"/>
        </w:rPr>
        <w:t>acercando y conectando en su</w:t>
      </w:r>
      <w:r w:rsidR="009516CA" w:rsidRPr="00C923F1">
        <w:rPr>
          <w:rFonts w:ascii="Times New Roman" w:hAnsi="Times New Roman" w:cs="Times New Roman"/>
        </w:rPr>
        <w:t xml:space="preserve"> integración </w:t>
      </w:r>
      <w:r w:rsidR="00823AB0">
        <w:rPr>
          <w:rFonts w:ascii="Times New Roman" w:hAnsi="Times New Roman" w:cs="Times New Roman"/>
        </w:rPr>
        <w:t>a</w:t>
      </w:r>
      <w:r w:rsidR="009516CA">
        <w:rPr>
          <w:rFonts w:ascii="Times New Roman" w:hAnsi="Times New Roman" w:cs="Times New Roman"/>
        </w:rPr>
        <w:t xml:space="preserve"> los jóvenes que se encuentran estudiando o están por egresar de un nivel profesional, buscando a través de</w:t>
      </w:r>
      <w:r w:rsidR="00823AB0">
        <w:rPr>
          <w:rFonts w:ascii="Times New Roman" w:hAnsi="Times New Roman" w:cs="Times New Roman"/>
        </w:rPr>
        <w:t xml:space="preserve"> los esfuerzos de difusión y divulgación</w:t>
      </w:r>
      <w:r w:rsidR="009516CA">
        <w:rPr>
          <w:rFonts w:ascii="Times New Roman" w:hAnsi="Times New Roman" w:cs="Times New Roman"/>
        </w:rPr>
        <w:t xml:space="preserve"> la </w:t>
      </w:r>
      <w:r w:rsidR="009516CA" w:rsidRPr="00F8478F">
        <w:rPr>
          <w:rFonts w:ascii="Times New Roman" w:hAnsi="Times New Roman" w:cs="Times New Roman"/>
        </w:rPr>
        <w:t xml:space="preserve">igualdad de género </w:t>
      </w:r>
      <w:r w:rsidRPr="00F8478F">
        <w:rPr>
          <w:rFonts w:ascii="Times New Roman" w:hAnsi="Times New Roman" w:cs="Times New Roman"/>
          <w:noProof/>
          <w:lang w:val="es-ES"/>
        </w:rPr>
        <w:t>(Retana, V</w:t>
      </w:r>
      <w:r w:rsidR="00A61CCA">
        <w:rPr>
          <w:rFonts w:ascii="Times New Roman" w:hAnsi="Times New Roman" w:cs="Times New Roman"/>
          <w:noProof/>
          <w:lang w:val="es-ES"/>
        </w:rPr>
        <w:t>á</w:t>
      </w:r>
      <w:r w:rsidRPr="00F8478F">
        <w:rPr>
          <w:rFonts w:ascii="Times New Roman" w:hAnsi="Times New Roman" w:cs="Times New Roman"/>
          <w:noProof/>
          <w:lang w:val="es-ES"/>
        </w:rPr>
        <w:t xml:space="preserve">zquez </w:t>
      </w:r>
      <w:r w:rsidR="00725D6E">
        <w:rPr>
          <w:rFonts w:ascii="Times New Roman" w:hAnsi="Times New Roman" w:cs="Times New Roman"/>
          <w:noProof/>
          <w:lang w:val="es-ES"/>
        </w:rPr>
        <w:t>y</w:t>
      </w:r>
      <w:r w:rsidRPr="00F8478F">
        <w:rPr>
          <w:rFonts w:ascii="Times New Roman" w:hAnsi="Times New Roman" w:cs="Times New Roman"/>
          <w:noProof/>
          <w:lang w:val="es-ES"/>
        </w:rPr>
        <w:t xml:space="preserve"> Camacho, 2018)</w:t>
      </w:r>
      <w:r w:rsidR="009516CA" w:rsidRPr="00F8478F">
        <w:rPr>
          <w:rFonts w:ascii="Times New Roman" w:hAnsi="Times New Roman" w:cs="Times New Roman"/>
        </w:rPr>
        <w:t>.</w:t>
      </w:r>
      <w:r w:rsidR="00A61CCA">
        <w:rPr>
          <w:rFonts w:ascii="Times New Roman" w:hAnsi="Times New Roman" w:cs="Times New Roman"/>
        </w:rPr>
        <w:t xml:space="preserve"> </w:t>
      </w:r>
      <w:r w:rsidR="00A61CCA" w:rsidRPr="00F66BA0">
        <w:rPr>
          <w:rFonts w:ascii="Times New Roman" w:hAnsi="Times New Roman" w:cs="Times New Roman"/>
        </w:rPr>
        <w:t>En tal sentido</w:t>
      </w:r>
      <w:r w:rsidR="00C15477">
        <w:rPr>
          <w:rFonts w:ascii="Times New Roman" w:hAnsi="Times New Roman" w:cs="Times New Roman"/>
        </w:rPr>
        <w:t>,</w:t>
      </w:r>
      <w:r w:rsidR="00A61CCA" w:rsidRPr="00F66BA0">
        <w:rPr>
          <w:rFonts w:ascii="Times New Roman" w:hAnsi="Times New Roman" w:cs="Times New Roman"/>
        </w:rPr>
        <w:t xml:space="preserve"> Guevara y Flores </w:t>
      </w:r>
      <w:r w:rsidR="00877C80">
        <w:rPr>
          <w:rFonts w:ascii="Times New Roman" w:hAnsi="Times New Roman" w:cs="Times New Roman"/>
        </w:rPr>
        <w:t>(</w:t>
      </w:r>
      <w:r w:rsidR="00A61CCA" w:rsidRPr="00F66BA0">
        <w:rPr>
          <w:rFonts w:ascii="Times New Roman" w:hAnsi="Times New Roman" w:cs="Times New Roman"/>
        </w:rPr>
        <w:t>2018) indican que la educación científica tiene mayor presencia y relevancia de forma internacional</w:t>
      </w:r>
      <w:r w:rsidR="00F66BA0" w:rsidRPr="00F66BA0">
        <w:rPr>
          <w:rFonts w:ascii="Times New Roman" w:hAnsi="Times New Roman" w:cs="Times New Roman"/>
        </w:rPr>
        <w:t xml:space="preserve"> debido a que la exclusión de esta contrae un problema de justicia social</w:t>
      </w:r>
      <w:r w:rsidR="00A05AB6">
        <w:rPr>
          <w:rFonts w:ascii="Times New Roman" w:hAnsi="Times New Roman" w:cs="Times New Roman"/>
        </w:rPr>
        <w:t>,</w:t>
      </w:r>
      <w:r w:rsidR="00F66BA0" w:rsidRPr="00F66BA0">
        <w:rPr>
          <w:rFonts w:ascii="Times New Roman" w:hAnsi="Times New Roman" w:cs="Times New Roman"/>
        </w:rPr>
        <w:t xml:space="preserve"> de género femenino, lo que incidirá en el incremento</w:t>
      </w:r>
      <w:r w:rsidR="00B82BC1">
        <w:rPr>
          <w:rFonts w:ascii="Times New Roman" w:hAnsi="Times New Roman" w:cs="Times New Roman"/>
        </w:rPr>
        <w:t xml:space="preserve"> o decremento</w:t>
      </w:r>
      <w:r w:rsidR="00F66BA0" w:rsidRPr="00F66BA0">
        <w:rPr>
          <w:rFonts w:ascii="Times New Roman" w:hAnsi="Times New Roman" w:cs="Times New Roman"/>
        </w:rPr>
        <w:t xml:space="preserve"> </w:t>
      </w:r>
      <w:r w:rsidR="003B31F3">
        <w:rPr>
          <w:rFonts w:ascii="Times New Roman" w:hAnsi="Times New Roman" w:cs="Times New Roman"/>
        </w:rPr>
        <w:t>de</w:t>
      </w:r>
      <w:r w:rsidR="003B31F3" w:rsidRPr="00F66BA0">
        <w:rPr>
          <w:rFonts w:ascii="Times New Roman" w:hAnsi="Times New Roman" w:cs="Times New Roman"/>
        </w:rPr>
        <w:t xml:space="preserve"> </w:t>
      </w:r>
      <w:r w:rsidR="00F66BA0" w:rsidRPr="00F66BA0">
        <w:rPr>
          <w:rFonts w:ascii="Times New Roman" w:hAnsi="Times New Roman" w:cs="Times New Roman"/>
        </w:rPr>
        <w:t>la participación de mujeres en los escenarios de investigación y ciencia.</w:t>
      </w:r>
      <w:r w:rsidR="00F66BA0">
        <w:rPr>
          <w:rFonts w:ascii="Times New Roman" w:hAnsi="Times New Roman" w:cs="Times New Roman"/>
        </w:rPr>
        <w:t xml:space="preserve"> </w:t>
      </w:r>
      <w:r w:rsidR="00737535" w:rsidRPr="00F8478F">
        <w:rPr>
          <w:rFonts w:ascii="Times New Roman" w:hAnsi="Times New Roman" w:cs="Times New Roman"/>
        </w:rPr>
        <w:t>Por otra parte</w:t>
      </w:r>
      <w:r w:rsidR="00737535">
        <w:rPr>
          <w:rFonts w:ascii="Times New Roman" w:hAnsi="Times New Roman" w:cs="Times New Roman"/>
        </w:rPr>
        <w:t>,</w:t>
      </w:r>
      <w:r w:rsidR="00737535" w:rsidRPr="00F8478F">
        <w:rPr>
          <w:rFonts w:ascii="Times New Roman" w:hAnsi="Times New Roman" w:cs="Times New Roman"/>
        </w:rPr>
        <w:t xml:space="preserve"> </w:t>
      </w:r>
      <w:r w:rsidR="003B31F3">
        <w:rPr>
          <w:rFonts w:ascii="Times New Roman" w:hAnsi="Times New Roman" w:cs="Times New Roman"/>
        </w:rPr>
        <w:t>si bien hay diversas estrategias para fomentar las</w:t>
      </w:r>
      <w:r w:rsidR="00737535">
        <w:rPr>
          <w:rFonts w:ascii="Times New Roman" w:hAnsi="Times New Roman" w:cs="Times New Roman"/>
        </w:rPr>
        <w:t xml:space="preserve"> vocaciones científicas</w:t>
      </w:r>
      <w:r w:rsidR="00710ECF">
        <w:rPr>
          <w:rFonts w:ascii="Times New Roman" w:hAnsi="Times New Roman" w:cs="Times New Roman"/>
        </w:rPr>
        <w:t>,</w:t>
      </w:r>
      <w:r w:rsidR="00737535">
        <w:rPr>
          <w:rFonts w:ascii="Times New Roman" w:hAnsi="Times New Roman" w:cs="Times New Roman"/>
        </w:rPr>
        <w:t xml:space="preserve"> la pandemia es un factor </w:t>
      </w:r>
      <w:r w:rsidR="001F3BE3">
        <w:rPr>
          <w:rFonts w:ascii="Times New Roman" w:hAnsi="Times New Roman" w:cs="Times New Roman"/>
        </w:rPr>
        <w:t xml:space="preserve">que </w:t>
      </w:r>
      <w:r w:rsidR="00701957">
        <w:rPr>
          <w:rFonts w:ascii="Times New Roman" w:hAnsi="Times New Roman" w:cs="Times New Roman"/>
        </w:rPr>
        <w:t xml:space="preserve">se ha interpuesto </w:t>
      </w:r>
      <w:r w:rsidR="00231220">
        <w:rPr>
          <w:rFonts w:ascii="Times New Roman" w:hAnsi="Times New Roman" w:cs="Times New Roman"/>
        </w:rPr>
        <w:t>y modificado</w:t>
      </w:r>
      <w:r w:rsidR="0061041E">
        <w:rPr>
          <w:rFonts w:ascii="Times New Roman" w:hAnsi="Times New Roman" w:cs="Times New Roman"/>
        </w:rPr>
        <w:t xml:space="preserve"> dicho abanico</w:t>
      </w:r>
      <w:r w:rsidR="008440A8">
        <w:rPr>
          <w:rFonts w:ascii="Times New Roman" w:hAnsi="Times New Roman" w:cs="Times New Roman"/>
        </w:rPr>
        <w:t xml:space="preserve">, especialmente </w:t>
      </w:r>
      <w:r w:rsidR="00231220">
        <w:rPr>
          <w:rFonts w:ascii="Times New Roman" w:hAnsi="Times New Roman" w:cs="Times New Roman"/>
        </w:rPr>
        <w:t xml:space="preserve">en acciones </w:t>
      </w:r>
      <w:r w:rsidR="008440A8">
        <w:rPr>
          <w:rFonts w:ascii="Times New Roman" w:hAnsi="Times New Roman" w:cs="Times New Roman"/>
        </w:rPr>
        <w:t>dirigida</w:t>
      </w:r>
      <w:r w:rsidR="00231220">
        <w:rPr>
          <w:rFonts w:ascii="Times New Roman" w:hAnsi="Times New Roman" w:cs="Times New Roman"/>
        </w:rPr>
        <w:t>s</w:t>
      </w:r>
      <w:r w:rsidR="008440A8">
        <w:rPr>
          <w:rFonts w:ascii="Times New Roman" w:hAnsi="Times New Roman" w:cs="Times New Roman"/>
        </w:rPr>
        <w:t xml:space="preserve"> </w:t>
      </w:r>
      <w:r w:rsidR="00737535">
        <w:rPr>
          <w:rFonts w:ascii="Times New Roman" w:hAnsi="Times New Roman" w:cs="Times New Roman"/>
        </w:rPr>
        <w:t>hacia la juventud</w:t>
      </w:r>
      <w:r w:rsidR="00231220">
        <w:rPr>
          <w:rFonts w:ascii="Times New Roman" w:hAnsi="Times New Roman" w:cs="Times New Roman"/>
        </w:rPr>
        <w:t xml:space="preserve">, puesto que predomina un </w:t>
      </w:r>
      <w:r w:rsidR="00737535">
        <w:rPr>
          <w:rFonts w:ascii="Times New Roman" w:hAnsi="Times New Roman" w:cs="Times New Roman"/>
        </w:rPr>
        <w:t>escenario completamente tecnológico.</w:t>
      </w:r>
    </w:p>
    <w:p w14:paraId="16747D2C" w14:textId="77777777" w:rsidR="00873588" w:rsidRDefault="00873588" w:rsidP="00FF6D96">
      <w:pPr>
        <w:spacing w:line="360" w:lineRule="auto"/>
        <w:ind w:firstLine="708"/>
        <w:jc w:val="both"/>
        <w:rPr>
          <w:rFonts w:ascii="Times New Roman" w:hAnsi="Times New Roman" w:cs="Times New Roman"/>
        </w:rPr>
      </w:pPr>
    </w:p>
    <w:p w14:paraId="7A8C3268" w14:textId="33DF068F" w:rsidR="00890F1E" w:rsidRPr="00DA11F9" w:rsidRDefault="00931084" w:rsidP="00421EB7">
      <w:pPr>
        <w:spacing w:line="360" w:lineRule="auto"/>
        <w:jc w:val="center"/>
        <w:rPr>
          <w:rFonts w:ascii="Times New Roman" w:hAnsi="Times New Roman" w:cs="Times New Roman"/>
          <w:b/>
          <w:bCs/>
          <w:sz w:val="28"/>
        </w:rPr>
      </w:pPr>
      <w:r w:rsidRPr="00094ACE">
        <w:rPr>
          <w:rFonts w:ascii="Times New Roman" w:hAnsi="Times New Roman" w:cs="Times New Roman"/>
          <w:b/>
          <w:bCs/>
          <w:sz w:val="28"/>
        </w:rPr>
        <w:lastRenderedPageBreak/>
        <w:t>E</w:t>
      </w:r>
      <w:r w:rsidR="00890F1E" w:rsidRPr="00094ACE">
        <w:rPr>
          <w:rFonts w:ascii="Times New Roman" w:hAnsi="Times New Roman" w:cs="Times New Roman"/>
          <w:b/>
          <w:bCs/>
          <w:sz w:val="28"/>
        </w:rPr>
        <w:t>strategias de divulgación científica</w:t>
      </w:r>
    </w:p>
    <w:p w14:paraId="779618CD" w14:textId="164566FC" w:rsidR="00663408" w:rsidRPr="00D94503" w:rsidRDefault="00D8639D" w:rsidP="00FF6D96">
      <w:pPr>
        <w:spacing w:line="360" w:lineRule="auto"/>
        <w:ind w:firstLine="708"/>
        <w:jc w:val="both"/>
        <w:rPr>
          <w:rFonts w:ascii="Times New Roman" w:hAnsi="Times New Roman" w:cs="Times New Roman"/>
        </w:rPr>
      </w:pPr>
      <w:r>
        <w:rPr>
          <w:rFonts w:ascii="Times New Roman" w:hAnsi="Times New Roman" w:cs="Times New Roman"/>
        </w:rPr>
        <w:t>L</w:t>
      </w:r>
      <w:r w:rsidR="00F43CAF" w:rsidRPr="00D94503">
        <w:rPr>
          <w:rFonts w:ascii="Times New Roman" w:hAnsi="Times New Roman" w:cs="Times New Roman"/>
        </w:rPr>
        <w:t xml:space="preserve">as estrategias </w:t>
      </w:r>
      <w:r w:rsidR="00F55557">
        <w:rPr>
          <w:rFonts w:ascii="Times New Roman" w:hAnsi="Times New Roman" w:cs="Times New Roman"/>
        </w:rPr>
        <w:t>son</w:t>
      </w:r>
      <w:r w:rsidR="00F43CAF" w:rsidRPr="00D94503">
        <w:rPr>
          <w:rFonts w:ascii="Times New Roman" w:hAnsi="Times New Roman" w:cs="Times New Roman"/>
        </w:rPr>
        <w:t xml:space="preserve"> esfuerzos planteados </w:t>
      </w:r>
      <w:r w:rsidR="00614A45" w:rsidRPr="00D94503">
        <w:rPr>
          <w:rFonts w:ascii="Times New Roman" w:hAnsi="Times New Roman" w:cs="Times New Roman"/>
        </w:rPr>
        <w:t xml:space="preserve">y establecidos con el propósito de direccionar </w:t>
      </w:r>
      <w:r w:rsidR="0003215D" w:rsidRPr="00D94503">
        <w:rPr>
          <w:rFonts w:ascii="Times New Roman" w:hAnsi="Times New Roman" w:cs="Times New Roman"/>
        </w:rPr>
        <w:t>las energías</w:t>
      </w:r>
      <w:r w:rsidR="00614A45" w:rsidRPr="00D94503">
        <w:rPr>
          <w:rFonts w:ascii="Times New Roman" w:hAnsi="Times New Roman" w:cs="Times New Roman"/>
        </w:rPr>
        <w:t xml:space="preserve"> de manera organizada, en donde las acciones se describ</w:t>
      </w:r>
      <w:r w:rsidR="00B94835" w:rsidRPr="00D94503">
        <w:rPr>
          <w:rFonts w:ascii="Times New Roman" w:hAnsi="Times New Roman" w:cs="Times New Roman"/>
        </w:rPr>
        <w:t>e</w:t>
      </w:r>
      <w:r w:rsidR="00614A45" w:rsidRPr="00D94503">
        <w:rPr>
          <w:rFonts w:ascii="Times New Roman" w:hAnsi="Times New Roman" w:cs="Times New Roman"/>
        </w:rPr>
        <w:t>n de forma precisa para el logro exitoso de los resultados.</w:t>
      </w:r>
      <w:r w:rsidR="00074716" w:rsidRPr="00D94503">
        <w:rPr>
          <w:rFonts w:ascii="Times New Roman" w:hAnsi="Times New Roman" w:cs="Times New Roman"/>
        </w:rPr>
        <w:t xml:space="preserve"> El planteamiento de las estrategias se asocia con los recursos que se disponen en las organizaciones, así como</w:t>
      </w:r>
      <w:r w:rsidR="00076411">
        <w:rPr>
          <w:rFonts w:ascii="Times New Roman" w:hAnsi="Times New Roman" w:cs="Times New Roman"/>
        </w:rPr>
        <w:t xml:space="preserve"> con</w:t>
      </w:r>
      <w:r w:rsidR="00074716" w:rsidRPr="00D94503">
        <w:rPr>
          <w:rFonts w:ascii="Times New Roman" w:hAnsi="Times New Roman" w:cs="Times New Roman"/>
        </w:rPr>
        <w:t xml:space="preserve"> el compromiso de los directivos para su aplicación</w:t>
      </w:r>
      <w:r w:rsidR="00076411">
        <w:rPr>
          <w:rFonts w:ascii="Times New Roman" w:hAnsi="Times New Roman" w:cs="Times New Roman"/>
        </w:rPr>
        <w:t>.</w:t>
      </w:r>
      <w:r w:rsidR="00076411" w:rsidRPr="00D94503">
        <w:rPr>
          <w:rFonts w:ascii="Times New Roman" w:hAnsi="Times New Roman" w:cs="Times New Roman"/>
        </w:rPr>
        <w:t xml:space="preserve"> </w:t>
      </w:r>
      <w:r w:rsidR="00076411">
        <w:rPr>
          <w:rFonts w:ascii="Times New Roman" w:hAnsi="Times New Roman" w:cs="Times New Roman"/>
        </w:rPr>
        <w:t>E</w:t>
      </w:r>
      <w:r w:rsidR="00076411" w:rsidRPr="00D94503">
        <w:rPr>
          <w:rFonts w:ascii="Times New Roman" w:hAnsi="Times New Roman" w:cs="Times New Roman"/>
        </w:rPr>
        <w:t xml:space="preserve">n </w:t>
      </w:r>
      <w:r w:rsidR="00074716" w:rsidRPr="00D94503">
        <w:rPr>
          <w:rFonts w:ascii="Times New Roman" w:hAnsi="Times New Roman" w:cs="Times New Roman"/>
        </w:rPr>
        <w:t>ellas interviene</w:t>
      </w:r>
      <w:r w:rsidR="006A4685" w:rsidRPr="00D94503">
        <w:rPr>
          <w:rFonts w:ascii="Times New Roman" w:hAnsi="Times New Roman" w:cs="Times New Roman"/>
        </w:rPr>
        <w:t>n</w:t>
      </w:r>
      <w:r w:rsidR="00074716" w:rsidRPr="00D94503">
        <w:rPr>
          <w:rFonts w:ascii="Times New Roman" w:hAnsi="Times New Roman" w:cs="Times New Roman"/>
        </w:rPr>
        <w:t xml:space="preserve"> los altos </w:t>
      </w:r>
      <w:r w:rsidR="0003215D">
        <w:rPr>
          <w:rFonts w:ascii="Times New Roman" w:hAnsi="Times New Roman" w:cs="Times New Roman"/>
        </w:rPr>
        <w:t>mandos</w:t>
      </w:r>
      <w:r w:rsidR="0003215D" w:rsidRPr="00D94503">
        <w:rPr>
          <w:rFonts w:ascii="Times New Roman" w:hAnsi="Times New Roman" w:cs="Times New Roman"/>
        </w:rPr>
        <w:t xml:space="preserve"> y</w:t>
      </w:r>
      <w:r w:rsidR="00861ACB" w:rsidRPr="00D94503">
        <w:rPr>
          <w:rFonts w:ascii="Times New Roman" w:hAnsi="Times New Roman" w:cs="Times New Roman"/>
        </w:rPr>
        <w:t xml:space="preserve"> </w:t>
      </w:r>
      <w:r w:rsidR="006A4685" w:rsidRPr="00D94503">
        <w:rPr>
          <w:rFonts w:ascii="Times New Roman" w:hAnsi="Times New Roman" w:cs="Times New Roman"/>
        </w:rPr>
        <w:t xml:space="preserve">la delegación que estos ejerzan en otros niveles en la estructura orgánica </w:t>
      </w:r>
      <w:r w:rsidR="00861ACB" w:rsidRPr="00D94503">
        <w:rPr>
          <w:rFonts w:ascii="Times New Roman" w:hAnsi="Times New Roman" w:cs="Times New Roman"/>
        </w:rPr>
        <w:t>(Contreras, 2013)</w:t>
      </w:r>
      <w:r w:rsidR="00074716" w:rsidRPr="00D94503">
        <w:rPr>
          <w:rFonts w:ascii="Times New Roman" w:hAnsi="Times New Roman" w:cs="Times New Roman"/>
        </w:rPr>
        <w:t>.</w:t>
      </w:r>
      <w:r w:rsidR="00A403C6" w:rsidRPr="00D94503">
        <w:rPr>
          <w:rFonts w:ascii="Times New Roman" w:hAnsi="Times New Roman" w:cs="Times New Roman"/>
        </w:rPr>
        <w:t xml:space="preserve"> Por consiguiente, la implementación, ejecución, seguimiento y control de las estrategias se convierte en el reto de mayor relevancia de las organizaciones. Esto último, de manera específica, para verificar </w:t>
      </w:r>
      <w:r w:rsidR="0003215D">
        <w:rPr>
          <w:rFonts w:ascii="Times New Roman" w:hAnsi="Times New Roman" w:cs="Times New Roman"/>
        </w:rPr>
        <w:t>la</w:t>
      </w:r>
      <w:r w:rsidR="00A403C6" w:rsidRPr="00D94503">
        <w:rPr>
          <w:rFonts w:ascii="Times New Roman" w:hAnsi="Times New Roman" w:cs="Times New Roman"/>
        </w:rPr>
        <w:t xml:space="preserve"> realización efectiva </w:t>
      </w:r>
      <w:r w:rsidR="002B0B34" w:rsidRPr="00D94503">
        <w:rPr>
          <w:rFonts w:ascii="Times New Roman" w:hAnsi="Times New Roman" w:cs="Times New Roman"/>
        </w:rPr>
        <w:t>(Sanabria y Moreno, 2018).</w:t>
      </w:r>
      <w:r w:rsidR="00A403C6" w:rsidRPr="00D94503">
        <w:rPr>
          <w:rFonts w:ascii="Times New Roman" w:hAnsi="Times New Roman" w:cs="Times New Roman"/>
        </w:rPr>
        <w:t xml:space="preserve"> </w:t>
      </w:r>
      <w:r w:rsidR="00663408" w:rsidRPr="00D94503">
        <w:rPr>
          <w:rFonts w:ascii="Times New Roman" w:hAnsi="Times New Roman" w:cs="Times New Roman"/>
        </w:rPr>
        <w:t xml:space="preserve">Asimismo, son las estrategias de enseñanza y de aprendizaje las que definen la percepción de los estudiantes sobre temas de ciencia y tecnología como parte de la cultura de las instituciones educativas. En </w:t>
      </w:r>
      <w:r w:rsidR="007B7659">
        <w:rPr>
          <w:rFonts w:ascii="Times New Roman" w:hAnsi="Times New Roman" w:cs="Times New Roman"/>
        </w:rPr>
        <w:t>este caso</w:t>
      </w:r>
      <w:r w:rsidR="00663408" w:rsidRPr="00D94503">
        <w:rPr>
          <w:rFonts w:ascii="Times New Roman" w:hAnsi="Times New Roman" w:cs="Times New Roman"/>
        </w:rPr>
        <w:t xml:space="preserve">, la estrategia de enseñanza refiere </w:t>
      </w:r>
      <w:r w:rsidR="007D283A" w:rsidRPr="00D94503">
        <w:rPr>
          <w:rFonts w:ascii="Times New Roman" w:hAnsi="Times New Roman" w:cs="Times New Roman"/>
        </w:rPr>
        <w:t>a la</w:t>
      </w:r>
      <w:r w:rsidR="00283D5A" w:rsidRPr="00D94503">
        <w:rPr>
          <w:rFonts w:ascii="Times New Roman" w:hAnsi="Times New Roman" w:cs="Times New Roman"/>
        </w:rPr>
        <w:t xml:space="preserve"> utilización de métodos y técnicas que son necesarias en las asignaturas para </w:t>
      </w:r>
      <w:r w:rsidR="00417E06" w:rsidRPr="00D94503">
        <w:rPr>
          <w:rFonts w:ascii="Times New Roman" w:hAnsi="Times New Roman" w:cs="Times New Roman"/>
        </w:rPr>
        <w:t>su comprensión</w:t>
      </w:r>
      <w:r w:rsidR="007B7659">
        <w:rPr>
          <w:rFonts w:ascii="Times New Roman" w:hAnsi="Times New Roman" w:cs="Times New Roman"/>
        </w:rPr>
        <w:t>.</w:t>
      </w:r>
      <w:r w:rsidR="007B7659" w:rsidRPr="00D94503">
        <w:rPr>
          <w:rFonts w:ascii="Times New Roman" w:hAnsi="Times New Roman" w:cs="Times New Roman"/>
        </w:rPr>
        <w:t xml:space="preserve"> </w:t>
      </w:r>
      <w:r w:rsidR="007B7659">
        <w:rPr>
          <w:rFonts w:ascii="Times New Roman" w:hAnsi="Times New Roman" w:cs="Times New Roman"/>
        </w:rPr>
        <w:t>P</w:t>
      </w:r>
      <w:r w:rsidR="007B7659" w:rsidRPr="00D94503">
        <w:rPr>
          <w:rFonts w:ascii="Times New Roman" w:hAnsi="Times New Roman" w:cs="Times New Roman"/>
        </w:rPr>
        <w:t xml:space="preserve">ara </w:t>
      </w:r>
      <w:r w:rsidR="00417E06" w:rsidRPr="00D94503">
        <w:rPr>
          <w:rFonts w:ascii="Times New Roman" w:hAnsi="Times New Roman" w:cs="Times New Roman"/>
        </w:rPr>
        <w:t>ello</w:t>
      </w:r>
      <w:r w:rsidR="007B7659">
        <w:rPr>
          <w:rFonts w:ascii="Times New Roman" w:hAnsi="Times New Roman" w:cs="Times New Roman"/>
        </w:rPr>
        <w:t>,</w:t>
      </w:r>
      <w:r w:rsidR="00417E06" w:rsidRPr="00D94503">
        <w:rPr>
          <w:rFonts w:ascii="Times New Roman" w:hAnsi="Times New Roman" w:cs="Times New Roman"/>
        </w:rPr>
        <w:t xml:space="preserve"> se requiere que los docentes se encuentren disponibles en el aprendizaje para enseñar, es decir, prepararse para la selección, organización y procesamiento de la información y conocimiento que reciben</w:t>
      </w:r>
      <w:r w:rsidR="00565B72">
        <w:rPr>
          <w:rFonts w:ascii="Times New Roman" w:hAnsi="Times New Roman" w:cs="Times New Roman"/>
        </w:rPr>
        <w:t>,</w:t>
      </w:r>
      <w:r w:rsidR="00417E06" w:rsidRPr="00D94503">
        <w:rPr>
          <w:rFonts w:ascii="Times New Roman" w:hAnsi="Times New Roman" w:cs="Times New Roman"/>
        </w:rPr>
        <w:t xml:space="preserve"> con la utilización de diversas vías para movilizar el conocimiento hacia los estudiantes</w:t>
      </w:r>
      <w:r w:rsidR="007D283A" w:rsidRPr="00D94503">
        <w:rPr>
          <w:rFonts w:ascii="Times New Roman" w:hAnsi="Times New Roman" w:cs="Times New Roman"/>
        </w:rPr>
        <w:t xml:space="preserve"> (Jerónimo y Yaniz, 2019)</w:t>
      </w:r>
      <w:r w:rsidR="00417E06" w:rsidRPr="00D94503">
        <w:rPr>
          <w:rFonts w:ascii="Times New Roman" w:hAnsi="Times New Roman" w:cs="Times New Roman"/>
        </w:rPr>
        <w:t>.</w:t>
      </w:r>
      <w:r w:rsidR="00E0746A" w:rsidRPr="00D94503">
        <w:rPr>
          <w:rFonts w:ascii="Times New Roman" w:hAnsi="Times New Roman" w:cs="Times New Roman"/>
        </w:rPr>
        <w:t xml:space="preserve"> </w:t>
      </w:r>
    </w:p>
    <w:p w14:paraId="7B56C0BD" w14:textId="192C00DC" w:rsidR="008F7127" w:rsidRPr="00D94503" w:rsidRDefault="008F7127" w:rsidP="00FF6D96">
      <w:pPr>
        <w:spacing w:line="360" w:lineRule="auto"/>
        <w:ind w:firstLine="708"/>
        <w:jc w:val="both"/>
        <w:rPr>
          <w:rFonts w:ascii="Times New Roman" w:hAnsi="Times New Roman" w:cs="Times New Roman"/>
        </w:rPr>
      </w:pPr>
      <w:r w:rsidRPr="00D94503">
        <w:rPr>
          <w:rFonts w:ascii="Times New Roman" w:hAnsi="Times New Roman" w:cs="Times New Roman"/>
        </w:rPr>
        <w:t xml:space="preserve">En el siglo </w:t>
      </w:r>
      <w:r w:rsidR="00191244">
        <w:rPr>
          <w:rFonts w:ascii="Times New Roman" w:hAnsi="Times New Roman" w:cs="Times New Roman"/>
        </w:rPr>
        <w:t>21</w:t>
      </w:r>
      <w:r w:rsidRPr="00D94503">
        <w:rPr>
          <w:rFonts w:ascii="Times New Roman" w:hAnsi="Times New Roman" w:cs="Times New Roman"/>
        </w:rPr>
        <w:t xml:space="preserve">, los estudiantes son los actores en el proceso de enseñanza-aprendizaje, </w:t>
      </w:r>
      <w:r w:rsidR="00371FA7" w:rsidRPr="00D94503">
        <w:rPr>
          <w:rFonts w:ascii="Times New Roman" w:hAnsi="Times New Roman" w:cs="Times New Roman"/>
        </w:rPr>
        <w:t xml:space="preserve">hacia quienes se le busca direccionar </w:t>
      </w:r>
      <w:r w:rsidRPr="00D94503">
        <w:rPr>
          <w:rFonts w:ascii="Times New Roman" w:hAnsi="Times New Roman" w:cs="Times New Roman"/>
        </w:rPr>
        <w:t xml:space="preserve">acciones de aprendizaje </w:t>
      </w:r>
      <w:r w:rsidR="00C20BAD" w:rsidRPr="00D94503">
        <w:rPr>
          <w:rFonts w:ascii="Times New Roman" w:hAnsi="Times New Roman" w:cs="Times New Roman"/>
        </w:rPr>
        <w:t xml:space="preserve">concretas y </w:t>
      </w:r>
      <w:r w:rsidRPr="00D94503">
        <w:rPr>
          <w:rFonts w:ascii="Times New Roman" w:hAnsi="Times New Roman" w:cs="Times New Roman"/>
        </w:rPr>
        <w:t xml:space="preserve">efectivas, </w:t>
      </w:r>
      <w:r w:rsidR="00C20BAD" w:rsidRPr="00D94503">
        <w:rPr>
          <w:rFonts w:ascii="Times New Roman" w:hAnsi="Times New Roman" w:cs="Times New Roman"/>
        </w:rPr>
        <w:t xml:space="preserve">considerando </w:t>
      </w:r>
      <w:r w:rsidRPr="00D94503">
        <w:rPr>
          <w:rFonts w:ascii="Times New Roman" w:hAnsi="Times New Roman" w:cs="Times New Roman"/>
        </w:rPr>
        <w:t xml:space="preserve">los retos que enfrentan </w:t>
      </w:r>
      <w:r w:rsidR="00C20BAD" w:rsidRPr="00D94503">
        <w:rPr>
          <w:rFonts w:ascii="Times New Roman" w:hAnsi="Times New Roman" w:cs="Times New Roman"/>
        </w:rPr>
        <w:t>en cada una de sus asignaturas</w:t>
      </w:r>
      <w:r w:rsidR="000C245F" w:rsidRPr="00D94503">
        <w:rPr>
          <w:rFonts w:ascii="Times New Roman" w:hAnsi="Times New Roman" w:cs="Times New Roman"/>
        </w:rPr>
        <w:t>. Dentro de las capacidades que se requiere</w:t>
      </w:r>
      <w:r w:rsidR="00191244">
        <w:rPr>
          <w:rFonts w:ascii="Times New Roman" w:hAnsi="Times New Roman" w:cs="Times New Roman"/>
        </w:rPr>
        <w:t>n</w:t>
      </w:r>
      <w:r w:rsidR="000C245F" w:rsidRPr="00D94503">
        <w:rPr>
          <w:rFonts w:ascii="Times New Roman" w:hAnsi="Times New Roman" w:cs="Times New Roman"/>
        </w:rPr>
        <w:t xml:space="preserve"> despertar </w:t>
      </w:r>
      <w:r w:rsidR="008F3F87" w:rsidRPr="00D94503">
        <w:rPr>
          <w:rFonts w:ascii="Times New Roman" w:hAnsi="Times New Roman" w:cs="Times New Roman"/>
        </w:rPr>
        <w:t xml:space="preserve">en los actores </w:t>
      </w:r>
      <w:r w:rsidR="000C245F" w:rsidRPr="00D94503">
        <w:rPr>
          <w:rFonts w:ascii="Times New Roman" w:hAnsi="Times New Roman" w:cs="Times New Roman"/>
        </w:rPr>
        <w:t>de manera independiente se encuentra la resolución de problemas, trabajo en equipo, emprendimiento, aprendizaje autónomo, formación ciudadana, etc. (García,</w:t>
      </w:r>
      <w:r w:rsidR="00191244" w:rsidRPr="00191244">
        <w:rPr>
          <w:rFonts w:ascii="Times New Roman" w:hAnsi="Times New Roman" w:cs="Times New Roman"/>
          <w:noProof/>
          <w:lang w:val="es-ES"/>
        </w:rPr>
        <w:t xml:space="preserve"> </w:t>
      </w:r>
      <w:r w:rsidR="00191244" w:rsidRPr="009A217D">
        <w:rPr>
          <w:rFonts w:ascii="Times New Roman" w:hAnsi="Times New Roman" w:cs="Times New Roman"/>
          <w:noProof/>
          <w:lang w:val="es-ES"/>
        </w:rPr>
        <w:t>Fonseca</w:t>
      </w:r>
      <w:r w:rsidR="00191244">
        <w:rPr>
          <w:rFonts w:ascii="Times New Roman" w:hAnsi="Times New Roman" w:cs="Times New Roman"/>
          <w:noProof/>
          <w:lang w:val="es-ES"/>
        </w:rPr>
        <w:t xml:space="preserve"> y</w:t>
      </w:r>
      <w:r w:rsidR="00191244" w:rsidRPr="009A217D">
        <w:rPr>
          <w:rFonts w:ascii="Times New Roman" w:hAnsi="Times New Roman" w:cs="Times New Roman"/>
          <w:noProof/>
          <w:lang w:val="es-ES"/>
        </w:rPr>
        <w:t xml:space="preserve"> Concha</w:t>
      </w:r>
      <w:r w:rsidR="00191244">
        <w:rPr>
          <w:rFonts w:ascii="Times New Roman" w:hAnsi="Times New Roman" w:cs="Times New Roman"/>
          <w:noProof/>
          <w:lang w:val="es-ES"/>
        </w:rPr>
        <w:t>,</w:t>
      </w:r>
      <w:r w:rsidR="000C245F" w:rsidRPr="00D94503">
        <w:rPr>
          <w:rFonts w:ascii="Times New Roman" w:hAnsi="Times New Roman" w:cs="Times New Roman"/>
        </w:rPr>
        <w:t xml:space="preserve"> 2015).</w:t>
      </w:r>
    </w:p>
    <w:p w14:paraId="493741D9" w14:textId="42F5420D" w:rsidR="00C664A9" w:rsidRDefault="00AD358C" w:rsidP="00FF6D96">
      <w:pPr>
        <w:spacing w:line="360" w:lineRule="auto"/>
        <w:ind w:firstLine="708"/>
        <w:jc w:val="both"/>
        <w:rPr>
          <w:rFonts w:ascii="Times New Roman" w:hAnsi="Times New Roman" w:cs="Times New Roman"/>
        </w:rPr>
      </w:pPr>
      <w:r w:rsidRPr="00D94503">
        <w:rPr>
          <w:rFonts w:ascii="Times New Roman" w:hAnsi="Times New Roman" w:cs="Times New Roman"/>
        </w:rPr>
        <w:t>La comunicación del conocimiento se realiza por medio de una gama de agentes, actividades y productos que fomenta</w:t>
      </w:r>
      <w:r w:rsidR="00D8639D">
        <w:rPr>
          <w:rFonts w:ascii="Times New Roman" w:hAnsi="Times New Roman" w:cs="Times New Roman"/>
        </w:rPr>
        <w:t>n</w:t>
      </w:r>
      <w:r w:rsidRPr="00D94503">
        <w:rPr>
          <w:rFonts w:ascii="Times New Roman" w:hAnsi="Times New Roman" w:cs="Times New Roman"/>
        </w:rPr>
        <w:t xml:space="preserve"> el interés</w:t>
      </w:r>
      <w:r w:rsidR="00D8639D">
        <w:rPr>
          <w:rFonts w:ascii="Times New Roman" w:hAnsi="Times New Roman" w:cs="Times New Roman"/>
        </w:rPr>
        <w:t xml:space="preserve"> y</w:t>
      </w:r>
      <w:r w:rsidRPr="00D94503">
        <w:rPr>
          <w:rFonts w:ascii="Times New Roman" w:hAnsi="Times New Roman" w:cs="Times New Roman"/>
        </w:rPr>
        <w:t xml:space="preserve"> opinión, </w:t>
      </w:r>
      <w:r w:rsidR="00352D42">
        <w:rPr>
          <w:rFonts w:ascii="Times New Roman" w:hAnsi="Times New Roman" w:cs="Times New Roman"/>
        </w:rPr>
        <w:t xml:space="preserve">y favorecen así </w:t>
      </w:r>
      <w:r w:rsidRPr="00D94503">
        <w:rPr>
          <w:rFonts w:ascii="Times New Roman" w:hAnsi="Times New Roman" w:cs="Times New Roman"/>
        </w:rPr>
        <w:t xml:space="preserve">la comprensión de la ciudadanía sobre la ciencia y la tecnología. </w:t>
      </w:r>
      <w:r w:rsidR="00C62FD7" w:rsidRPr="00D94503">
        <w:rPr>
          <w:rFonts w:ascii="Times New Roman" w:hAnsi="Times New Roman" w:cs="Times New Roman"/>
        </w:rPr>
        <w:t>L</w:t>
      </w:r>
      <w:r w:rsidRPr="00D94503">
        <w:rPr>
          <w:rFonts w:ascii="Times New Roman" w:hAnsi="Times New Roman" w:cs="Times New Roman"/>
        </w:rPr>
        <w:t>os espacios para la divulgación de la ciencia que se han utilizado son</w:t>
      </w:r>
      <w:r w:rsidR="00C62FD7" w:rsidRPr="00D94503">
        <w:rPr>
          <w:rFonts w:ascii="Times New Roman" w:hAnsi="Times New Roman" w:cs="Times New Roman"/>
        </w:rPr>
        <w:t xml:space="preserve">: la televisión, la radio, revistas, documentales, libros, redes sociales, entre otros espacios. De igual </w:t>
      </w:r>
      <w:r w:rsidR="002E25BD">
        <w:rPr>
          <w:rFonts w:ascii="Times New Roman" w:hAnsi="Times New Roman" w:cs="Times New Roman"/>
        </w:rPr>
        <w:t>forma</w:t>
      </w:r>
      <w:r w:rsidR="00352D42">
        <w:rPr>
          <w:rFonts w:ascii="Times New Roman" w:hAnsi="Times New Roman" w:cs="Times New Roman"/>
        </w:rPr>
        <w:t>,</w:t>
      </w:r>
      <w:r w:rsidR="00C62FD7" w:rsidRPr="00D94503">
        <w:rPr>
          <w:rFonts w:ascii="Times New Roman" w:hAnsi="Times New Roman" w:cs="Times New Roman"/>
        </w:rPr>
        <w:t xml:space="preserve"> se encuentran los espacios en donde es posible la interacción directa con los investigadores o científicos</w:t>
      </w:r>
      <w:r w:rsidR="00352D42">
        <w:rPr>
          <w:rFonts w:ascii="Times New Roman" w:hAnsi="Times New Roman" w:cs="Times New Roman"/>
        </w:rPr>
        <w:t>, tal y</w:t>
      </w:r>
      <w:r w:rsidR="00C62FD7" w:rsidRPr="00D94503">
        <w:rPr>
          <w:rFonts w:ascii="Times New Roman" w:hAnsi="Times New Roman" w:cs="Times New Roman"/>
        </w:rPr>
        <w:t xml:space="preserve"> como: congresos, seminarios</w:t>
      </w:r>
      <w:r w:rsidR="0016708D" w:rsidRPr="00D94503">
        <w:rPr>
          <w:rFonts w:ascii="Times New Roman" w:hAnsi="Times New Roman" w:cs="Times New Roman"/>
        </w:rPr>
        <w:t>, paneles, conferencias, debates y principalmente en actividades que se realizan</w:t>
      </w:r>
      <w:r w:rsidR="006F0EFD">
        <w:rPr>
          <w:rFonts w:ascii="Times New Roman" w:hAnsi="Times New Roman" w:cs="Times New Roman"/>
        </w:rPr>
        <w:t xml:space="preserve"> para el público en general</w:t>
      </w:r>
      <w:r w:rsidR="0016708D" w:rsidRPr="00D94503">
        <w:rPr>
          <w:rFonts w:ascii="Times New Roman" w:hAnsi="Times New Roman" w:cs="Times New Roman"/>
        </w:rPr>
        <w:t xml:space="preserve"> </w:t>
      </w:r>
      <w:r w:rsidR="002B3193">
        <w:rPr>
          <w:rFonts w:ascii="Times New Roman" w:hAnsi="Times New Roman" w:cs="Times New Roman"/>
        </w:rPr>
        <w:t>durante eventos y celebraciones dedicadas a la ciencia y la tecnología</w:t>
      </w:r>
      <w:r w:rsidR="0016708D" w:rsidRPr="00D94503">
        <w:rPr>
          <w:rFonts w:ascii="Times New Roman" w:hAnsi="Times New Roman" w:cs="Times New Roman"/>
        </w:rPr>
        <w:t xml:space="preserve"> (Cortassa</w:t>
      </w:r>
      <w:r w:rsidR="002B3193">
        <w:rPr>
          <w:rFonts w:ascii="Times New Roman" w:hAnsi="Times New Roman" w:cs="Times New Roman"/>
        </w:rPr>
        <w:t>,</w:t>
      </w:r>
      <w:r w:rsidR="0016708D" w:rsidRPr="00D94503">
        <w:rPr>
          <w:rFonts w:ascii="Times New Roman" w:hAnsi="Times New Roman" w:cs="Times New Roman"/>
        </w:rPr>
        <w:t xml:space="preserve"> </w:t>
      </w:r>
      <w:r w:rsidR="002B3193" w:rsidRPr="002B3193">
        <w:rPr>
          <w:rFonts w:ascii="Times New Roman" w:hAnsi="Times New Roman" w:cs="Times New Roman"/>
        </w:rPr>
        <w:lastRenderedPageBreak/>
        <w:t>Wursten, Andrés y Legaria</w:t>
      </w:r>
      <w:r w:rsidR="002B3193">
        <w:rPr>
          <w:rFonts w:ascii="Times New Roman" w:hAnsi="Times New Roman" w:cs="Times New Roman"/>
        </w:rPr>
        <w:t>,</w:t>
      </w:r>
      <w:r w:rsidR="002B3193" w:rsidRPr="002B3193" w:rsidDel="002B3193">
        <w:rPr>
          <w:rFonts w:ascii="Times New Roman" w:hAnsi="Times New Roman" w:cs="Times New Roman"/>
        </w:rPr>
        <w:t xml:space="preserve"> </w:t>
      </w:r>
      <w:r w:rsidR="0016708D" w:rsidRPr="00D94503">
        <w:rPr>
          <w:rFonts w:ascii="Times New Roman" w:hAnsi="Times New Roman" w:cs="Times New Roman"/>
        </w:rPr>
        <w:t>2020).</w:t>
      </w:r>
      <w:r w:rsidR="00444E0A" w:rsidRPr="00D94503">
        <w:rPr>
          <w:rFonts w:ascii="Times New Roman" w:hAnsi="Times New Roman" w:cs="Times New Roman"/>
        </w:rPr>
        <w:t xml:space="preserve"> Es entonces cuando</w:t>
      </w:r>
      <w:r w:rsidR="00C664A9" w:rsidRPr="00D94503">
        <w:rPr>
          <w:rFonts w:ascii="Times New Roman" w:hAnsi="Times New Roman" w:cs="Times New Roman"/>
        </w:rPr>
        <w:t xml:space="preserve"> </w:t>
      </w:r>
      <w:r w:rsidR="00444E0A" w:rsidRPr="00D94503">
        <w:rPr>
          <w:rFonts w:ascii="Times New Roman" w:hAnsi="Times New Roman" w:cs="Times New Roman"/>
        </w:rPr>
        <w:t xml:space="preserve">los resultados de la comunicación se asocian con las estrategias planteadas </w:t>
      </w:r>
      <w:r w:rsidR="00456066">
        <w:rPr>
          <w:rFonts w:ascii="Times New Roman" w:hAnsi="Times New Roman" w:cs="Times New Roman"/>
        </w:rPr>
        <w:t>y se seleccionan</w:t>
      </w:r>
      <w:r w:rsidR="00456066" w:rsidRPr="00D94503">
        <w:rPr>
          <w:rFonts w:ascii="Times New Roman" w:hAnsi="Times New Roman" w:cs="Times New Roman"/>
        </w:rPr>
        <w:t xml:space="preserve"> </w:t>
      </w:r>
      <w:r w:rsidR="00213A1E" w:rsidRPr="00D94503">
        <w:rPr>
          <w:rFonts w:ascii="Times New Roman" w:hAnsi="Times New Roman" w:cs="Times New Roman"/>
        </w:rPr>
        <w:t>los</w:t>
      </w:r>
      <w:r w:rsidR="00444E0A" w:rsidRPr="00D94503">
        <w:rPr>
          <w:rFonts w:ascii="Times New Roman" w:hAnsi="Times New Roman" w:cs="Times New Roman"/>
        </w:rPr>
        <w:t xml:space="preserve"> espacio</w:t>
      </w:r>
      <w:r w:rsidR="00213A1E" w:rsidRPr="00D94503">
        <w:rPr>
          <w:rFonts w:ascii="Times New Roman" w:hAnsi="Times New Roman" w:cs="Times New Roman"/>
        </w:rPr>
        <w:t xml:space="preserve">s </w:t>
      </w:r>
      <w:r w:rsidR="00C664A9" w:rsidRPr="00D94503">
        <w:rPr>
          <w:rFonts w:ascii="Times New Roman" w:hAnsi="Times New Roman" w:cs="Times New Roman"/>
        </w:rPr>
        <w:t>ideal</w:t>
      </w:r>
      <w:r w:rsidR="00213A1E" w:rsidRPr="00D94503">
        <w:rPr>
          <w:rFonts w:ascii="Times New Roman" w:hAnsi="Times New Roman" w:cs="Times New Roman"/>
        </w:rPr>
        <w:t>es</w:t>
      </w:r>
      <w:r w:rsidR="00C664A9" w:rsidRPr="00D94503">
        <w:rPr>
          <w:rFonts w:ascii="Times New Roman" w:hAnsi="Times New Roman" w:cs="Times New Roman"/>
        </w:rPr>
        <w:t xml:space="preserve"> y accesible</w:t>
      </w:r>
      <w:r w:rsidR="00213A1E" w:rsidRPr="00D94503">
        <w:rPr>
          <w:rFonts w:ascii="Times New Roman" w:hAnsi="Times New Roman" w:cs="Times New Roman"/>
        </w:rPr>
        <w:t>s</w:t>
      </w:r>
      <w:r w:rsidR="00C664A9" w:rsidRPr="00D94503">
        <w:rPr>
          <w:rFonts w:ascii="Times New Roman" w:hAnsi="Times New Roman" w:cs="Times New Roman"/>
        </w:rPr>
        <w:t xml:space="preserve"> para los sujetos de estudio o perfil involucrado</w:t>
      </w:r>
      <w:r w:rsidR="00213A1E" w:rsidRPr="00D94503">
        <w:rPr>
          <w:rFonts w:ascii="Times New Roman" w:hAnsi="Times New Roman" w:cs="Times New Roman"/>
        </w:rPr>
        <w:t xml:space="preserve">, es decir, la efectividad de la comunicación científica dependerá del medio utilizado. Para </w:t>
      </w:r>
      <w:r w:rsidR="004952F2" w:rsidRPr="00D94503">
        <w:rPr>
          <w:rFonts w:ascii="Times New Roman" w:hAnsi="Times New Roman" w:cs="Times New Roman"/>
        </w:rPr>
        <w:t>Martín y Gorina (2017)</w:t>
      </w:r>
      <w:r w:rsidR="00456066">
        <w:rPr>
          <w:rFonts w:ascii="Times New Roman" w:hAnsi="Times New Roman" w:cs="Times New Roman"/>
        </w:rPr>
        <w:t>,</w:t>
      </w:r>
      <w:r w:rsidR="00213A1E" w:rsidRPr="00D94503">
        <w:rPr>
          <w:rFonts w:ascii="Times New Roman" w:hAnsi="Times New Roman" w:cs="Times New Roman"/>
        </w:rPr>
        <w:t xml:space="preserve"> “son las universidades una de las fuentes principales de producción científica, encargada de tra</w:t>
      </w:r>
      <w:r w:rsidR="005B4E28">
        <w:rPr>
          <w:rFonts w:ascii="Times New Roman" w:hAnsi="Times New Roman" w:cs="Times New Roman"/>
        </w:rPr>
        <w:t>n</w:t>
      </w:r>
      <w:r w:rsidR="00213A1E" w:rsidRPr="00D94503">
        <w:rPr>
          <w:rFonts w:ascii="Times New Roman" w:hAnsi="Times New Roman" w:cs="Times New Roman"/>
        </w:rPr>
        <w:t>smitir a la sociedad, por diversos canales, los avances en materia de ciencia y tecnología”</w:t>
      </w:r>
      <w:r w:rsidR="00F260E8">
        <w:rPr>
          <w:rFonts w:ascii="Times New Roman" w:hAnsi="Times New Roman" w:cs="Times New Roman"/>
        </w:rPr>
        <w:t xml:space="preserve"> (p. 6)</w:t>
      </w:r>
      <w:r w:rsidR="004952F2" w:rsidRPr="00D94503">
        <w:rPr>
          <w:rFonts w:ascii="Times New Roman" w:hAnsi="Times New Roman" w:cs="Times New Roman"/>
        </w:rPr>
        <w:t>, es decir</w:t>
      </w:r>
      <w:r w:rsidR="00F260E8">
        <w:rPr>
          <w:rFonts w:ascii="Times New Roman" w:hAnsi="Times New Roman" w:cs="Times New Roman"/>
        </w:rPr>
        <w:t>,</w:t>
      </w:r>
      <w:r w:rsidR="004952F2" w:rsidRPr="00D94503">
        <w:rPr>
          <w:rFonts w:ascii="Times New Roman" w:hAnsi="Times New Roman" w:cs="Times New Roman"/>
        </w:rPr>
        <w:t xml:space="preserve"> las instituciones educativas son el vínculo entre investigadores, científicos y especialistas para comunicar de manera certera, amigable y accesible</w:t>
      </w:r>
      <w:r w:rsidR="000C530D" w:rsidRPr="00D94503">
        <w:rPr>
          <w:rFonts w:ascii="Times New Roman" w:hAnsi="Times New Roman" w:cs="Times New Roman"/>
        </w:rPr>
        <w:t xml:space="preserve"> los proyectos, investigaciones y avances en materia científica</w:t>
      </w:r>
      <w:r w:rsidR="00213A1E" w:rsidRPr="00D94503">
        <w:rPr>
          <w:rFonts w:ascii="Times New Roman" w:hAnsi="Times New Roman" w:cs="Times New Roman"/>
        </w:rPr>
        <w:t>.</w:t>
      </w:r>
    </w:p>
    <w:p w14:paraId="151B0885" w14:textId="26E9EF38" w:rsidR="00D8639D" w:rsidRDefault="00D8639D" w:rsidP="00FF6D96">
      <w:pPr>
        <w:spacing w:line="360" w:lineRule="auto"/>
        <w:ind w:firstLine="708"/>
        <w:jc w:val="both"/>
        <w:rPr>
          <w:rFonts w:ascii="Times New Roman" w:hAnsi="Times New Roman" w:cs="Times New Roman"/>
        </w:rPr>
      </w:pPr>
      <w:r w:rsidRPr="00A842E8">
        <w:rPr>
          <w:rFonts w:ascii="Times New Roman" w:hAnsi="Times New Roman" w:cs="Times New Roman"/>
        </w:rPr>
        <w:t>Actualmente</w:t>
      </w:r>
      <w:r w:rsidR="00F260E8">
        <w:rPr>
          <w:rFonts w:ascii="Times New Roman" w:hAnsi="Times New Roman" w:cs="Times New Roman"/>
        </w:rPr>
        <w:t>,</w:t>
      </w:r>
      <w:r w:rsidRPr="00A842E8">
        <w:rPr>
          <w:rFonts w:ascii="Times New Roman" w:hAnsi="Times New Roman" w:cs="Times New Roman"/>
        </w:rPr>
        <w:t xml:space="preserve"> la sociedad y población en general demanda mayor respaldo </w:t>
      </w:r>
      <w:r w:rsidR="00F260E8">
        <w:rPr>
          <w:rFonts w:ascii="Times New Roman" w:hAnsi="Times New Roman" w:cs="Times New Roman"/>
        </w:rPr>
        <w:t>a</w:t>
      </w:r>
      <w:r w:rsidR="00F260E8" w:rsidRPr="00A842E8">
        <w:rPr>
          <w:rFonts w:ascii="Times New Roman" w:hAnsi="Times New Roman" w:cs="Times New Roman"/>
        </w:rPr>
        <w:t xml:space="preserve"> </w:t>
      </w:r>
      <w:r w:rsidRPr="00A842E8">
        <w:rPr>
          <w:rFonts w:ascii="Times New Roman" w:hAnsi="Times New Roman" w:cs="Times New Roman"/>
        </w:rPr>
        <w:t>la información científica</w:t>
      </w:r>
      <w:r>
        <w:rPr>
          <w:rFonts w:ascii="Times New Roman" w:hAnsi="Times New Roman" w:cs="Times New Roman"/>
        </w:rPr>
        <w:t>,</w:t>
      </w:r>
      <w:r w:rsidRPr="00A842E8">
        <w:rPr>
          <w:rFonts w:ascii="Times New Roman" w:hAnsi="Times New Roman" w:cs="Times New Roman"/>
        </w:rPr>
        <w:t xml:space="preserve"> derivado esto de la expansión tecnológica para </w:t>
      </w:r>
      <w:r>
        <w:rPr>
          <w:rFonts w:ascii="Times New Roman" w:hAnsi="Times New Roman" w:cs="Times New Roman"/>
        </w:rPr>
        <w:t>el</w:t>
      </w:r>
      <w:r w:rsidRPr="00A842E8">
        <w:rPr>
          <w:rFonts w:ascii="Times New Roman" w:hAnsi="Times New Roman" w:cs="Times New Roman"/>
        </w:rPr>
        <w:t xml:space="preserve"> acceso a la información, consulta</w:t>
      </w:r>
      <w:r>
        <w:rPr>
          <w:rFonts w:ascii="Times New Roman" w:hAnsi="Times New Roman" w:cs="Times New Roman"/>
        </w:rPr>
        <w:t>, análisis</w:t>
      </w:r>
      <w:r w:rsidRPr="00A842E8">
        <w:rPr>
          <w:rFonts w:ascii="Times New Roman" w:hAnsi="Times New Roman" w:cs="Times New Roman"/>
        </w:rPr>
        <w:t xml:space="preserve"> y </w:t>
      </w:r>
      <w:r>
        <w:rPr>
          <w:rFonts w:ascii="Times New Roman" w:hAnsi="Times New Roman" w:cs="Times New Roman"/>
        </w:rPr>
        <w:t>divulgación</w:t>
      </w:r>
      <w:r w:rsidRPr="00A842E8">
        <w:rPr>
          <w:rFonts w:ascii="Times New Roman" w:hAnsi="Times New Roman" w:cs="Times New Roman"/>
        </w:rPr>
        <w:t xml:space="preserve"> </w:t>
      </w:r>
      <w:r>
        <w:rPr>
          <w:rFonts w:ascii="Times New Roman" w:hAnsi="Times New Roman" w:cs="Times New Roman"/>
        </w:rPr>
        <w:t>d</w:t>
      </w:r>
      <w:r w:rsidRPr="00A842E8">
        <w:rPr>
          <w:rFonts w:ascii="Times New Roman" w:hAnsi="Times New Roman" w:cs="Times New Roman"/>
        </w:rPr>
        <w:t>el conocimiento, tomando en consideración que las instituciones son el espacio en donde académicos, científicos y otros son los generadores de producción científica y tecnológica (Cassany,</w:t>
      </w:r>
      <w:r w:rsidR="00F260E8">
        <w:rPr>
          <w:rFonts w:ascii="Times New Roman" w:hAnsi="Times New Roman" w:cs="Times New Roman"/>
        </w:rPr>
        <w:t xml:space="preserve"> </w:t>
      </w:r>
      <w:r w:rsidR="00F260E8" w:rsidRPr="00421EB7">
        <w:rPr>
          <w:rFonts w:ascii="Times New Roman" w:hAnsi="Times New Roman" w:cs="Times New Roman"/>
          <w:lang w:val="es-MX"/>
        </w:rPr>
        <w:t>López y Martí,</w:t>
      </w:r>
      <w:r w:rsidRPr="00A842E8">
        <w:rPr>
          <w:rFonts w:ascii="Times New Roman" w:hAnsi="Times New Roman" w:cs="Times New Roman"/>
        </w:rPr>
        <w:t xml:space="preserve"> </w:t>
      </w:r>
      <w:r w:rsidR="0004486A" w:rsidRPr="00A842E8">
        <w:rPr>
          <w:rFonts w:ascii="Times New Roman" w:hAnsi="Times New Roman" w:cs="Times New Roman"/>
        </w:rPr>
        <w:t>20</w:t>
      </w:r>
      <w:r w:rsidR="0004486A">
        <w:rPr>
          <w:rFonts w:ascii="Times New Roman" w:hAnsi="Times New Roman" w:cs="Times New Roman"/>
        </w:rPr>
        <w:t>00</w:t>
      </w:r>
      <w:r w:rsidRPr="00A842E8">
        <w:rPr>
          <w:rFonts w:ascii="Times New Roman" w:hAnsi="Times New Roman" w:cs="Times New Roman"/>
        </w:rPr>
        <w:t xml:space="preserve">; Martín y Gorina, 2017). </w:t>
      </w:r>
      <w:r>
        <w:rPr>
          <w:rFonts w:ascii="Times New Roman" w:hAnsi="Times New Roman" w:cs="Times New Roman"/>
        </w:rPr>
        <w:t xml:space="preserve">Es decir, la búsqueda de espacios en donde alojar en sitios de </w:t>
      </w:r>
      <w:r w:rsidR="00F260E8">
        <w:rPr>
          <w:rFonts w:ascii="Times New Roman" w:hAnsi="Times New Roman" w:cs="Times New Roman"/>
        </w:rPr>
        <w:t xml:space="preserve">Internet </w:t>
      </w:r>
      <w:r>
        <w:rPr>
          <w:rFonts w:ascii="Times New Roman" w:hAnsi="Times New Roman" w:cs="Times New Roman"/>
        </w:rPr>
        <w:t xml:space="preserve">los resultados de las investigaciones, visibles y de acceso abierto para otros investigadores, profesores y estudiantes con temas afines, </w:t>
      </w:r>
      <w:r w:rsidR="00A66EC9">
        <w:rPr>
          <w:rFonts w:ascii="Times New Roman" w:hAnsi="Times New Roman" w:cs="Times New Roman"/>
        </w:rPr>
        <w:t xml:space="preserve">y de esta forma contribuir </w:t>
      </w:r>
      <w:r>
        <w:rPr>
          <w:rFonts w:ascii="Times New Roman" w:hAnsi="Times New Roman" w:cs="Times New Roman"/>
        </w:rPr>
        <w:t>con la solución de problemas en los diferentes territorios. Por lo tanto, se requiere el planteamiento de estrategias para la comunicación efectiva de la ciencia.</w:t>
      </w:r>
    </w:p>
    <w:p w14:paraId="798FB4E5" w14:textId="46928BBA" w:rsidR="00B539B8" w:rsidRDefault="00586BE8" w:rsidP="00FF6D96">
      <w:pPr>
        <w:spacing w:line="360" w:lineRule="auto"/>
        <w:ind w:firstLine="708"/>
        <w:jc w:val="both"/>
        <w:rPr>
          <w:rFonts w:ascii="Times New Roman" w:hAnsi="Times New Roman" w:cs="Times New Roman"/>
          <w:shd w:val="clear" w:color="auto" w:fill="FFFFFF"/>
        </w:rPr>
      </w:pPr>
      <w:r w:rsidRPr="00D94503">
        <w:rPr>
          <w:rFonts w:ascii="Times New Roman" w:hAnsi="Times New Roman" w:cs="Times New Roman"/>
          <w:shd w:val="clear" w:color="auto" w:fill="FFFFFF"/>
        </w:rPr>
        <w:t xml:space="preserve">La divulgación científica es un proceso </w:t>
      </w:r>
      <w:r w:rsidR="00D8639D">
        <w:rPr>
          <w:rFonts w:ascii="Times New Roman" w:hAnsi="Times New Roman" w:cs="Times New Roman"/>
          <w:shd w:val="clear" w:color="auto" w:fill="FFFFFF"/>
        </w:rPr>
        <w:t xml:space="preserve">continuo </w:t>
      </w:r>
      <w:r w:rsidRPr="00D94503">
        <w:rPr>
          <w:rFonts w:ascii="Times New Roman" w:hAnsi="Times New Roman" w:cs="Times New Roman"/>
          <w:shd w:val="clear" w:color="auto" w:fill="FFFFFF"/>
        </w:rPr>
        <w:t xml:space="preserve">que implica la integración de acciones para comunicar los esfuerzos o resultados de la ciencia, la investigación y </w:t>
      </w:r>
      <w:r w:rsidR="003206A4">
        <w:rPr>
          <w:rFonts w:ascii="Times New Roman" w:hAnsi="Times New Roman" w:cs="Times New Roman"/>
          <w:shd w:val="clear" w:color="auto" w:fill="FFFFFF"/>
        </w:rPr>
        <w:t xml:space="preserve">la </w:t>
      </w:r>
      <w:r w:rsidRPr="00D94503">
        <w:rPr>
          <w:rFonts w:ascii="Times New Roman" w:hAnsi="Times New Roman" w:cs="Times New Roman"/>
          <w:shd w:val="clear" w:color="auto" w:fill="FFFFFF"/>
        </w:rPr>
        <w:t>tecnología</w:t>
      </w:r>
      <w:r w:rsidR="00A66EC9">
        <w:rPr>
          <w:rFonts w:ascii="Times New Roman" w:hAnsi="Times New Roman" w:cs="Times New Roman"/>
          <w:shd w:val="clear" w:color="auto" w:fill="FFFFFF"/>
        </w:rPr>
        <w:t>.</w:t>
      </w:r>
      <w:r w:rsidRPr="00D94503">
        <w:rPr>
          <w:rFonts w:ascii="Times New Roman" w:hAnsi="Times New Roman" w:cs="Times New Roman"/>
          <w:shd w:val="clear" w:color="auto" w:fill="FFFFFF"/>
        </w:rPr>
        <w:t xml:space="preserve"> </w:t>
      </w:r>
      <w:r w:rsidR="00A66EC9">
        <w:rPr>
          <w:rFonts w:ascii="Times New Roman" w:hAnsi="Times New Roman" w:cs="Times New Roman"/>
          <w:shd w:val="clear" w:color="auto" w:fill="FFFFFF"/>
        </w:rPr>
        <w:t>E</w:t>
      </w:r>
      <w:r w:rsidR="00A66EC9" w:rsidRPr="00D94503">
        <w:rPr>
          <w:rFonts w:ascii="Times New Roman" w:hAnsi="Times New Roman" w:cs="Times New Roman"/>
          <w:shd w:val="clear" w:color="auto" w:fill="FFFFFF"/>
        </w:rPr>
        <w:t xml:space="preserve">l </w:t>
      </w:r>
      <w:r w:rsidRPr="00D94503">
        <w:rPr>
          <w:rFonts w:ascii="Times New Roman" w:hAnsi="Times New Roman" w:cs="Times New Roman"/>
          <w:shd w:val="clear" w:color="auto" w:fill="FFFFFF"/>
        </w:rPr>
        <w:t xml:space="preserve">escenario tecnológico </w:t>
      </w:r>
      <w:r w:rsidR="00A66EC9">
        <w:rPr>
          <w:rFonts w:ascii="Times New Roman" w:hAnsi="Times New Roman" w:cs="Times New Roman"/>
          <w:shd w:val="clear" w:color="auto" w:fill="FFFFFF"/>
        </w:rPr>
        <w:t xml:space="preserve">es </w:t>
      </w:r>
      <w:r w:rsidRPr="00D94503">
        <w:rPr>
          <w:rFonts w:ascii="Times New Roman" w:hAnsi="Times New Roman" w:cs="Times New Roman"/>
          <w:shd w:val="clear" w:color="auto" w:fill="FFFFFF"/>
        </w:rPr>
        <w:t xml:space="preserve">el primer medio que potencializa </w:t>
      </w:r>
      <w:r w:rsidR="00AA70F2" w:rsidRPr="00D94503">
        <w:rPr>
          <w:rFonts w:ascii="Times New Roman" w:hAnsi="Times New Roman" w:cs="Times New Roman"/>
          <w:shd w:val="clear" w:color="auto" w:fill="FFFFFF"/>
        </w:rPr>
        <w:t>la visualización de</w:t>
      </w:r>
      <w:r w:rsidRPr="00D94503">
        <w:rPr>
          <w:rFonts w:ascii="Times New Roman" w:hAnsi="Times New Roman" w:cs="Times New Roman"/>
          <w:shd w:val="clear" w:color="auto" w:fill="FFFFFF"/>
        </w:rPr>
        <w:t xml:space="preserve"> los resultados, como </w:t>
      </w:r>
      <w:r w:rsidR="00931084" w:rsidRPr="00D94503">
        <w:rPr>
          <w:rFonts w:ascii="Times New Roman" w:hAnsi="Times New Roman" w:cs="Times New Roman"/>
          <w:shd w:val="clear" w:color="auto" w:fill="FFFFFF"/>
        </w:rPr>
        <w:t xml:space="preserve">el </w:t>
      </w:r>
      <w:r w:rsidRPr="00D94503">
        <w:rPr>
          <w:rFonts w:ascii="Times New Roman" w:hAnsi="Times New Roman" w:cs="Times New Roman"/>
          <w:shd w:val="clear" w:color="auto" w:fill="FFFFFF"/>
        </w:rPr>
        <w:t xml:space="preserve">de </w:t>
      </w:r>
      <w:r w:rsidR="001652F3" w:rsidRPr="00D94503">
        <w:rPr>
          <w:rFonts w:ascii="Times New Roman" w:hAnsi="Times New Roman" w:cs="Times New Roman"/>
          <w:shd w:val="clear" w:color="auto" w:fill="FFFFFF"/>
        </w:rPr>
        <w:t xml:space="preserve">la Organización de Estados Iberoamericanos (OEI) </w:t>
      </w:r>
      <w:r w:rsidR="00B539B8">
        <w:rPr>
          <w:rFonts w:ascii="Times New Roman" w:hAnsi="Times New Roman" w:cs="Times New Roman"/>
          <w:shd w:val="clear" w:color="auto" w:fill="FFFFFF"/>
        </w:rPr>
        <w:t>(</w:t>
      </w:r>
      <w:r w:rsidR="001652F3" w:rsidRPr="00D94503">
        <w:rPr>
          <w:rFonts w:ascii="Times New Roman" w:hAnsi="Times New Roman" w:cs="Times New Roman"/>
          <w:shd w:val="clear" w:color="auto" w:fill="FFFFFF"/>
        </w:rPr>
        <w:t>Iberciencia e Iberdivulga</w:t>
      </w:r>
      <w:r w:rsidR="00B539B8">
        <w:rPr>
          <w:rFonts w:ascii="Times New Roman" w:hAnsi="Times New Roman" w:cs="Times New Roman"/>
          <w:shd w:val="clear" w:color="auto" w:fill="FFFFFF"/>
        </w:rPr>
        <w:t>)</w:t>
      </w:r>
      <w:r w:rsidR="00B539B8" w:rsidRPr="00D94503">
        <w:rPr>
          <w:rFonts w:ascii="Times New Roman" w:hAnsi="Times New Roman" w:cs="Times New Roman"/>
          <w:shd w:val="clear" w:color="auto" w:fill="FFFFFF"/>
        </w:rPr>
        <w:t xml:space="preserve">, </w:t>
      </w:r>
      <w:r w:rsidR="001652F3" w:rsidRPr="00D94503">
        <w:rPr>
          <w:rFonts w:ascii="Times New Roman" w:hAnsi="Times New Roman" w:cs="Times New Roman"/>
          <w:shd w:val="clear" w:color="auto" w:fill="FFFFFF"/>
        </w:rPr>
        <w:t xml:space="preserve">la Red de Popularización de la Ciencia y la Tecnología en América Latina y el Caribe (RedPOP) y revistas especializadas </w:t>
      </w:r>
      <w:r w:rsidRPr="00D94503">
        <w:rPr>
          <w:rFonts w:ascii="Times New Roman" w:hAnsi="Times New Roman" w:cs="Times New Roman"/>
          <w:shd w:val="clear" w:color="auto" w:fill="FFFFFF"/>
        </w:rPr>
        <w:t>en</w:t>
      </w:r>
      <w:r w:rsidR="001652F3" w:rsidRPr="00D94503">
        <w:rPr>
          <w:rFonts w:ascii="Times New Roman" w:hAnsi="Times New Roman" w:cs="Times New Roman"/>
          <w:shd w:val="clear" w:color="auto" w:fill="FFFFFF"/>
        </w:rPr>
        <w:t xml:space="preserve"> educación y ciencia</w:t>
      </w:r>
      <w:r w:rsidRPr="00D94503">
        <w:rPr>
          <w:rFonts w:ascii="Times New Roman" w:hAnsi="Times New Roman" w:cs="Times New Roman"/>
          <w:shd w:val="clear" w:color="auto" w:fill="FFFFFF"/>
        </w:rPr>
        <w:t>, entre otros</w:t>
      </w:r>
      <w:r w:rsidR="00931084" w:rsidRPr="00D94503">
        <w:rPr>
          <w:rFonts w:ascii="Times New Roman" w:hAnsi="Times New Roman" w:cs="Times New Roman"/>
          <w:shd w:val="clear" w:color="auto" w:fill="FFFFFF"/>
        </w:rPr>
        <w:t xml:space="preserve"> (Escobar y Rincón, 2018)</w:t>
      </w:r>
      <w:r w:rsidR="001652F3" w:rsidRPr="00D94503">
        <w:rPr>
          <w:rFonts w:ascii="Times New Roman" w:hAnsi="Times New Roman" w:cs="Times New Roman"/>
          <w:shd w:val="clear" w:color="auto" w:fill="FFFFFF"/>
        </w:rPr>
        <w:t>. </w:t>
      </w:r>
      <w:r w:rsidR="00B539B8">
        <w:rPr>
          <w:rFonts w:ascii="Times New Roman" w:hAnsi="Times New Roman" w:cs="Times New Roman"/>
          <w:shd w:val="clear" w:color="auto" w:fill="FFFFFF"/>
        </w:rPr>
        <w:t>Se trata de</w:t>
      </w:r>
      <w:r w:rsidR="00931084" w:rsidRPr="00D94503">
        <w:rPr>
          <w:rFonts w:ascii="Times New Roman" w:hAnsi="Times New Roman" w:cs="Times New Roman"/>
          <w:shd w:val="clear" w:color="auto" w:fill="FFFFFF"/>
        </w:rPr>
        <w:t xml:space="preserve"> generar los espacios para la socialización del conocimiento a la población objetivo, en este caso los jóvenes de educación superior.</w:t>
      </w:r>
      <w:r w:rsidR="00296412">
        <w:rPr>
          <w:rFonts w:ascii="Times New Roman" w:hAnsi="Times New Roman" w:cs="Times New Roman"/>
          <w:shd w:val="clear" w:color="auto" w:fill="FFFFFF"/>
        </w:rPr>
        <w:t xml:space="preserve"> </w:t>
      </w:r>
    </w:p>
    <w:p w14:paraId="60DBE480" w14:textId="59B35055" w:rsidR="00877892" w:rsidRDefault="00B539B8" w:rsidP="00FF6D96">
      <w:pPr>
        <w:spacing w:line="360" w:lineRule="auto"/>
        <w:ind w:firstLine="708"/>
        <w:jc w:val="both"/>
        <w:rPr>
          <w:rFonts w:ascii="Times New Roman" w:hAnsi="Times New Roman" w:cs="Times New Roman"/>
        </w:rPr>
      </w:pPr>
      <w:r>
        <w:rPr>
          <w:rFonts w:ascii="Times New Roman" w:hAnsi="Times New Roman" w:cs="Times New Roman"/>
        </w:rPr>
        <w:t>E</w:t>
      </w:r>
      <w:r w:rsidRPr="00D94503">
        <w:rPr>
          <w:rFonts w:ascii="Times New Roman" w:hAnsi="Times New Roman" w:cs="Times New Roman"/>
        </w:rPr>
        <w:t>n México,</w:t>
      </w:r>
      <w:r w:rsidR="006251E6" w:rsidRPr="00D94503">
        <w:rPr>
          <w:rFonts w:ascii="Times New Roman" w:hAnsi="Times New Roman" w:cs="Times New Roman"/>
        </w:rPr>
        <w:t xml:space="preserve"> a través de</w:t>
      </w:r>
      <w:r w:rsidR="003206A4">
        <w:rPr>
          <w:rFonts w:ascii="Times New Roman" w:hAnsi="Times New Roman" w:cs="Times New Roman"/>
        </w:rPr>
        <w:t>l</w:t>
      </w:r>
      <w:r w:rsidR="006251E6" w:rsidRPr="00D94503">
        <w:rPr>
          <w:rFonts w:ascii="Times New Roman" w:hAnsi="Times New Roman" w:cs="Times New Roman"/>
        </w:rPr>
        <w:t xml:space="preserve"> Consejo Nacional de Ciencia y Tecnología (</w:t>
      </w:r>
      <w:r>
        <w:rPr>
          <w:rFonts w:ascii="Times New Roman" w:hAnsi="Times New Roman" w:cs="Times New Roman"/>
        </w:rPr>
        <w:t>C</w:t>
      </w:r>
      <w:r w:rsidRPr="00D94503">
        <w:rPr>
          <w:rFonts w:ascii="Times New Roman" w:hAnsi="Times New Roman" w:cs="Times New Roman"/>
        </w:rPr>
        <w:t>onacyt</w:t>
      </w:r>
      <w:r w:rsidR="006251E6" w:rsidRPr="00D94503">
        <w:rPr>
          <w:rFonts w:ascii="Times New Roman" w:hAnsi="Times New Roman" w:cs="Times New Roman"/>
        </w:rPr>
        <w:t>)</w:t>
      </w:r>
      <w:r w:rsidR="0004486A">
        <w:rPr>
          <w:rFonts w:ascii="Times New Roman" w:hAnsi="Times New Roman" w:cs="Times New Roman"/>
        </w:rPr>
        <w:t xml:space="preserve"> </w:t>
      </w:r>
      <w:r w:rsidR="006251E6" w:rsidRPr="00D94503">
        <w:rPr>
          <w:rFonts w:ascii="Times New Roman" w:hAnsi="Times New Roman" w:cs="Times New Roman"/>
        </w:rPr>
        <w:t>se fomentan las vocaciones científicas</w:t>
      </w:r>
      <w:r>
        <w:rPr>
          <w:rFonts w:ascii="Times New Roman" w:hAnsi="Times New Roman" w:cs="Times New Roman"/>
        </w:rPr>
        <w:t>.</w:t>
      </w:r>
      <w:r w:rsidRPr="00D94503">
        <w:rPr>
          <w:rFonts w:ascii="Times New Roman" w:hAnsi="Times New Roman" w:cs="Times New Roman"/>
        </w:rPr>
        <w:t xml:space="preserve"> </w:t>
      </w:r>
      <w:r>
        <w:rPr>
          <w:rFonts w:ascii="Times New Roman" w:hAnsi="Times New Roman" w:cs="Times New Roman"/>
        </w:rPr>
        <w:t>A</w:t>
      </w:r>
      <w:r w:rsidRPr="00D94503">
        <w:rPr>
          <w:rFonts w:ascii="Times New Roman" w:hAnsi="Times New Roman" w:cs="Times New Roman"/>
        </w:rPr>
        <w:t xml:space="preserve"> </w:t>
      </w:r>
      <w:r w:rsidR="006251E6" w:rsidRPr="00D94503">
        <w:rPr>
          <w:rFonts w:ascii="Times New Roman" w:hAnsi="Times New Roman" w:cs="Times New Roman"/>
        </w:rPr>
        <w:t>través de su convocatoria anual, las instituciones plantean sus propuestas encaminadas a la estimulación de estas en distintos ámbitos de la educación y territorios</w:t>
      </w:r>
      <w:r w:rsidR="00FC3510" w:rsidRPr="00D94503">
        <w:rPr>
          <w:rFonts w:ascii="Times New Roman" w:hAnsi="Times New Roman" w:cs="Times New Roman"/>
        </w:rPr>
        <w:t xml:space="preserve"> para su valoración y aprobación</w:t>
      </w:r>
      <w:r w:rsidR="006251E6" w:rsidRPr="00D94503">
        <w:rPr>
          <w:rFonts w:ascii="Times New Roman" w:hAnsi="Times New Roman" w:cs="Times New Roman"/>
        </w:rPr>
        <w:t>.</w:t>
      </w:r>
      <w:r w:rsidR="003607C1" w:rsidRPr="00D94503">
        <w:rPr>
          <w:rFonts w:ascii="Times New Roman" w:hAnsi="Times New Roman" w:cs="Times New Roman"/>
        </w:rPr>
        <w:t xml:space="preserve"> De igual forma</w:t>
      </w:r>
      <w:r w:rsidR="008B356C" w:rsidRPr="00D94503">
        <w:rPr>
          <w:rFonts w:ascii="Times New Roman" w:hAnsi="Times New Roman" w:cs="Times New Roman"/>
        </w:rPr>
        <w:t>,</w:t>
      </w:r>
      <w:r w:rsidR="003607C1" w:rsidRPr="00D94503">
        <w:rPr>
          <w:rFonts w:ascii="Times New Roman" w:hAnsi="Times New Roman" w:cs="Times New Roman"/>
        </w:rPr>
        <w:t xml:space="preserve"> se destaca el esfuerzo de cada institución educativa </w:t>
      </w:r>
      <w:r>
        <w:rPr>
          <w:rFonts w:ascii="Times New Roman" w:hAnsi="Times New Roman" w:cs="Times New Roman"/>
        </w:rPr>
        <w:t xml:space="preserve">para encauzar </w:t>
      </w:r>
      <w:r w:rsidR="00C76EFF">
        <w:rPr>
          <w:rFonts w:ascii="Times New Roman" w:hAnsi="Times New Roman" w:cs="Times New Roman"/>
        </w:rPr>
        <w:t>acciones</w:t>
      </w:r>
      <w:r w:rsidR="003607C1" w:rsidRPr="00D94503">
        <w:rPr>
          <w:rFonts w:ascii="Times New Roman" w:hAnsi="Times New Roman" w:cs="Times New Roman"/>
        </w:rPr>
        <w:t xml:space="preserve"> entre sus catedráticos, investigadores y profesores</w:t>
      </w:r>
      <w:r w:rsidR="00877892">
        <w:rPr>
          <w:rFonts w:ascii="Times New Roman" w:hAnsi="Times New Roman" w:cs="Times New Roman"/>
        </w:rPr>
        <w:t>.</w:t>
      </w:r>
    </w:p>
    <w:p w14:paraId="07913B4A" w14:textId="701BC8EF" w:rsidR="006251E6" w:rsidRPr="00D94503" w:rsidRDefault="00877892" w:rsidP="00FF6D96">
      <w:pPr>
        <w:spacing w:line="360" w:lineRule="auto"/>
        <w:ind w:firstLine="708"/>
        <w:jc w:val="both"/>
        <w:rPr>
          <w:rFonts w:ascii="Times New Roman" w:hAnsi="Times New Roman" w:cs="Times New Roman"/>
        </w:rPr>
      </w:pPr>
      <w:r>
        <w:rPr>
          <w:rFonts w:ascii="Times New Roman" w:hAnsi="Times New Roman" w:cs="Times New Roman"/>
        </w:rPr>
        <w:lastRenderedPageBreak/>
        <w:t xml:space="preserve">En </w:t>
      </w:r>
      <w:r w:rsidR="00CA121F">
        <w:rPr>
          <w:rFonts w:ascii="Times New Roman" w:hAnsi="Times New Roman" w:cs="Times New Roman"/>
        </w:rPr>
        <w:t>cuanto a la</w:t>
      </w:r>
      <w:r>
        <w:rPr>
          <w:rFonts w:ascii="Times New Roman" w:hAnsi="Times New Roman" w:cs="Times New Roman"/>
        </w:rPr>
        <w:t xml:space="preserve"> distribución de género</w:t>
      </w:r>
      <w:r w:rsidR="00CA121F">
        <w:rPr>
          <w:rFonts w:ascii="Times New Roman" w:hAnsi="Times New Roman" w:cs="Times New Roman"/>
        </w:rPr>
        <w:t xml:space="preserve"> en los posgrados en México</w:t>
      </w:r>
      <w:r>
        <w:rPr>
          <w:rFonts w:ascii="Times New Roman" w:hAnsi="Times New Roman" w:cs="Times New Roman"/>
        </w:rPr>
        <w:t>, d</w:t>
      </w:r>
      <w:r w:rsidR="003607C1" w:rsidRPr="00D94503">
        <w:rPr>
          <w:rFonts w:ascii="Times New Roman" w:hAnsi="Times New Roman" w:cs="Times New Roman"/>
        </w:rPr>
        <w:t xml:space="preserve">e acuerdo con </w:t>
      </w:r>
      <w:r>
        <w:rPr>
          <w:rFonts w:ascii="Times New Roman" w:hAnsi="Times New Roman" w:cs="Times New Roman"/>
        </w:rPr>
        <w:t xml:space="preserve">la </w:t>
      </w:r>
      <w:r w:rsidR="003607C1" w:rsidRPr="00D94503">
        <w:rPr>
          <w:rFonts w:ascii="Times New Roman" w:hAnsi="Times New Roman" w:cs="Times New Roman"/>
        </w:rPr>
        <w:t xml:space="preserve">Secretaría de Educación Pública [SEP] </w:t>
      </w:r>
      <w:r>
        <w:rPr>
          <w:rFonts w:ascii="Times New Roman" w:hAnsi="Times New Roman" w:cs="Times New Roman"/>
        </w:rPr>
        <w:t>(</w:t>
      </w:r>
      <w:r w:rsidR="003607C1" w:rsidRPr="00D94503">
        <w:rPr>
          <w:rFonts w:ascii="Times New Roman" w:hAnsi="Times New Roman" w:cs="Times New Roman"/>
        </w:rPr>
        <w:t>2021)</w:t>
      </w:r>
      <w:r w:rsidR="00CA121F">
        <w:rPr>
          <w:rFonts w:ascii="Times New Roman" w:hAnsi="Times New Roman" w:cs="Times New Roman"/>
        </w:rPr>
        <w:t>,</w:t>
      </w:r>
      <w:r w:rsidR="003607C1" w:rsidRPr="00D94503">
        <w:rPr>
          <w:rFonts w:ascii="Times New Roman" w:hAnsi="Times New Roman" w:cs="Times New Roman"/>
        </w:rPr>
        <w:t xml:space="preserve"> </w:t>
      </w:r>
      <w:r w:rsidR="00CA121F">
        <w:rPr>
          <w:rFonts w:ascii="Times New Roman" w:hAnsi="Times New Roman" w:cs="Times New Roman"/>
        </w:rPr>
        <w:t>hay</w:t>
      </w:r>
      <w:r w:rsidR="00B74610" w:rsidRPr="00D94503">
        <w:rPr>
          <w:rFonts w:ascii="Times New Roman" w:hAnsi="Times New Roman" w:cs="Times New Roman"/>
        </w:rPr>
        <w:t xml:space="preserve"> menor participación de las mujeres</w:t>
      </w:r>
      <w:r>
        <w:rPr>
          <w:rFonts w:ascii="Times New Roman" w:hAnsi="Times New Roman" w:cs="Times New Roman"/>
        </w:rPr>
        <w:t>,</w:t>
      </w:r>
      <w:r w:rsidR="00B74610" w:rsidRPr="00D94503">
        <w:rPr>
          <w:rFonts w:ascii="Times New Roman" w:hAnsi="Times New Roman" w:cs="Times New Roman"/>
        </w:rPr>
        <w:t xml:space="preserve"> con 49.8</w:t>
      </w:r>
      <w:r>
        <w:rPr>
          <w:rFonts w:ascii="Times New Roman" w:hAnsi="Times New Roman" w:cs="Times New Roman"/>
        </w:rPr>
        <w:t> </w:t>
      </w:r>
      <w:r w:rsidR="00B74610" w:rsidRPr="00D94503">
        <w:rPr>
          <w:rFonts w:ascii="Times New Roman" w:hAnsi="Times New Roman" w:cs="Times New Roman"/>
        </w:rPr>
        <w:t>% (2020-2021) y 49.7</w:t>
      </w:r>
      <w:r>
        <w:rPr>
          <w:rFonts w:ascii="Times New Roman" w:hAnsi="Times New Roman" w:cs="Times New Roman"/>
        </w:rPr>
        <w:t> </w:t>
      </w:r>
      <w:r w:rsidR="00B74610" w:rsidRPr="00D94503">
        <w:rPr>
          <w:rFonts w:ascii="Times New Roman" w:hAnsi="Times New Roman" w:cs="Times New Roman"/>
        </w:rPr>
        <w:t>% (2019-2020)</w:t>
      </w:r>
      <w:r>
        <w:rPr>
          <w:rFonts w:ascii="Times New Roman" w:hAnsi="Times New Roman" w:cs="Times New Roman"/>
        </w:rPr>
        <w:t xml:space="preserve">, </w:t>
      </w:r>
      <w:r w:rsidR="00B74610" w:rsidRPr="00D94503">
        <w:rPr>
          <w:rFonts w:ascii="Times New Roman" w:hAnsi="Times New Roman" w:cs="Times New Roman"/>
        </w:rPr>
        <w:t>una diferencia del -0.1</w:t>
      </w:r>
      <w:r>
        <w:rPr>
          <w:rFonts w:ascii="Times New Roman" w:hAnsi="Times New Roman" w:cs="Times New Roman"/>
        </w:rPr>
        <w:t> </w:t>
      </w:r>
      <w:r w:rsidR="00B74610" w:rsidRPr="00D94503">
        <w:rPr>
          <w:rFonts w:ascii="Times New Roman" w:hAnsi="Times New Roman" w:cs="Times New Roman"/>
        </w:rPr>
        <w:t>%</w:t>
      </w:r>
      <w:r>
        <w:rPr>
          <w:rFonts w:ascii="Times New Roman" w:hAnsi="Times New Roman" w:cs="Times New Roman"/>
        </w:rPr>
        <w:t xml:space="preserve">, </w:t>
      </w:r>
      <w:r w:rsidR="00B74610" w:rsidRPr="00D94503">
        <w:rPr>
          <w:rFonts w:ascii="Times New Roman" w:hAnsi="Times New Roman" w:cs="Times New Roman"/>
        </w:rPr>
        <w:t>situación detectada en los posgrados que se ofertan por las instituciones públicas</w:t>
      </w:r>
      <w:r w:rsidR="00CA121F">
        <w:rPr>
          <w:rFonts w:ascii="Times New Roman" w:hAnsi="Times New Roman" w:cs="Times New Roman"/>
        </w:rPr>
        <w:t>;</w:t>
      </w:r>
      <w:r w:rsidR="00CA121F" w:rsidRPr="00D94503">
        <w:rPr>
          <w:rFonts w:ascii="Times New Roman" w:hAnsi="Times New Roman" w:cs="Times New Roman"/>
        </w:rPr>
        <w:t xml:space="preserve"> </w:t>
      </w:r>
      <w:r w:rsidR="00B74610" w:rsidRPr="00D94503">
        <w:rPr>
          <w:rFonts w:ascii="Times New Roman" w:hAnsi="Times New Roman" w:cs="Times New Roman"/>
        </w:rPr>
        <w:t>caso contrario se presenta en los posgrados de las instituciones privadas</w:t>
      </w:r>
      <w:r w:rsidR="00CA121F">
        <w:rPr>
          <w:rFonts w:ascii="Times New Roman" w:hAnsi="Times New Roman" w:cs="Times New Roman"/>
        </w:rPr>
        <w:t>,</w:t>
      </w:r>
      <w:r w:rsidR="00B74610" w:rsidRPr="00D94503">
        <w:rPr>
          <w:rFonts w:ascii="Times New Roman" w:hAnsi="Times New Roman" w:cs="Times New Roman"/>
        </w:rPr>
        <w:t xml:space="preserve"> en donde el mayor porcentaje recae en las mujeres</w:t>
      </w:r>
      <w:r w:rsidR="00E23928">
        <w:rPr>
          <w:rFonts w:ascii="Times New Roman" w:hAnsi="Times New Roman" w:cs="Times New Roman"/>
        </w:rPr>
        <w:t>. En el caso más específico del estado de Yucatán,</w:t>
      </w:r>
      <w:r w:rsidR="00E23928" w:rsidRPr="00D94503">
        <w:rPr>
          <w:rFonts w:ascii="Times New Roman" w:hAnsi="Times New Roman" w:cs="Times New Roman"/>
        </w:rPr>
        <w:t xml:space="preserve"> </w:t>
      </w:r>
      <w:r w:rsidR="00E23928">
        <w:rPr>
          <w:rFonts w:ascii="Times New Roman" w:hAnsi="Times New Roman" w:cs="Times New Roman"/>
        </w:rPr>
        <w:t>hay</w:t>
      </w:r>
      <w:r w:rsidR="006251E6" w:rsidRPr="00D94503">
        <w:rPr>
          <w:rFonts w:ascii="Times New Roman" w:hAnsi="Times New Roman" w:cs="Times New Roman"/>
        </w:rPr>
        <w:t xml:space="preserve"> mayor participación de las mujeres en la continuidad de estudios hacia los posgrados </w:t>
      </w:r>
      <w:r w:rsidR="00E23928">
        <w:rPr>
          <w:rFonts w:ascii="Times New Roman" w:hAnsi="Times New Roman" w:cs="Times New Roman"/>
        </w:rPr>
        <w:t>(</w:t>
      </w:r>
      <w:r w:rsidR="006251E6" w:rsidRPr="00D94503">
        <w:rPr>
          <w:rFonts w:ascii="Times New Roman" w:hAnsi="Times New Roman" w:cs="Times New Roman"/>
        </w:rPr>
        <w:t>54.1</w:t>
      </w:r>
      <w:r w:rsidR="00E23928">
        <w:rPr>
          <w:rFonts w:ascii="Times New Roman" w:hAnsi="Times New Roman" w:cs="Times New Roman"/>
        </w:rPr>
        <w:t> </w:t>
      </w:r>
      <w:r w:rsidR="006251E6" w:rsidRPr="00D94503">
        <w:rPr>
          <w:rFonts w:ascii="Times New Roman" w:hAnsi="Times New Roman" w:cs="Times New Roman"/>
        </w:rPr>
        <w:t>% en el ciclo escolar 2020-2021</w:t>
      </w:r>
      <w:r w:rsidR="00E23928">
        <w:rPr>
          <w:rFonts w:ascii="Times New Roman" w:hAnsi="Times New Roman" w:cs="Times New Roman"/>
        </w:rPr>
        <w:t>);</w:t>
      </w:r>
      <w:r w:rsidR="006251E6" w:rsidRPr="00D94503">
        <w:rPr>
          <w:rFonts w:ascii="Times New Roman" w:hAnsi="Times New Roman" w:cs="Times New Roman"/>
        </w:rPr>
        <w:t xml:space="preserve"> y para la capital del estado</w:t>
      </w:r>
      <w:r w:rsidR="00E23928">
        <w:rPr>
          <w:rFonts w:ascii="Times New Roman" w:hAnsi="Times New Roman" w:cs="Times New Roman"/>
        </w:rPr>
        <w:t>,</w:t>
      </w:r>
      <w:r w:rsidR="006251E6" w:rsidRPr="00D94503">
        <w:rPr>
          <w:rFonts w:ascii="Times New Roman" w:hAnsi="Times New Roman" w:cs="Times New Roman"/>
        </w:rPr>
        <w:t xml:space="preserve"> la ciudad de Mérida</w:t>
      </w:r>
      <w:r w:rsidR="00E23928">
        <w:rPr>
          <w:rFonts w:ascii="Times New Roman" w:hAnsi="Times New Roman" w:cs="Times New Roman"/>
        </w:rPr>
        <w:t>,</w:t>
      </w:r>
      <w:r w:rsidR="006251E6" w:rsidRPr="00D94503">
        <w:rPr>
          <w:rFonts w:ascii="Times New Roman" w:hAnsi="Times New Roman" w:cs="Times New Roman"/>
        </w:rPr>
        <w:t xml:space="preserve"> </w:t>
      </w:r>
      <w:r w:rsidR="00E23928">
        <w:rPr>
          <w:rFonts w:ascii="Times New Roman" w:hAnsi="Times New Roman" w:cs="Times New Roman"/>
        </w:rPr>
        <w:t>también se presenta la misma predominancia (</w:t>
      </w:r>
      <w:r w:rsidR="006251E6" w:rsidRPr="00D94503">
        <w:rPr>
          <w:rFonts w:ascii="Times New Roman" w:hAnsi="Times New Roman" w:cs="Times New Roman"/>
        </w:rPr>
        <w:t>54.3</w:t>
      </w:r>
      <w:r w:rsidR="00E23928">
        <w:rPr>
          <w:rFonts w:ascii="Times New Roman" w:hAnsi="Times New Roman" w:cs="Times New Roman"/>
        </w:rPr>
        <w:t> </w:t>
      </w:r>
      <w:r w:rsidR="00E23928" w:rsidRPr="00D94503">
        <w:rPr>
          <w:rFonts w:ascii="Times New Roman" w:hAnsi="Times New Roman" w:cs="Times New Roman"/>
        </w:rPr>
        <w:t>%</w:t>
      </w:r>
      <w:r w:rsidR="00E23928">
        <w:rPr>
          <w:rFonts w:ascii="Times New Roman" w:hAnsi="Times New Roman" w:cs="Times New Roman"/>
        </w:rPr>
        <w:t>).</w:t>
      </w:r>
      <w:r w:rsidR="00E23928" w:rsidRPr="00D94503">
        <w:rPr>
          <w:rFonts w:ascii="Times New Roman" w:hAnsi="Times New Roman" w:cs="Times New Roman"/>
        </w:rPr>
        <w:t xml:space="preserve"> </w:t>
      </w:r>
      <w:r w:rsidR="00E23928">
        <w:rPr>
          <w:rFonts w:ascii="Times New Roman" w:hAnsi="Times New Roman" w:cs="Times New Roman"/>
        </w:rPr>
        <w:t>Aun con todo,</w:t>
      </w:r>
      <w:r w:rsidR="00E23928" w:rsidRPr="00D94503">
        <w:rPr>
          <w:rFonts w:ascii="Times New Roman" w:hAnsi="Times New Roman" w:cs="Times New Roman"/>
        </w:rPr>
        <w:t xml:space="preserve"> </w:t>
      </w:r>
      <w:r w:rsidR="002B2E19" w:rsidRPr="00D94503">
        <w:rPr>
          <w:rFonts w:ascii="Times New Roman" w:hAnsi="Times New Roman" w:cs="Times New Roman"/>
        </w:rPr>
        <w:t>en comparación con los datos nacionales</w:t>
      </w:r>
      <w:r w:rsidR="00E23928">
        <w:rPr>
          <w:rFonts w:ascii="Times New Roman" w:hAnsi="Times New Roman" w:cs="Times New Roman"/>
        </w:rPr>
        <w:t>,</w:t>
      </w:r>
      <w:r w:rsidR="002B2E19" w:rsidRPr="00D94503">
        <w:rPr>
          <w:rFonts w:ascii="Times New Roman" w:hAnsi="Times New Roman" w:cs="Times New Roman"/>
        </w:rPr>
        <w:t xml:space="preserve"> </w:t>
      </w:r>
      <w:r w:rsidR="006251E6" w:rsidRPr="00D94503">
        <w:rPr>
          <w:rFonts w:ascii="Times New Roman" w:hAnsi="Times New Roman" w:cs="Times New Roman"/>
        </w:rPr>
        <w:t>son las mujeres quienes tienen menor registro en instituciones públicas para los estudios de posgrado, situación detectada en los ciclos 2019-20</w:t>
      </w:r>
      <w:r w:rsidR="008B356C" w:rsidRPr="00D94503">
        <w:rPr>
          <w:rFonts w:ascii="Times New Roman" w:hAnsi="Times New Roman" w:cs="Times New Roman"/>
        </w:rPr>
        <w:t>20</w:t>
      </w:r>
      <w:r w:rsidR="006251E6" w:rsidRPr="00D94503">
        <w:rPr>
          <w:rFonts w:ascii="Times New Roman" w:hAnsi="Times New Roman" w:cs="Times New Roman"/>
        </w:rPr>
        <w:t xml:space="preserve"> y 2020-2021, con 48.9</w:t>
      </w:r>
      <w:r w:rsidR="00E23928">
        <w:rPr>
          <w:rFonts w:ascii="Times New Roman" w:hAnsi="Times New Roman" w:cs="Times New Roman"/>
        </w:rPr>
        <w:t> </w:t>
      </w:r>
      <w:r w:rsidR="006251E6" w:rsidRPr="00D94503">
        <w:rPr>
          <w:rFonts w:ascii="Times New Roman" w:hAnsi="Times New Roman" w:cs="Times New Roman"/>
        </w:rPr>
        <w:t>% y 47.9</w:t>
      </w:r>
      <w:r w:rsidR="00E23928">
        <w:rPr>
          <w:rFonts w:ascii="Times New Roman" w:hAnsi="Times New Roman" w:cs="Times New Roman"/>
        </w:rPr>
        <w:t> </w:t>
      </w:r>
      <w:r w:rsidR="006251E6" w:rsidRPr="00D94503">
        <w:rPr>
          <w:rFonts w:ascii="Times New Roman" w:hAnsi="Times New Roman" w:cs="Times New Roman"/>
        </w:rPr>
        <w:t>%</w:t>
      </w:r>
      <w:r w:rsidR="00E23928">
        <w:rPr>
          <w:rFonts w:ascii="Times New Roman" w:hAnsi="Times New Roman" w:cs="Times New Roman"/>
        </w:rPr>
        <w:t>,</w:t>
      </w:r>
      <w:r w:rsidR="006251E6" w:rsidRPr="00D94503">
        <w:rPr>
          <w:rFonts w:ascii="Times New Roman" w:hAnsi="Times New Roman" w:cs="Times New Roman"/>
        </w:rPr>
        <w:t xml:space="preserve"> respectivamente</w:t>
      </w:r>
      <w:r w:rsidR="00E23928">
        <w:rPr>
          <w:rFonts w:ascii="Times New Roman" w:hAnsi="Times New Roman" w:cs="Times New Roman"/>
        </w:rPr>
        <w:t>,</w:t>
      </w:r>
      <w:r w:rsidR="006251E6" w:rsidRPr="00D94503">
        <w:rPr>
          <w:rFonts w:ascii="Times New Roman" w:hAnsi="Times New Roman" w:cs="Times New Roman"/>
        </w:rPr>
        <w:t xml:space="preserve"> </w:t>
      </w:r>
      <w:r w:rsidR="00E23928">
        <w:rPr>
          <w:rFonts w:ascii="Times New Roman" w:hAnsi="Times New Roman" w:cs="Times New Roman"/>
        </w:rPr>
        <w:t>esto es</w:t>
      </w:r>
      <w:r w:rsidR="003206A4">
        <w:rPr>
          <w:rFonts w:ascii="Times New Roman" w:hAnsi="Times New Roman" w:cs="Times New Roman"/>
        </w:rPr>
        <w:t>,</w:t>
      </w:r>
      <w:r w:rsidR="00E23928">
        <w:rPr>
          <w:rFonts w:ascii="Times New Roman" w:hAnsi="Times New Roman" w:cs="Times New Roman"/>
        </w:rPr>
        <w:t xml:space="preserve"> </w:t>
      </w:r>
      <w:r w:rsidR="006251E6" w:rsidRPr="00D94503">
        <w:rPr>
          <w:rFonts w:ascii="Times New Roman" w:hAnsi="Times New Roman" w:cs="Times New Roman"/>
        </w:rPr>
        <w:t>una disminución del -1</w:t>
      </w:r>
      <w:r w:rsidR="00E23928">
        <w:rPr>
          <w:rFonts w:ascii="Times New Roman" w:hAnsi="Times New Roman" w:cs="Times New Roman"/>
        </w:rPr>
        <w:t> </w:t>
      </w:r>
      <w:r w:rsidR="006251E6" w:rsidRPr="00D94503">
        <w:rPr>
          <w:rFonts w:ascii="Times New Roman" w:hAnsi="Times New Roman" w:cs="Times New Roman"/>
        </w:rPr>
        <w:t xml:space="preserve">% </w:t>
      </w:r>
      <w:r w:rsidR="00E23928">
        <w:rPr>
          <w:rFonts w:ascii="Times New Roman" w:hAnsi="Times New Roman" w:cs="Times New Roman"/>
        </w:rPr>
        <w:t>en</w:t>
      </w:r>
      <w:r w:rsidR="00E23928" w:rsidRPr="00D94503">
        <w:rPr>
          <w:rFonts w:ascii="Times New Roman" w:hAnsi="Times New Roman" w:cs="Times New Roman"/>
        </w:rPr>
        <w:t xml:space="preserve"> </w:t>
      </w:r>
      <w:r w:rsidR="006251E6" w:rsidRPr="00D94503">
        <w:rPr>
          <w:rFonts w:ascii="Times New Roman" w:hAnsi="Times New Roman" w:cs="Times New Roman"/>
        </w:rPr>
        <w:t xml:space="preserve">relación </w:t>
      </w:r>
      <w:r w:rsidR="00E23928">
        <w:rPr>
          <w:rFonts w:ascii="Times New Roman" w:hAnsi="Times New Roman" w:cs="Times New Roman"/>
        </w:rPr>
        <w:t>con el</w:t>
      </w:r>
      <w:r w:rsidR="00E23928" w:rsidRPr="00D94503">
        <w:rPr>
          <w:rFonts w:ascii="Times New Roman" w:hAnsi="Times New Roman" w:cs="Times New Roman"/>
        </w:rPr>
        <w:t xml:space="preserve"> </w:t>
      </w:r>
      <w:r w:rsidR="006251E6" w:rsidRPr="00D94503">
        <w:rPr>
          <w:rFonts w:ascii="Times New Roman" w:hAnsi="Times New Roman" w:cs="Times New Roman"/>
        </w:rPr>
        <w:t xml:space="preserve">ciclo inmediato en </w:t>
      </w:r>
      <w:r w:rsidR="002B2E19" w:rsidRPr="00D94503">
        <w:rPr>
          <w:rFonts w:ascii="Times New Roman" w:hAnsi="Times New Roman" w:cs="Times New Roman"/>
        </w:rPr>
        <w:t>la entidad yucateca (</w:t>
      </w:r>
      <w:r w:rsidR="006251E6" w:rsidRPr="00D94503">
        <w:rPr>
          <w:rFonts w:ascii="Times New Roman" w:hAnsi="Times New Roman" w:cs="Times New Roman"/>
        </w:rPr>
        <w:t>tabla 1</w:t>
      </w:r>
      <w:r w:rsidR="002B2E19" w:rsidRPr="00D94503">
        <w:rPr>
          <w:rFonts w:ascii="Times New Roman" w:hAnsi="Times New Roman" w:cs="Times New Roman"/>
        </w:rPr>
        <w:t>)</w:t>
      </w:r>
      <w:r w:rsidR="006251E6" w:rsidRPr="00D94503">
        <w:rPr>
          <w:rFonts w:ascii="Times New Roman" w:hAnsi="Times New Roman" w:cs="Times New Roman"/>
        </w:rPr>
        <w:t>.</w:t>
      </w:r>
    </w:p>
    <w:p w14:paraId="6AE9E554" w14:textId="76A752E8" w:rsidR="00AB7421" w:rsidRDefault="00AB7421" w:rsidP="00FF6D96">
      <w:pPr>
        <w:spacing w:line="360" w:lineRule="auto"/>
        <w:jc w:val="both"/>
        <w:rPr>
          <w:rFonts w:ascii="Times New Roman" w:hAnsi="Times New Roman" w:cs="Times New Roman"/>
        </w:rPr>
      </w:pPr>
    </w:p>
    <w:p w14:paraId="0C24875E" w14:textId="7069E901" w:rsidR="00C23DC2" w:rsidRDefault="00C23DC2" w:rsidP="00FF6D96">
      <w:pPr>
        <w:spacing w:line="360" w:lineRule="auto"/>
        <w:jc w:val="both"/>
        <w:rPr>
          <w:rFonts w:ascii="Times New Roman" w:hAnsi="Times New Roman" w:cs="Times New Roman"/>
        </w:rPr>
      </w:pPr>
    </w:p>
    <w:p w14:paraId="2A1CAC9F" w14:textId="291720E9" w:rsidR="00C23DC2" w:rsidRDefault="00C23DC2" w:rsidP="00FF6D96">
      <w:pPr>
        <w:spacing w:line="360" w:lineRule="auto"/>
        <w:jc w:val="both"/>
        <w:rPr>
          <w:rFonts w:ascii="Times New Roman" w:hAnsi="Times New Roman" w:cs="Times New Roman"/>
        </w:rPr>
      </w:pPr>
    </w:p>
    <w:p w14:paraId="7756599E" w14:textId="46B8ED79" w:rsidR="00C23DC2" w:rsidRDefault="00C23DC2" w:rsidP="00FF6D96">
      <w:pPr>
        <w:spacing w:line="360" w:lineRule="auto"/>
        <w:jc w:val="both"/>
        <w:rPr>
          <w:rFonts w:ascii="Times New Roman" w:hAnsi="Times New Roman" w:cs="Times New Roman"/>
        </w:rPr>
      </w:pPr>
    </w:p>
    <w:p w14:paraId="3F7B042A" w14:textId="6D5B847D" w:rsidR="00C23DC2" w:rsidRDefault="00C23DC2" w:rsidP="00FF6D96">
      <w:pPr>
        <w:spacing w:line="360" w:lineRule="auto"/>
        <w:jc w:val="both"/>
        <w:rPr>
          <w:rFonts w:ascii="Times New Roman" w:hAnsi="Times New Roman" w:cs="Times New Roman"/>
        </w:rPr>
      </w:pPr>
    </w:p>
    <w:p w14:paraId="6AF6A951" w14:textId="13CA76A6" w:rsidR="00C23DC2" w:rsidRDefault="00C23DC2" w:rsidP="00FF6D96">
      <w:pPr>
        <w:spacing w:line="360" w:lineRule="auto"/>
        <w:jc w:val="both"/>
        <w:rPr>
          <w:rFonts w:ascii="Times New Roman" w:hAnsi="Times New Roman" w:cs="Times New Roman"/>
        </w:rPr>
      </w:pPr>
    </w:p>
    <w:p w14:paraId="59367946" w14:textId="19D74A66" w:rsidR="00C23DC2" w:rsidRDefault="00C23DC2" w:rsidP="00FF6D96">
      <w:pPr>
        <w:spacing w:line="360" w:lineRule="auto"/>
        <w:jc w:val="both"/>
        <w:rPr>
          <w:rFonts w:ascii="Times New Roman" w:hAnsi="Times New Roman" w:cs="Times New Roman"/>
        </w:rPr>
      </w:pPr>
    </w:p>
    <w:p w14:paraId="734DE7F8" w14:textId="0EC908C9" w:rsidR="00C23DC2" w:rsidRDefault="00C23DC2" w:rsidP="00FF6D96">
      <w:pPr>
        <w:spacing w:line="360" w:lineRule="auto"/>
        <w:jc w:val="both"/>
        <w:rPr>
          <w:rFonts w:ascii="Times New Roman" w:hAnsi="Times New Roman" w:cs="Times New Roman"/>
        </w:rPr>
      </w:pPr>
    </w:p>
    <w:p w14:paraId="5162CBE1" w14:textId="56344DCE" w:rsidR="00C23DC2" w:rsidRDefault="00C23DC2" w:rsidP="00FF6D96">
      <w:pPr>
        <w:spacing w:line="360" w:lineRule="auto"/>
        <w:jc w:val="both"/>
        <w:rPr>
          <w:rFonts w:ascii="Times New Roman" w:hAnsi="Times New Roman" w:cs="Times New Roman"/>
        </w:rPr>
      </w:pPr>
    </w:p>
    <w:p w14:paraId="2F99B439" w14:textId="36A3C720" w:rsidR="00C23DC2" w:rsidRDefault="00C23DC2" w:rsidP="00FF6D96">
      <w:pPr>
        <w:spacing w:line="360" w:lineRule="auto"/>
        <w:jc w:val="both"/>
        <w:rPr>
          <w:rFonts w:ascii="Times New Roman" w:hAnsi="Times New Roman" w:cs="Times New Roman"/>
        </w:rPr>
      </w:pPr>
    </w:p>
    <w:p w14:paraId="441AD6FD" w14:textId="54B682DF" w:rsidR="00C23DC2" w:rsidRDefault="00C23DC2" w:rsidP="00FF6D96">
      <w:pPr>
        <w:spacing w:line="360" w:lineRule="auto"/>
        <w:jc w:val="both"/>
        <w:rPr>
          <w:rFonts w:ascii="Times New Roman" w:hAnsi="Times New Roman" w:cs="Times New Roman"/>
        </w:rPr>
      </w:pPr>
    </w:p>
    <w:p w14:paraId="78C7927B" w14:textId="1B4B60FD" w:rsidR="00C23DC2" w:rsidRDefault="00C23DC2" w:rsidP="00FF6D96">
      <w:pPr>
        <w:spacing w:line="360" w:lineRule="auto"/>
        <w:jc w:val="both"/>
        <w:rPr>
          <w:rFonts w:ascii="Times New Roman" w:hAnsi="Times New Roman" w:cs="Times New Roman"/>
        </w:rPr>
      </w:pPr>
    </w:p>
    <w:p w14:paraId="35D47765" w14:textId="32F51AFC" w:rsidR="00C23DC2" w:rsidRDefault="00C23DC2" w:rsidP="00FF6D96">
      <w:pPr>
        <w:spacing w:line="360" w:lineRule="auto"/>
        <w:jc w:val="both"/>
        <w:rPr>
          <w:rFonts w:ascii="Times New Roman" w:hAnsi="Times New Roman" w:cs="Times New Roman"/>
        </w:rPr>
      </w:pPr>
    </w:p>
    <w:p w14:paraId="0018FF5B" w14:textId="5A08F650" w:rsidR="00C23DC2" w:rsidRDefault="00C23DC2" w:rsidP="00FF6D96">
      <w:pPr>
        <w:spacing w:line="360" w:lineRule="auto"/>
        <w:jc w:val="both"/>
        <w:rPr>
          <w:rFonts w:ascii="Times New Roman" w:hAnsi="Times New Roman" w:cs="Times New Roman"/>
        </w:rPr>
      </w:pPr>
    </w:p>
    <w:p w14:paraId="24DE3401" w14:textId="7B7DE2C6" w:rsidR="00C23DC2" w:rsidRDefault="00C23DC2" w:rsidP="00FF6D96">
      <w:pPr>
        <w:spacing w:line="360" w:lineRule="auto"/>
        <w:jc w:val="both"/>
        <w:rPr>
          <w:rFonts w:ascii="Times New Roman" w:hAnsi="Times New Roman" w:cs="Times New Roman"/>
        </w:rPr>
      </w:pPr>
    </w:p>
    <w:p w14:paraId="2771D306" w14:textId="54B941DA" w:rsidR="00C23DC2" w:rsidRDefault="00C23DC2" w:rsidP="00FF6D96">
      <w:pPr>
        <w:spacing w:line="360" w:lineRule="auto"/>
        <w:jc w:val="both"/>
        <w:rPr>
          <w:rFonts w:ascii="Times New Roman" w:hAnsi="Times New Roman" w:cs="Times New Roman"/>
        </w:rPr>
      </w:pPr>
    </w:p>
    <w:p w14:paraId="62203CA2" w14:textId="09C2F709" w:rsidR="00C23DC2" w:rsidRDefault="00C23DC2" w:rsidP="00FF6D96">
      <w:pPr>
        <w:spacing w:line="360" w:lineRule="auto"/>
        <w:jc w:val="both"/>
        <w:rPr>
          <w:rFonts w:ascii="Times New Roman" w:hAnsi="Times New Roman" w:cs="Times New Roman"/>
        </w:rPr>
      </w:pPr>
    </w:p>
    <w:p w14:paraId="178BC221" w14:textId="67A325C2" w:rsidR="00C23DC2" w:rsidRDefault="00C23DC2" w:rsidP="00FF6D96">
      <w:pPr>
        <w:spacing w:line="360" w:lineRule="auto"/>
        <w:jc w:val="both"/>
        <w:rPr>
          <w:rFonts w:ascii="Times New Roman" w:hAnsi="Times New Roman" w:cs="Times New Roman"/>
        </w:rPr>
      </w:pPr>
    </w:p>
    <w:p w14:paraId="78EC5F09" w14:textId="77777777" w:rsidR="00C23DC2" w:rsidRDefault="00C23DC2" w:rsidP="00FF6D96">
      <w:pPr>
        <w:spacing w:line="360" w:lineRule="auto"/>
        <w:jc w:val="both"/>
        <w:rPr>
          <w:rFonts w:ascii="Times New Roman" w:hAnsi="Times New Roman" w:cs="Times New Roman"/>
        </w:rPr>
      </w:pPr>
    </w:p>
    <w:p w14:paraId="5BD99823" w14:textId="74F85CB3" w:rsidR="00BD4FDB" w:rsidRDefault="00BD4FDB" w:rsidP="00421EB7">
      <w:pPr>
        <w:spacing w:line="360" w:lineRule="auto"/>
        <w:jc w:val="center"/>
        <w:rPr>
          <w:rFonts w:ascii="Times New Roman" w:hAnsi="Times New Roman" w:cs="Times New Roman"/>
        </w:rPr>
      </w:pPr>
      <w:r w:rsidRPr="00DA11F9">
        <w:rPr>
          <w:rFonts w:ascii="Times New Roman" w:hAnsi="Times New Roman" w:cs="Times New Roman"/>
          <w:b/>
        </w:rPr>
        <w:lastRenderedPageBreak/>
        <w:t>Tabla 1.</w:t>
      </w:r>
      <w:r>
        <w:rPr>
          <w:rFonts w:ascii="Times New Roman" w:hAnsi="Times New Roman" w:cs="Times New Roman"/>
        </w:rPr>
        <w:t xml:space="preserve"> Alumnado y docentes </w:t>
      </w:r>
      <w:r w:rsidR="007E17FA">
        <w:rPr>
          <w:rFonts w:ascii="Times New Roman" w:hAnsi="Times New Roman" w:cs="Times New Roman"/>
        </w:rPr>
        <w:t>en nivel superior y posgrado inscrito en</w:t>
      </w:r>
      <w:r>
        <w:rPr>
          <w:rFonts w:ascii="Times New Roman" w:hAnsi="Times New Roman" w:cs="Times New Roman"/>
        </w:rPr>
        <w:t xml:space="preserve"> los ciclos 2019</w:t>
      </w:r>
      <w:r w:rsidR="00DD7FB8">
        <w:rPr>
          <w:rFonts w:ascii="Times New Roman" w:hAnsi="Times New Roman" w:cs="Times New Roman"/>
        </w:rPr>
        <w:t xml:space="preserve"> al </w:t>
      </w:r>
      <w:r>
        <w:rPr>
          <w:rFonts w:ascii="Times New Roman" w:hAnsi="Times New Roman" w:cs="Times New Roman"/>
        </w:rPr>
        <w:t>2021</w:t>
      </w: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691"/>
        <w:gridCol w:w="1408"/>
        <w:gridCol w:w="1409"/>
        <w:gridCol w:w="1408"/>
        <w:gridCol w:w="1409"/>
      </w:tblGrid>
      <w:tr w:rsidR="003E1408" w:rsidRPr="00421EB7" w14:paraId="6A98B4B2" w14:textId="77777777" w:rsidTr="00421EB7">
        <w:trPr>
          <w:cantSplit/>
          <w:trHeight w:val="1134"/>
        </w:trPr>
        <w:tc>
          <w:tcPr>
            <w:tcW w:w="2122" w:type="dxa"/>
            <w:shd w:val="clear" w:color="auto" w:fill="auto"/>
            <w:textDirection w:val="btLr"/>
            <w:vAlign w:val="center"/>
            <w:hideMark/>
          </w:tcPr>
          <w:p w14:paraId="14192F60" w14:textId="7709442C" w:rsidR="005751A1" w:rsidRPr="00421EB7" w:rsidRDefault="003E1408" w:rsidP="003E1408">
            <w:pPr>
              <w:spacing w:line="360" w:lineRule="auto"/>
              <w:jc w:val="center"/>
              <w:rPr>
                <w:rFonts w:ascii="Times New Roman" w:eastAsia="Times New Roman" w:hAnsi="Times New Roman" w:cs="Times New Roman"/>
                <w:color w:val="000000"/>
                <w:lang w:val="es-MX" w:eastAsia="es-MX"/>
              </w:rPr>
            </w:pPr>
            <w:r w:rsidRPr="00421EB7">
              <w:rPr>
                <w:rFonts w:ascii="Times New Roman" w:hAnsi="Times New Roman" w:cs="Times New Roman"/>
                <w:color w:val="000000"/>
              </w:rPr>
              <w:t>Municipio/Estado/País</w:t>
            </w:r>
          </w:p>
        </w:tc>
        <w:tc>
          <w:tcPr>
            <w:tcW w:w="1691" w:type="dxa"/>
            <w:shd w:val="clear" w:color="auto" w:fill="auto"/>
            <w:vAlign w:val="center"/>
            <w:hideMark/>
          </w:tcPr>
          <w:p w14:paraId="253B3378" w14:textId="77777777" w:rsidR="005751A1" w:rsidRPr="00421EB7" w:rsidRDefault="005751A1" w:rsidP="00FF6D96">
            <w:pPr>
              <w:spacing w:line="360" w:lineRule="auto"/>
              <w:jc w:val="center"/>
              <w:rPr>
                <w:rFonts w:ascii="Times New Roman" w:hAnsi="Times New Roman" w:cs="Times New Roman"/>
                <w:color w:val="000000"/>
              </w:rPr>
            </w:pPr>
            <w:r w:rsidRPr="00421EB7">
              <w:rPr>
                <w:rFonts w:ascii="Times New Roman" w:hAnsi="Times New Roman" w:cs="Times New Roman"/>
                <w:color w:val="000000"/>
              </w:rPr>
              <w:t>Alumnos</w:t>
            </w:r>
          </w:p>
        </w:tc>
        <w:tc>
          <w:tcPr>
            <w:tcW w:w="1408" w:type="dxa"/>
            <w:shd w:val="clear" w:color="auto" w:fill="auto"/>
            <w:vAlign w:val="center"/>
            <w:hideMark/>
          </w:tcPr>
          <w:p w14:paraId="6B3241E8" w14:textId="398943A5" w:rsidR="005751A1" w:rsidRPr="00421EB7" w:rsidRDefault="005751A1" w:rsidP="00FF6D96">
            <w:pPr>
              <w:spacing w:line="360" w:lineRule="auto"/>
              <w:jc w:val="center"/>
              <w:rPr>
                <w:rFonts w:ascii="Times New Roman" w:hAnsi="Times New Roman" w:cs="Times New Roman"/>
                <w:color w:val="000000"/>
              </w:rPr>
            </w:pPr>
            <w:r w:rsidRPr="00421EB7">
              <w:rPr>
                <w:rFonts w:ascii="Times New Roman" w:hAnsi="Times New Roman" w:cs="Times New Roman"/>
                <w:color w:val="000000"/>
              </w:rPr>
              <w:t xml:space="preserve">Alumnos </w:t>
            </w:r>
            <w:r w:rsidR="005D6A7F" w:rsidRPr="00421EB7">
              <w:rPr>
                <w:rFonts w:ascii="Times New Roman" w:hAnsi="Times New Roman" w:cs="Times New Roman"/>
                <w:color w:val="000000"/>
              </w:rPr>
              <w:t>h</w:t>
            </w:r>
            <w:r w:rsidRPr="00421EB7">
              <w:rPr>
                <w:rFonts w:ascii="Times New Roman" w:hAnsi="Times New Roman" w:cs="Times New Roman"/>
                <w:color w:val="000000"/>
              </w:rPr>
              <w:t>ombres</w:t>
            </w:r>
          </w:p>
        </w:tc>
        <w:tc>
          <w:tcPr>
            <w:tcW w:w="1409" w:type="dxa"/>
            <w:shd w:val="clear" w:color="auto" w:fill="auto"/>
            <w:vAlign w:val="center"/>
            <w:hideMark/>
          </w:tcPr>
          <w:p w14:paraId="02174DC8" w14:textId="61F4EDED" w:rsidR="005751A1" w:rsidRPr="00421EB7" w:rsidRDefault="005751A1" w:rsidP="00FF6D96">
            <w:pPr>
              <w:spacing w:line="360" w:lineRule="auto"/>
              <w:jc w:val="center"/>
              <w:rPr>
                <w:rFonts w:ascii="Times New Roman" w:hAnsi="Times New Roman" w:cs="Times New Roman"/>
                <w:color w:val="000000"/>
              </w:rPr>
            </w:pPr>
            <w:r w:rsidRPr="00421EB7">
              <w:rPr>
                <w:rFonts w:ascii="Times New Roman" w:hAnsi="Times New Roman" w:cs="Times New Roman"/>
                <w:color w:val="000000"/>
              </w:rPr>
              <w:t xml:space="preserve">Alumnos </w:t>
            </w:r>
            <w:r w:rsidR="005D6A7F" w:rsidRPr="00421EB7">
              <w:rPr>
                <w:rFonts w:ascii="Times New Roman" w:hAnsi="Times New Roman" w:cs="Times New Roman"/>
                <w:color w:val="000000"/>
              </w:rPr>
              <w:t>m</w:t>
            </w:r>
            <w:r w:rsidRPr="00421EB7">
              <w:rPr>
                <w:rFonts w:ascii="Times New Roman" w:hAnsi="Times New Roman" w:cs="Times New Roman"/>
                <w:color w:val="000000"/>
              </w:rPr>
              <w:t>ujeres</w:t>
            </w:r>
          </w:p>
        </w:tc>
        <w:tc>
          <w:tcPr>
            <w:tcW w:w="1408" w:type="dxa"/>
            <w:shd w:val="clear" w:color="auto" w:fill="auto"/>
            <w:vAlign w:val="center"/>
            <w:hideMark/>
          </w:tcPr>
          <w:p w14:paraId="530FA5BB" w14:textId="77777777" w:rsidR="005751A1" w:rsidRPr="00421EB7" w:rsidRDefault="005751A1" w:rsidP="00FF6D96">
            <w:pPr>
              <w:spacing w:line="360" w:lineRule="auto"/>
              <w:jc w:val="center"/>
              <w:rPr>
                <w:rFonts w:ascii="Times New Roman" w:hAnsi="Times New Roman" w:cs="Times New Roman"/>
                <w:color w:val="000000"/>
              </w:rPr>
            </w:pPr>
            <w:r w:rsidRPr="00421EB7">
              <w:rPr>
                <w:rFonts w:ascii="Times New Roman" w:hAnsi="Times New Roman" w:cs="Times New Roman"/>
                <w:color w:val="000000"/>
              </w:rPr>
              <w:t>Docentes</w:t>
            </w:r>
          </w:p>
        </w:tc>
        <w:tc>
          <w:tcPr>
            <w:tcW w:w="1409" w:type="dxa"/>
            <w:shd w:val="clear" w:color="auto" w:fill="auto"/>
            <w:vAlign w:val="center"/>
            <w:hideMark/>
          </w:tcPr>
          <w:p w14:paraId="1A55D9FE" w14:textId="77777777" w:rsidR="005751A1" w:rsidRPr="00421EB7" w:rsidRDefault="005751A1" w:rsidP="00FF6D96">
            <w:pPr>
              <w:spacing w:line="360" w:lineRule="auto"/>
              <w:jc w:val="center"/>
              <w:rPr>
                <w:rFonts w:ascii="Times New Roman" w:hAnsi="Times New Roman" w:cs="Times New Roman"/>
                <w:color w:val="000000"/>
              </w:rPr>
            </w:pPr>
            <w:r w:rsidRPr="00421EB7">
              <w:rPr>
                <w:rFonts w:ascii="Times New Roman" w:hAnsi="Times New Roman" w:cs="Times New Roman"/>
                <w:color w:val="000000"/>
              </w:rPr>
              <w:t>Ciclo</w:t>
            </w:r>
          </w:p>
        </w:tc>
      </w:tr>
      <w:tr w:rsidR="00FF3077" w:rsidRPr="00421EB7" w14:paraId="18C078B6" w14:textId="77777777" w:rsidTr="00421EB7">
        <w:trPr>
          <w:trHeight w:val="300"/>
        </w:trPr>
        <w:tc>
          <w:tcPr>
            <w:tcW w:w="2122" w:type="dxa"/>
            <w:shd w:val="clear" w:color="auto" w:fill="auto"/>
            <w:vAlign w:val="center"/>
          </w:tcPr>
          <w:p w14:paraId="4337CC03" w14:textId="2440737A" w:rsidR="00B41479" w:rsidRPr="00421EB7" w:rsidRDefault="00B41479" w:rsidP="00FF6D96">
            <w:pPr>
              <w:spacing w:line="360" w:lineRule="auto"/>
              <w:rPr>
                <w:rFonts w:ascii="Times New Roman" w:hAnsi="Times New Roman" w:cs="Times New Roman"/>
              </w:rPr>
            </w:pPr>
            <w:r w:rsidRPr="00421EB7">
              <w:rPr>
                <w:rFonts w:ascii="Times New Roman" w:hAnsi="Times New Roman" w:cs="Times New Roman"/>
              </w:rPr>
              <w:t>México</w:t>
            </w:r>
          </w:p>
        </w:tc>
        <w:tc>
          <w:tcPr>
            <w:tcW w:w="1691" w:type="dxa"/>
            <w:shd w:val="clear" w:color="auto" w:fill="auto"/>
            <w:vAlign w:val="center"/>
          </w:tcPr>
          <w:p w14:paraId="4E9A663B" w14:textId="3B3BEB50"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4</w:t>
            </w:r>
            <w:r w:rsidR="005D6A7F" w:rsidRPr="00421EB7">
              <w:rPr>
                <w:rStyle w:val="fontrow"/>
                <w:rFonts w:ascii="Times New Roman" w:hAnsi="Times New Roman" w:cs="Times New Roman"/>
              </w:rPr>
              <w:t> </w:t>
            </w:r>
            <w:r w:rsidRPr="00421EB7">
              <w:rPr>
                <w:rStyle w:val="fontrow"/>
                <w:rFonts w:ascii="Times New Roman" w:hAnsi="Times New Roman" w:cs="Times New Roman"/>
              </w:rPr>
              <w:t>030</w:t>
            </w:r>
            <w:r w:rsidR="005D6A7F" w:rsidRPr="00421EB7">
              <w:rPr>
                <w:rStyle w:val="fontrow"/>
                <w:rFonts w:ascii="Times New Roman" w:hAnsi="Times New Roman" w:cs="Times New Roman"/>
              </w:rPr>
              <w:t> </w:t>
            </w:r>
            <w:r w:rsidRPr="00421EB7">
              <w:rPr>
                <w:rStyle w:val="fontrow"/>
                <w:rFonts w:ascii="Times New Roman" w:hAnsi="Times New Roman" w:cs="Times New Roman"/>
              </w:rPr>
              <w:t>616</w:t>
            </w:r>
          </w:p>
        </w:tc>
        <w:tc>
          <w:tcPr>
            <w:tcW w:w="1408" w:type="dxa"/>
            <w:shd w:val="clear" w:color="auto" w:fill="auto"/>
            <w:vAlign w:val="center"/>
          </w:tcPr>
          <w:p w14:paraId="1450C8CB" w14:textId="3721C97A"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1</w:t>
            </w:r>
            <w:r w:rsidR="005D6A7F" w:rsidRPr="00421EB7">
              <w:rPr>
                <w:rStyle w:val="fontrow"/>
                <w:rFonts w:ascii="Times New Roman" w:hAnsi="Times New Roman" w:cs="Times New Roman"/>
              </w:rPr>
              <w:t> </w:t>
            </w:r>
            <w:r w:rsidRPr="00421EB7">
              <w:rPr>
                <w:rStyle w:val="fontrow"/>
                <w:rFonts w:ascii="Times New Roman" w:hAnsi="Times New Roman" w:cs="Times New Roman"/>
              </w:rPr>
              <w:t>945</w:t>
            </w:r>
            <w:r w:rsidR="005D6A7F" w:rsidRPr="00421EB7">
              <w:rPr>
                <w:rStyle w:val="fontrow"/>
                <w:rFonts w:ascii="Times New Roman" w:hAnsi="Times New Roman" w:cs="Times New Roman"/>
              </w:rPr>
              <w:t> </w:t>
            </w:r>
            <w:r w:rsidRPr="00421EB7">
              <w:rPr>
                <w:rStyle w:val="fontrow"/>
                <w:rFonts w:ascii="Times New Roman" w:hAnsi="Times New Roman" w:cs="Times New Roman"/>
              </w:rPr>
              <w:t>397</w:t>
            </w:r>
          </w:p>
        </w:tc>
        <w:tc>
          <w:tcPr>
            <w:tcW w:w="1409" w:type="dxa"/>
            <w:shd w:val="clear" w:color="auto" w:fill="auto"/>
            <w:vAlign w:val="center"/>
          </w:tcPr>
          <w:p w14:paraId="7A33C1AD" w14:textId="46CFFC44"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2</w:t>
            </w:r>
            <w:r w:rsidR="005D6A7F" w:rsidRPr="00421EB7">
              <w:rPr>
                <w:rStyle w:val="fontrow"/>
                <w:rFonts w:ascii="Times New Roman" w:hAnsi="Times New Roman" w:cs="Times New Roman"/>
              </w:rPr>
              <w:t> </w:t>
            </w:r>
            <w:r w:rsidRPr="00421EB7">
              <w:rPr>
                <w:rStyle w:val="fontrow"/>
                <w:rFonts w:ascii="Times New Roman" w:hAnsi="Times New Roman" w:cs="Times New Roman"/>
              </w:rPr>
              <w:t>085</w:t>
            </w:r>
            <w:r w:rsidR="005D6A7F" w:rsidRPr="00421EB7">
              <w:rPr>
                <w:rStyle w:val="fontrow"/>
                <w:rFonts w:ascii="Times New Roman" w:hAnsi="Times New Roman" w:cs="Times New Roman"/>
              </w:rPr>
              <w:t> </w:t>
            </w:r>
            <w:r w:rsidRPr="00421EB7">
              <w:rPr>
                <w:rStyle w:val="fontrow"/>
                <w:rFonts w:ascii="Times New Roman" w:hAnsi="Times New Roman" w:cs="Times New Roman"/>
              </w:rPr>
              <w:t>219</w:t>
            </w:r>
          </w:p>
        </w:tc>
        <w:tc>
          <w:tcPr>
            <w:tcW w:w="1408" w:type="dxa"/>
            <w:shd w:val="clear" w:color="auto" w:fill="auto"/>
            <w:vAlign w:val="center"/>
          </w:tcPr>
          <w:p w14:paraId="2E99F0F3" w14:textId="340D8695" w:rsidR="00B41479" w:rsidRPr="00421EB7" w:rsidRDefault="00B41479" w:rsidP="00FF6D96">
            <w:pPr>
              <w:spacing w:line="360" w:lineRule="auto"/>
              <w:jc w:val="center"/>
              <w:rPr>
                <w:rFonts w:ascii="Times New Roman" w:hAnsi="Times New Roman" w:cs="Times New Roman"/>
              </w:rPr>
            </w:pPr>
            <w:r w:rsidRPr="00421EB7">
              <w:rPr>
                <w:rFonts w:ascii="Times New Roman" w:hAnsi="Times New Roman" w:cs="Times New Roman"/>
                <w:shd w:val="clear" w:color="auto" w:fill="FFFFFF"/>
              </w:rPr>
              <w:t>401</w:t>
            </w:r>
            <w:r w:rsidR="005D6A7F" w:rsidRPr="00421EB7">
              <w:rPr>
                <w:rFonts w:ascii="Times New Roman" w:hAnsi="Times New Roman" w:cs="Times New Roman"/>
                <w:shd w:val="clear" w:color="auto" w:fill="FFFFFF"/>
              </w:rPr>
              <w:t> </w:t>
            </w:r>
            <w:r w:rsidRPr="00421EB7">
              <w:rPr>
                <w:rFonts w:ascii="Times New Roman" w:hAnsi="Times New Roman" w:cs="Times New Roman"/>
                <w:shd w:val="clear" w:color="auto" w:fill="FFFFFF"/>
              </w:rPr>
              <w:t>367</w:t>
            </w:r>
          </w:p>
        </w:tc>
        <w:tc>
          <w:tcPr>
            <w:tcW w:w="1409" w:type="dxa"/>
            <w:vMerge w:val="restart"/>
            <w:shd w:val="clear" w:color="auto" w:fill="auto"/>
            <w:noWrap/>
            <w:vAlign w:val="center"/>
          </w:tcPr>
          <w:p w14:paraId="62BD71B8" w14:textId="48C300D4" w:rsidR="00B41479" w:rsidRPr="00421EB7" w:rsidRDefault="00B41479" w:rsidP="00FF6D96">
            <w:pPr>
              <w:spacing w:line="360" w:lineRule="auto"/>
              <w:jc w:val="center"/>
              <w:rPr>
                <w:rFonts w:ascii="Times New Roman" w:hAnsi="Times New Roman" w:cs="Times New Roman"/>
              </w:rPr>
            </w:pPr>
            <w:r w:rsidRPr="00421EB7">
              <w:rPr>
                <w:rFonts w:ascii="Times New Roman" w:hAnsi="Times New Roman" w:cs="Times New Roman"/>
              </w:rPr>
              <w:t>2020-2021</w:t>
            </w:r>
          </w:p>
        </w:tc>
      </w:tr>
      <w:tr w:rsidR="00FF3077" w:rsidRPr="00421EB7" w14:paraId="7B03898D" w14:textId="77777777" w:rsidTr="00421EB7">
        <w:trPr>
          <w:trHeight w:val="300"/>
        </w:trPr>
        <w:tc>
          <w:tcPr>
            <w:tcW w:w="2122" w:type="dxa"/>
            <w:shd w:val="clear" w:color="auto" w:fill="auto"/>
            <w:vAlign w:val="center"/>
          </w:tcPr>
          <w:p w14:paraId="26B115AE" w14:textId="579AC6B1" w:rsidR="00B41479" w:rsidRPr="00421EB7" w:rsidRDefault="00B41479" w:rsidP="00FF6D96">
            <w:pPr>
              <w:spacing w:line="360" w:lineRule="auto"/>
              <w:rPr>
                <w:rFonts w:ascii="Times New Roman" w:hAnsi="Times New Roman" w:cs="Times New Roman"/>
              </w:rPr>
            </w:pPr>
            <w:r w:rsidRPr="00421EB7">
              <w:rPr>
                <w:rFonts w:ascii="Times New Roman" w:hAnsi="Times New Roman" w:cs="Times New Roman"/>
              </w:rPr>
              <w:t>Posgrados</w:t>
            </w:r>
          </w:p>
        </w:tc>
        <w:tc>
          <w:tcPr>
            <w:tcW w:w="1691" w:type="dxa"/>
            <w:shd w:val="clear" w:color="auto" w:fill="auto"/>
            <w:vAlign w:val="center"/>
          </w:tcPr>
          <w:p w14:paraId="72997A6A" w14:textId="05F0DFB8"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239</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088</w:t>
            </w:r>
          </w:p>
        </w:tc>
        <w:tc>
          <w:tcPr>
            <w:tcW w:w="1408" w:type="dxa"/>
            <w:shd w:val="clear" w:color="auto" w:fill="auto"/>
            <w:vAlign w:val="center"/>
          </w:tcPr>
          <w:p w14:paraId="04FA3C48" w14:textId="04C3444E"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111</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222</w:t>
            </w:r>
          </w:p>
        </w:tc>
        <w:tc>
          <w:tcPr>
            <w:tcW w:w="1409" w:type="dxa"/>
            <w:shd w:val="clear" w:color="auto" w:fill="auto"/>
            <w:vAlign w:val="center"/>
          </w:tcPr>
          <w:p w14:paraId="0EE74EBB" w14:textId="52200920"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127</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866</w:t>
            </w:r>
          </w:p>
        </w:tc>
        <w:tc>
          <w:tcPr>
            <w:tcW w:w="1408" w:type="dxa"/>
            <w:shd w:val="clear" w:color="auto" w:fill="auto"/>
            <w:vAlign w:val="center"/>
          </w:tcPr>
          <w:p w14:paraId="5AC414BA" w14:textId="320AF195"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61</w:t>
            </w:r>
            <w:r w:rsidR="005D6A7F" w:rsidRPr="00421EB7">
              <w:rPr>
                <w:rStyle w:val="fontrow"/>
                <w:rFonts w:ascii="Times New Roman" w:hAnsi="Times New Roman" w:cs="Times New Roman"/>
              </w:rPr>
              <w:t> </w:t>
            </w:r>
            <w:r w:rsidRPr="00421EB7">
              <w:rPr>
                <w:rStyle w:val="fontrow"/>
                <w:rFonts w:ascii="Times New Roman" w:hAnsi="Times New Roman" w:cs="Times New Roman"/>
              </w:rPr>
              <w:t>011</w:t>
            </w:r>
          </w:p>
        </w:tc>
        <w:tc>
          <w:tcPr>
            <w:tcW w:w="1409" w:type="dxa"/>
            <w:vMerge/>
            <w:shd w:val="clear" w:color="auto" w:fill="auto"/>
            <w:noWrap/>
            <w:vAlign w:val="center"/>
          </w:tcPr>
          <w:p w14:paraId="2F5C17A3" w14:textId="0D992F94" w:rsidR="00B41479" w:rsidRPr="00421EB7" w:rsidRDefault="00B41479" w:rsidP="00FF6D96">
            <w:pPr>
              <w:spacing w:line="360" w:lineRule="auto"/>
              <w:jc w:val="center"/>
              <w:rPr>
                <w:rFonts w:ascii="Times New Roman" w:hAnsi="Times New Roman" w:cs="Times New Roman"/>
              </w:rPr>
            </w:pPr>
          </w:p>
        </w:tc>
      </w:tr>
      <w:tr w:rsidR="00FF3077" w:rsidRPr="00421EB7" w14:paraId="661E995C" w14:textId="77777777" w:rsidTr="00421EB7">
        <w:trPr>
          <w:trHeight w:val="300"/>
        </w:trPr>
        <w:tc>
          <w:tcPr>
            <w:tcW w:w="2122" w:type="dxa"/>
            <w:shd w:val="clear" w:color="auto" w:fill="auto"/>
            <w:vAlign w:val="center"/>
          </w:tcPr>
          <w:p w14:paraId="12E51D50" w14:textId="68E2BC9D" w:rsidR="00B41479" w:rsidRPr="00421EB7" w:rsidRDefault="00B41479" w:rsidP="00FF6D96">
            <w:pPr>
              <w:spacing w:line="360" w:lineRule="auto"/>
              <w:rPr>
                <w:rFonts w:ascii="Times New Roman" w:hAnsi="Times New Roman" w:cs="Times New Roman"/>
              </w:rPr>
            </w:pPr>
            <w:r w:rsidRPr="00421EB7">
              <w:rPr>
                <w:rFonts w:ascii="Times New Roman" w:hAnsi="Times New Roman" w:cs="Times New Roman"/>
              </w:rPr>
              <w:t xml:space="preserve">Posgrado en </w:t>
            </w:r>
            <w:r w:rsidR="005D6A7F" w:rsidRPr="00421EB7">
              <w:rPr>
                <w:rFonts w:ascii="Times New Roman" w:hAnsi="Times New Roman" w:cs="Times New Roman"/>
              </w:rPr>
              <w:t>i</w:t>
            </w:r>
            <w:r w:rsidRPr="00421EB7">
              <w:rPr>
                <w:rFonts w:ascii="Times New Roman" w:hAnsi="Times New Roman" w:cs="Times New Roman"/>
              </w:rPr>
              <w:t>nstitución pública</w:t>
            </w:r>
          </w:p>
        </w:tc>
        <w:tc>
          <w:tcPr>
            <w:tcW w:w="1691" w:type="dxa"/>
            <w:shd w:val="clear" w:color="auto" w:fill="auto"/>
            <w:vAlign w:val="center"/>
          </w:tcPr>
          <w:p w14:paraId="7AA23603" w14:textId="5D6ACAEB"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121</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738</w:t>
            </w:r>
          </w:p>
        </w:tc>
        <w:tc>
          <w:tcPr>
            <w:tcW w:w="1408" w:type="dxa"/>
            <w:shd w:val="clear" w:color="auto" w:fill="auto"/>
            <w:vAlign w:val="center"/>
          </w:tcPr>
          <w:p w14:paraId="3BFF1AE2" w14:textId="64F78B2F"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61</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062</w:t>
            </w:r>
          </w:p>
        </w:tc>
        <w:tc>
          <w:tcPr>
            <w:tcW w:w="1409" w:type="dxa"/>
            <w:shd w:val="clear" w:color="auto" w:fill="auto"/>
            <w:vAlign w:val="center"/>
          </w:tcPr>
          <w:p w14:paraId="44B72B70" w14:textId="07A386E9" w:rsidR="00B41479" w:rsidRPr="00421EB7" w:rsidRDefault="00B41479" w:rsidP="00FF6D96">
            <w:pPr>
              <w:spacing w:line="360" w:lineRule="auto"/>
              <w:jc w:val="center"/>
              <w:rPr>
                <w:rFonts w:ascii="Times New Roman" w:hAnsi="Times New Roman" w:cs="Times New Roman"/>
              </w:rPr>
            </w:pPr>
            <w:r w:rsidRPr="00421EB7">
              <w:rPr>
                <w:rStyle w:val="fontrow"/>
                <w:rFonts w:ascii="Times New Roman" w:hAnsi="Times New Roman" w:cs="Times New Roman"/>
              </w:rPr>
              <w:t>60</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676</w:t>
            </w:r>
          </w:p>
        </w:tc>
        <w:tc>
          <w:tcPr>
            <w:tcW w:w="1408" w:type="dxa"/>
            <w:shd w:val="clear" w:color="auto" w:fill="auto"/>
            <w:vAlign w:val="center"/>
          </w:tcPr>
          <w:p w14:paraId="420A51A3" w14:textId="277B3D49" w:rsidR="00B41479" w:rsidRPr="00421EB7" w:rsidRDefault="00B41479" w:rsidP="00FF6D96">
            <w:pPr>
              <w:spacing w:line="360" w:lineRule="auto"/>
              <w:jc w:val="center"/>
              <w:rPr>
                <w:rFonts w:ascii="Times New Roman" w:hAnsi="Times New Roman" w:cs="Times New Roman"/>
              </w:rPr>
            </w:pPr>
            <w:r w:rsidRPr="00421EB7">
              <w:rPr>
                <w:rFonts w:ascii="Times New Roman" w:hAnsi="Times New Roman" w:cs="Times New Roman"/>
                <w:shd w:val="clear" w:color="auto" w:fill="FFFFFF"/>
              </w:rPr>
              <w:t>35</w:t>
            </w:r>
            <w:r w:rsidR="005D6A7F" w:rsidRPr="00421EB7">
              <w:rPr>
                <w:rFonts w:ascii="Times New Roman" w:hAnsi="Times New Roman" w:cs="Times New Roman"/>
                <w:shd w:val="clear" w:color="auto" w:fill="FFFFFF"/>
              </w:rPr>
              <w:t> </w:t>
            </w:r>
            <w:r w:rsidRPr="00421EB7">
              <w:rPr>
                <w:rFonts w:ascii="Times New Roman" w:hAnsi="Times New Roman" w:cs="Times New Roman"/>
                <w:shd w:val="clear" w:color="auto" w:fill="FFFFFF"/>
              </w:rPr>
              <w:t>161</w:t>
            </w:r>
          </w:p>
        </w:tc>
        <w:tc>
          <w:tcPr>
            <w:tcW w:w="1409" w:type="dxa"/>
            <w:vMerge/>
            <w:shd w:val="clear" w:color="auto" w:fill="auto"/>
            <w:noWrap/>
            <w:vAlign w:val="center"/>
          </w:tcPr>
          <w:p w14:paraId="20EAADE9" w14:textId="5528B45A" w:rsidR="00B41479" w:rsidRPr="00421EB7" w:rsidRDefault="00B41479" w:rsidP="00FF6D96">
            <w:pPr>
              <w:spacing w:line="360" w:lineRule="auto"/>
              <w:jc w:val="center"/>
              <w:rPr>
                <w:rFonts w:ascii="Times New Roman" w:hAnsi="Times New Roman" w:cs="Times New Roman"/>
              </w:rPr>
            </w:pPr>
          </w:p>
        </w:tc>
      </w:tr>
      <w:tr w:rsidR="00FF3077" w:rsidRPr="00421EB7" w14:paraId="3AB09836" w14:textId="77777777" w:rsidTr="00421EB7">
        <w:trPr>
          <w:trHeight w:val="300"/>
        </w:trPr>
        <w:tc>
          <w:tcPr>
            <w:tcW w:w="2122" w:type="dxa"/>
            <w:shd w:val="clear" w:color="auto" w:fill="auto"/>
            <w:vAlign w:val="center"/>
            <w:hideMark/>
          </w:tcPr>
          <w:p w14:paraId="7F58FF2E"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Yucatán</w:t>
            </w:r>
          </w:p>
        </w:tc>
        <w:tc>
          <w:tcPr>
            <w:tcW w:w="1691" w:type="dxa"/>
            <w:shd w:val="clear" w:color="auto" w:fill="auto"/>
            <w:vAlign w:val="center"/>
            <w:hideMark/>
          </w:tcPr>
          <w:p w14:paraId="144284D8" w14:textId="3DEAEC8A"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74</w:t>
            </w:r>
            <w:r w:rsidR="005D6A7F" w:rsidRPr="00421EB7">
              <w:rPr>
                <w:rFonts w:ascii="Times New Roman" w:hAnsi="Times New Roman" w:cs="Times New Roman"/>
              </w:rPr>
              <w:t xml:space="preserve"> </w:t>
            </w:r>
            <w:r w:rsidRPr="00421EB7">
              <w:rPr>
                <w:rFonts w:ascii="Times New Roman" w:hAnsi="Times New Roman" w:cs="Times New Roman"/>
              </w:rPr>
              <w:t>741</w:t>
            </w:r>
          </w:p>
        </w:tc>
        <w:tc>
          <w:tcPr>
            <w:tcW w:w="1408" w:type="dxa"/>
            <w:shd w:val="clear" w:color="auto" w:fill="auto"/>
            <w:vAlign w:val="center"/>
            <w:hideMark/>
          </w:tcPr>
          <w:p w14:paraId="56EF1321" w14:textId="78814DDC"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38</w:t>
            </w:r>
            <w:r w:rsidR="005D6A7F" w:rsidRPr="00421EB7">
              <w:rPr>
                <w:rFonts w:ascii="Times New Roman" w:hAnsi="Times New Roman" w:cs="Times New Roman"/>
              </w:rPr>
              <w:t xml:space="preserve"> </w:t>
            </w:r>
            <w:r w:rsidRPr="00421EB7">
              <w:rPr>
                <w:rFonts w:ascii="Times New Roman" w:hAnsi="Times New Roman" w:cs="Times New Roman"/>
              </w:rPr>
              <w:t>721</w:t>
            </w:r>
          </w:p>
        </w:tc>
        <w:tc>
          <w:tcPr>
            <w:tcW w:w="1409" w:type="dxa"/>
            <w:shd w:val="clear" w:color="auto" w:fill="auto"/>
            <w:vAlign w:val="center"/>
            <w:hideMark/>
          </w:tcPr>
          <w:p w14:paraId="2CBDCFD3" w14:textId="1394E810"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40</w:t>
            </w:r>
            <w:r w:rsidR="005D6A7F" w:rsidRPr="00421EB7">
              <w:rPr>
                <w:rFonts w:ascii="Times New Roman" w:hAnsi="Times New Roman" w:cs="Times New Roman"/>
              </w:rPr>
              <w:t xml:space="preserve"> </w:t>
            </w:r>
            <w:r w:rsidRPr="00421EB7">
              <w:rPr>
                <w:rFonts w:ascii="Times New Roman" w:hAnsi="Times New Roman" w:cs="Times New Roman"/>
              </w:rPr>
              <w:t>940</w:t>
            </w:r>
          </w:p>
        </w:tc>
        <w:tc>
          <w:tcPr>
            <w:tcW w:w="1408" w:type="dxa"/>
            <w:shd w:val="clear" w:color="auto" w:fill="auto"/>
            <w:vAlign w:val="center"/>
            <w:hideMark/>
          </w:tcPr>
          <w:p w14:paraId="08DAAEA4" w14:textId="52975A18"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8272</w:t>
            </w:r>
          </w:p>
        </w:tc>
        <w:tc>
          <w:tcPr>
            <w:tcW w:w="1409" w:type="dxa"/>
            <w:vMerge/>
            <w:shd w:val="clear" w:color="auto" w:fill="auto"/>
            <w:noWrap/>
            <w:vAlign w:val="center"/>
            <w:hideMark/>
          </w:tcPr>
          <w:p w14:paraId="486A8D03" w14:textId="3B52AD0C" w:rsidR="0038061D" w:rsidRPr="00421EB7" w:rsidRDefault="0038061D" w:rsidP="00FF6D96">
            <w:pPr>
              <w:spacing w:line="360" w:lineRule="auto"/>
              <w:jc w:val="center"/>
              <w:rPr>
                <w:rFonts w:ascii="Times New Roman" w:hAnsi="Times New Roman" w:cs="Times New Roman"/>
              </w:rPr>
            </w:pPr>
          </w:p>
        </w:tc>
      </w:tr>
      <w:tr w:rsidR="00FF3077" w:rsidRPr="00421EB7" w14:paraId="43B06D2B" w14:textId="77777777" w:rsidTr="00421EB7">
        <w:trPr>
          <w:trHeight w:val="300"/>
        </w:trPr>
        <w:tc>
          <w:tcPr>
            <w:tcW w:w="2122" w:type="dxa"/>
            <w:shd w:val="clear" w:color="auto" w:fill="auto"/>
            <w:vAlign w:val="center"/>
            <w:hideMark/>
          </w:tcPr>
          <w:p w14:paraId="23CC2D94"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Mérida</w:t>
            </w:r>
          </w:p>
        </w:tc>
        <w:tc>
          <w:tcPr>
            <w:tcW w:w="1691" w:type="dxa"/>
            <w:shd w:val="clear" w:color="auto" w:fill="auto"/>
            <w:vAlign w:val="center"/>
            <w:hideMark/>
          </w:tcPr>
          <w:p w14:paraId="6AFD580F" w14:textId="136831F9"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57</w:t>
            </w:r>
            <w:r w:rsidR="005D6A7F" w:rsidRPr="00421EB7">
              <w:rPr>
                <w:rFonts w:ascii="Times New Roman" w:hAnsi="Times New Roman" w:cs="Times New Roman"/>
              </w:rPr>
              <w:t xml:space="preserve"> </w:t>
            </w:r>
            <w:r w:rsidRPr="00421EB7">
              <w:rPr>
                <w:rFonts w:ascii="Times New Roman" w:hAnsi="Times New Roman" w:cs="Times New Roman"/>
              </w:rPr>
              <w:t>884</w:t>
            </w:r>
          </w:p>
        </w:tc>
        <w:tc>
          <w:tcPr>
            <w:tcW w:w="1408" w:type="dxa"/>
            <w:shd w:val="clear" w:color="auto" w:fill="auto"/>
            <w:vAlign w:val="center"/>
            <w:hideMark/>
          </w:tcPr>
          <w:p w14:paraId="14283ABA" w14:textId="1F51DC79"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29</w:t>
            </w:r>
            <w:r w:rsidR="005D6A7F" w:rsidRPr="00421EB7">
              <w:rPr>
                <w:rFonts w:ascii="Times New Roman" w:hAnsi="Times New Roman" w:cs="Times New Roman"/>
              </w:rPr>
              <w:t xml:space="preserve"> </w:t>
            </w:r>
            <w:r w:rsidRPr="00421EB7">
              <w:rPr>
                <w:rFonts w:ascii="Times New Roman" w:hAnsi="Times New Roman" w:cs="Times New Roman"/>
              </w:rPr>
              <w:t>478</w:t>
            </w:r>
          </w:p>
        </w:tc>
        <w:tc>
          <w:tcPr>
            <w:tcW w:w="1409" w:type="dxa"/>
            <w:shd w:val="clear" w:color="auto" w:fill="auto"/>
            <w:vAlign w:val="center"/>
            <w:hideMark/>
          </w:tcPr>
          <w:p w14:paraId="6661AE09" w14:textId="2283DE95"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33</w:t>
            </w:r>
            <w:r w:rsidR="005D6A7F" w:rsidRPr="00421EB7">
              <w:rPr>
                <w:rFonts w:ascii="Times New Roman" w:hAnsi="Times New Roman" w:cs="Times New Roman"/>
              </w:rPr>
              <w:t xml:space="preserve"> </w:t>
            </w:r>
            <w:r w:rsidRPr="00421EB7">
              <w:rPr>
                <w:rFonts w:ascii="Times New Roman" w:hAnsi="Times New Roman" w:cs="Times New Roman"/>
              </w:rPr>
              <w:t>109</w:t>
            </w:r>
          </w:p>
        </w:tc>
        <w:tc>
          <w:tcPr>
            <w:tcW w:w="1408" w:type="dxa"/>
            <w:shd w:val="clear" w:color="auto" w:fill="auto"/>
            <w:vAlign w:val="center"/>
            <w:hideMark/>
          </w:tcPr>
          <w:p w14:paraId="4C5E7F83" w14:textId="37FEBEB0"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6984</w:t>
            </w:r>
          </w:p>
        </w:tc>
        <w:tc>
          <w:tcPr>
            <w:tcW w:w="1409" w:type="dxa"/>
            <w:vMerge/>
            <w:vAlign w:val="center"/>
            <w:hideMark/>
          </w:tcPr>
          <w:p w14:paraId="604EA22C" w14:textId="77777777" w:rsidR="0038061D" w:rsidRPr="00421EB7" w:rsidRDefault="0038061D" w:rsidP="00FF6D96">
            <w:pPr>
              <w:spacing w:line="360" w:lineRule="auto"/>
              <w:rPr>
                <w:rFonts w:ascii="Times New Roman" w:hAnsi="Times New Roman" w:cs="Times New Roman"/>
              </w:rPr>
            </w:pPr>
          </w:p>
        </w:tc>
      </w:tr>
      <w:tr w:rsidR="00FF3077" w:rsidRPr="00421EB7" w14:paraId="00FE63DE" w14:textId="77777777" w:rsidTr="00421EB7">
        <w:trPr>
          <w:trHeight w:val="300"/>
        </w:trPr>
        <w:tc>
          <w:tcPr>
            <w:tcW w:w="2122" w:type="dxa"/>
            <w:shd w:val="clear" w:color="auto" w:fill="auto"/>
            <w:vAlign w:val="center"/>
            <w:hideMark/>
          </w:tcPr>
          <w:p w14:paraId="6258D5C6"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Posgrado Yucatán</w:t>
            </w:r>
          </w:p>
        </w:tc>
        <w:tc>
          <w:tcPr>
            <w:tcW w:w="1691" w:type="dxa"/>
            <w:shd w:val="clear" w:color="auto" w:fill="auto"/>
            <w:vAlign w:val="center"/>
            <w:hideMark/>
          </w:tcPr>
          <w:p w14:paraId="050DEDE4" w14:textId="42E6477F"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4920</w:t>
            </w:r>
          </w:p>
        </w:tc>
        <w:tc>
          <w:tcPr>
            <w:tcW w:w="1408" w:type="dxa"/>
            <w:shd w:val="clear" w:color="auto" w:fill="auto"/>
            <w:vAlign w:val="center"/>
            <w:hideMark/>
          </w:tcPr>
          <w:p w14:paraId="026BF8F5" w14:textId="175199A6"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2258</w:t>
            </w:r>
          </w:p>
        </w:tc>
        <w:tc>
          <w:tcPr>
            <w:tcW w:w="1409" w:type="dxa"/>
            <w:shd w:val="clear" w:color="auto" w:fill="auto"/>
            <w:vAlign w:val="center"/>
            <w:hideMark/>
          </w:tcPr>
          <w:p w14:paraId="033A7A2B" w14:textId="308025DC"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2662</w:t>
            </w:r>
          </w:p>
        </w:tc>
        <w:tc>
          <w:tcPr>
            <w:tcW w:w="1408" w:type="dxa"/>
            <w:shd w:val="clear" w:color="auto" w:fill="auto"/>
            <w:vAlign w:val="center"/>
            <w:hideMark/>
          </w:tcPr>
          <w:p w14:paraId="756D68B6" w14:textId="3F39375F"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1461</w:t>
            </w:r>
          </w:p>
        </w:tc>
        <w:tc>
          <w:tcPr>
            <w:tcW w:w="1409" w:type="dxa"/>
            <w:vMerge/>
            <w:vAlign w:val="center"/>
            <w:hideMark/>
          </w:tcPr>
          <w:p w14:paraId="0156FB96" w14:textId="77777777" w:rsidR="0038061D" w:rsidRPr="00421EB7" w:rsidRDefault="0038061D" w:rsidP="00FF6D96">
            <w:pPr>
              <w:spacing w:line="360" w:lineRule="auto"/>
              <w:rPr>
                <w:rFonts w:ascii="Times New Roman" w:hAnsi="Times New Roman" w:cs="Times New Roman"/>
              </w:rPr>
            </w:pPr>
          </w:p>
        </w:tc>
      </w:tr>
      <w:tr w:rsidR="00FF3077" w:rsidRPr="00421EB7" w14:paraId="75FC6CCC" w14:textId="77777777" w:rsidTr="00421EB7">
        <w:trPr>
          <w:trHeight w:val="300"/>
        </w:trPr>
        <w:tc>
          <w:tcPr>
            <w:tcW w:w="2122" w:type="dxa"/>
            <w:shd w:val="clear" w:color="auto" w:fill="auto"/>
            <w:vAlign w:val="center"/>
          </w:tcPr>
          <w:p w14:paraId="053DF4AF" w14:textId="29D6E6A2"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 xml:space="preserve">Posgrado </w:t>
            </w:r>
            <w:r w:rsidR="005D6A7F" w:rsidRPr="00421EB7">
              <w:rPr>
                <w:rFonts w:ascii="Times New Roman" w:hAnsi="Times New Roman" w:cs="Times New Roman"/>
              </w:rPr>
              <w:t xml:space="preserve">en institución pública </w:t>
            </w:r>
            <w:r w:rsidRPr="00421EB7">
              <w:rPr>
                <w:rFonts w:ascii="Times New Roman" w:hAnsi="Times New Roman" w:cs="Times New Roman"/>
              </w:rPr>
              <w:t>Yucatán</w:t>
            </w:r>
          </w:p>
        </w:tc>
        <w:tc>
          <w:tcPr>
            <w:tcW w:w="1691" w:type="dxa"/>
            <w:shd w:val="clear" w:color="auto" w:fill="auto"/>
            <w:vAlign w:val="center"/>
          </w:tcPr>
          <w:p w14:paraId="34E0953F" w14:textId="110E182C"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2544</w:t>
            </w:r>
          </w:p>
        </w:tc>
        <w:tc>
          <w:tcPr>
            <w:tcW w:w="1408" w:type="dxa"/>
            <w:shd w:val="clear" w:color="auto" w:fill="auto"/>
            <w:vAlign w:val="center"/>
          </w:tcPr>
          <w:p w14:paraId="26CA6A27" w14:textId="64C20F99"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1299</w:t>
            </w:r>
          </w:p>
        </w:tc>
        <w:tc>
          <w:tcPr>
            <w:tcW w:w="1409" w:type="dxa"/>
            <w:shd w:val="clear" w:color="auto" w:fill="auto"/>
            <w:vAlign w:val="center"/>
          </w:tcPr>
          <w:p w14:paraId="3E5732F5" w14:textId="03DD4298"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1245</w:t>
            </w:r>
          </w:p>
        </w:tc>
        <w:tc>
          <w:tcPr>
            <w:tcW w:w="1408" w:type="dxa"/>
            <w:shd w:val="clear" w:color="auto" w:fill="auto"/>
            <w:vAlign w:val="center"/>
          </w:tcPr>
          <w:p w14:paraId="324AC436" w14:textId="40D5BE0C"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799</w:t>
            </w:r>
          </w:p>
        </w:tc>
        <w:tc>
          <w:tcPr>
            <w:tcW w:w="1409" w:type="dxa"/>
            <w:vMerge/>
            <w:vAlign w:val="center"/>
          </w:tcPr>
          <w:p w14:paraId="795611F9" w14:textId="77777777" w:rsidR="0038061D" w:rsidRPr="00421EB7" w:rsidRDefault="0038061D" w:rsidP="00FF6D96">
            <w:pPr>
              <w:spacing w:line="360" w:lineRule="auto"/>
              <w:rPr>
                <w:rFonts w:ascii="Times New Roman" w:hAnsi="Times New Roman" w:cs="Times New Roman"/>
              </w:rPr>
            </w:pPr>
          </w:p>
        </w:tc>
      </w:tr>
      <w:tr w:rsidR="00FF3077" w:rsidRPr="00421EB7" w14:paraId="14DFBE5F" w14:textId="77777777" w:rsidTr="00421EB7">
        <w:trPr>
          <w:trHeight w:val="300"/>
        </w:trPr>
        <w:tc>
          <w:tcPr>
            <w:tcW w:w="2122" w:type="dxa"/>
            <w:shd w:val="clear" w:color="auto" w:fill="auto"/>
            <w:noWrap/>
            <w:vAlign w:val="center"/>
            <w:hideMark/>
          </w:tcPr>
          <w:p w14:paraId="3A49DBDF"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Posgrado Mérida</w:t>
            </w:r>
          </w:p>
        </w:tc>
        <w:tc>
          <w:tcPr>
            <w:tcW w:w="1691" w:type="dxa"/>
            <w:shd w:val="clear" w:color="auto" w:fill="auto"/>
            <w:vAlign w:val="center"/>
            <w:hideMark/>
          </w:tcPr>
          <w:p w14:paraId="3E84BD08" w14:textId="5A5064CF"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4703</w:t>
            </w:r>
          </w:p>
        </w:tc>
        <w:tc>
          <w:tcPr>
            <w:tcW w:w="1408" w:type="dxa"/>
            <w:shd w:val="clear" w:color="auto" w:fill="auto"/>
            <w:vAlign w:val="center"/>
            <w:hideMark/>
          </w:tcPr>
          <w:p w14:paraId="0554C449" w14:textId="59383DC0"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2148</w:t>
            </w:r>
          </w:p>
        </w:tc>
        <w:tc>
          <w:tcPr>
            <w:tcW w:w="1409" w:type="dxa"/>
            <w:shd w:val="clear" w:color="auto" w:fill="auto"/>
            <w:vAlign w:val="center"/>
            <w:hideMark/>
          </w:tcPr>
          <w:p w14:paraId="1FFAD8F9" w14:textId="5DA5E5CF"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2555</w:t>
            </w:r>
          </w:p>
        </w:tc>
        <w:tc>
          <w:tcPr>
            <w:tcW w:w="1408" w:type="dxa"/>
            <w:shd w:val="clear" w:color="auto" w:fill="auto"/>
            <w:noWrap/>
            <w:vAlign w:val="center"/>
            <w:hideMark/>
          </w:tcPr>
          <w:p w14:paraId="756281A0" w14:textId="406E2817"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1412</w:t>
            </w:r>
          </w:p>
        </w:tc>
        <w:tc>
          <w:tcPr>
            <w:tcW w:w="1409" w:type="dxa"/>
            <w:vMerge/>
            <w:vAlign w:val="center"/>
            <w:hideMark/>
          </w:tcPr>
          <w:p w14:paraId="5F13C7AA" w14:textId="77777777" w:rsidR="0038061D" w:rsidRPr="00421EB7" w:rsidRDefault="0038061D" w:rsidP="00FF6D96">
            <w:pPr>
              <w:spacing w:line="360" w:lineRule="auto"/>
              <w:rPr>
                <w:rFonts w:ascii="Times New Roman" w:hAnsi="Times New Roman" w:cs="Times New Roman"/>
              </w:rPr>
            </w:pPr>
          </w:p>
        </w:tc>
      </w:tr>
      <w:tr w:rsidR="00FF3077" w:rsidRPr="00421EB7" w14:paraId="51A8397B" w14:textId="77777777" w:rsidTr="00421EB7">
        <w:trPr>
          <w:trHeight w:val="300"/>
        </w:trPr>
        <w:tc>
          <w:tcPr>
            <w:tcW w:w="2122" w:type="dxa"/>
            <w:shd w:val="clear" w:color="auto" w:fill="auto"/>
            <w:noWrap/>
            <w:vAlign w:val="center"/>
          </w:tcPr>
          <w:p w14:paraId="50B7CC63" w14:textId="531C6BC4"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 xml:space="preserve">Posgrado en </w:t>
            </w:r>
            <w:r w:rsidR="005D6A7F" w:rsidRPr="00421EB7">
              <w:rPr>
                <w:rFonts w:ascii="Times New Roman" w:hAnsi="Times New Roman" w:cs="Times New Roman"/>
              </w:rPr>
              <w:t xml:space="preserve">institución pública </w:t>
            </w:r>
            <w:r w:rsidRPr="00421EB7">
              <w:rPr>
                <w:rFonts w:ascii="Times New Roman" w:hAnsi="Times New Roman" w:cs="Times New Roman"/>
              </w:rPr>
              <w:t>Mérida</w:t>
            </w:r>
          </w:p>
        </w:tc>
        <w:tc>
          <w:tcPr>
            <w:tcW w:w="1691" w:type="dxa"/>
            <w:shd w:val="clear" w:color="auto" w:fill="auto"/>
            <w:vAlign w:val="center"/>
          </w:tcPr>
          <w:p w14:paraId="3628C596" w14:textId="5D04D7CA"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2391</w:t>
            </w:r>
          </w:p>
        </w:tc>
        <w:tc>
          <w:tcPr>
            <w:tcW w:w="1408" w:type="dxa"/>
            <w:shd w:val="clear" w:color="auto" w:fill="auto"/>
            <w:vAlign w:val="center"/>
          </w:tcPr>
          <w:p w14:paraId="5530DA3E" w14:textId="1DD74DA1"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1208</w:t>
            </w:r>
          </w:p>
        </w:tc>
        <w:tc>
          <w:tcPr>
            <w:tcW w:w="1409" w:type="dxa"/>
            <w:shd w:val="clear" w:color="auto" w:fill="auto"/>
            <w:vAlign w:val="center"/>
          </w:tcPr>
          <w:p w14:paraId="4E3152B1" w14:textId="67C9ECE2"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1183</w:t>
            </w:r>
          </w:p>
        </w:tc>
        <w:tc>
          <w:tcPr>
            <w:tcW w:w="1408" w:type="dxa"/>
            <w:shd w:val="clear" w:color="auto" w:fill="auto"/>
            <w:noWrap/>
            <w:vAlign w:val="center"/>
          </w:tcPr>
          <w:p w14:paraId="553E25CB" w14:textId="07760D4A"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764</w:t>
            </w:r>
          </w:p>
        </w:tc>
        <w:tc>
          <w:tcPr>
            <w:tcW w:w="1409" w:type="dxa"/>
            <w:vMerge/>
            <w:vAlign w:val="center"/>
          </w:tcPr>
          <w:p w14:paraId="4C3CC040" w14:textId="77777777" w:rsidR="0038061D" w:rsidRPr="00421EB7" w:rsidRDefault="0038061D" w:rsidP="00FF6D96">
            <w:pPr>
              <w:spacing w:line="360" w:lineRule="auto"/>
              <w:rPr>
                <w:rFonts w:ascii="Times New Roman" w:hAnsi="Times New Roman" w:cs="Times New Roman"/>
              </w:rPr>
            </w:pPr>
          </w:p>
        </w:tc>
      </w:tr>
      <w:tr w:rsidR="00FF3077" w:rsidRPr="00421EB7" w14:paraId="51E2FF0C" w14:textId="77777777" w:rsidTr="00421EB7">
        <w:trPr>
          <w:trHeight w:val="300"/>
        </w:trPr>
        <w:tc>
          <w:tcPr>
            <w:tcW w:w="2122" w:type="dxa"/>
            <w:shd w:val="clear" w:color="auto" w:fill="auto"/>
            <w:vAlign w:val="center"/>
          </w:tcPr>
          <w:p w14:paraId="7D14035B" w14:textId="167E18B4" w:rsidR="00DD7FB8" w:rsidRPr="00421EB7" w:rsidRDefault="00DD7FB8" w:rsidP="00FF6D96">
            <w:pPr>
              <w:spacing w:line="360" w:lineRule="auto"/>
              <w:rPr>
                <w:rFonts w:ascii="Times New Roman" w:hAnsi="Times New Roman" w:cs="Times New Roman"/>
              </w:rPr>
            </w:pPr>
            <w:r w:rsidRPr="00421EB7">
              <w:rPr>
                <w:rFonts w:ascii="Times New Roman" w:hAnsi="Times New Roman" w:cs="Times New Roman"/>
              </w:rPr>
              <w:t>México</w:t>
            </w:r>
          </w:p>
        </w:tc>
        <w:tc>
          <w:tcPr>
            <w:tcW w:w="1691" w:type="dxa"/>
            <w:shd w:val="clear" w:color="auto" w:fill="auto"/>
            <w:vAlign w:val="center"/>
          </w:tcPr>
          <w:p w14:paraId="03D1B4A5" w14:textId="100E0B3C"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4</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061</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644</w:t>
            </w:r>
          </w:p>
        </w:tc>
        <w:tc>
          <w:tcPr>
            <w:tcW w:w="1408" w:type="dxa"/>
            <w:shd w:val="clear" w:color="auto" w:fill="auto"/>
            <w:vAlign w:val="center"/>
          </w:tcPr>
          <w:p w14:paraId="1F0BD7B7" w14:textId="5792688B"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1</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999</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078</w:t>
            </w:r>
          </w:p>
        </w:tc>
        <w:tc>
          <w:tcPr>
            <w:tcW w:w="1409" w:type="dxa"/>
            <w:shd w:val="clear" w:color="auto" w:fill="auto"/>
            <w:vAlign w:val="center"/>
          </w:tcPr>
          <w:p w14:paraId="245F3CAE" w14:textId="65EB7E2A"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2</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062</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566</w:t>
            </w:r>
          </w:p>
        </w:tc>
        <w:tc>
          <w:tcPr>
            <w:tcW w:w="1408" w:type="dxa"/>
            <w:shd w:val="clear" w:color="auto" w:fill="auto"/>
            <w:vAlign w:val="center"/>
          </w:tcPr>
          <w:p w14:paraId="74A7B7B3" w14:textId="1653F7EA" w:rsidR="00DD7FB8" w:rsidRPr="00421EB7" w:rsidRDefault="00DD7FB8" w:rsidP="00FF6D96">
            <w:pPr>
              <w:spacing w:line="360" w:lineRule="auto"/>
              <w:jc w:val="center"/>
              <w:rPr>
                <w:rFonts w:ascii="Times New Roman" w:hAnsi="Times New Roman" w:cs="Times New Roman"/>
              </w:rPr>
            </w:pPr>
            <w:r w:rsidRPr="00421EB7">
              <w:rPr>
                <w:rFonts w:ascii="Times New Roman" w:hAnsi="Times New Roman" w:cs="Times New Roman"/>
                <w:shd w:val="clear" w:color="auto" w:fill="FFFFFF"/>
              </w:rPr>
              <w:t>394</w:t>
            </w:r>
            <w:r w:rsidR="005D6A7F" w:rsidRPr="00421EB7">
              <w:rPr>
                <w:rFonts w:ascii="Times New Roman" w:hAnsi="Times New Roman" w:cs="Times New Roman"/>
                <w:shd w:val="clear" w:color="auto" w:fill="FFFFFF"/>
              </w:rPr>
              <w:t> </w:t>
            </w:r>
            <w:r w:rsidRPr="00421EB7">
              <w:rPr>
                <w:rFonts w:ascii="Times New Roman" w:hAnsi="Times New Roman" w:cs="Times New Roman"/>
                <w:shd w:val="clear" w:color="auto" w:fill="FFFFFF"/>
              </w:rPr>
              <w:t>189</w:t>
            </w:r>
          </w:p>
        </w:tc>
        <w:tc>
          <w:tcPr>
            <w:tcW w:w="1409" w:type="dxa"/>
            <w:vMerge w:val="restart"/>
            <w:shd w:val="clear" w:color="auto" w:fill="auto"/>
            <w:noWrap/>
            <w:vAlign w:val="center"/>
          </w:tcPr>
          <w:p w14:paraId="613F3BB8" w14:textId="6400BD53" w:rsidR="00DD7FB8" w:rsidRPr="00421EB7" w:rsidRDefault="00DD7FB8" w:rsidP="00FF6D96">
            <w:pPr>
              <w:spacing w:line="360" w:lineRule="auto"/>
              <w:jc w:val="center"/>
              <w:rPr>
                <w:rFonts w:ascii="Times New Roman" w:hAnsi="Times New Roman" w:cs="Times New Roman"/>
              </w:rPr>
            </w:pPr>
            <w:r w:rsidRPr="00421EB7">
              <w:rPr>
                <w:rFonts w:ascii="Times New Roman" w:hAnsi="Times New Roman" w:cs="Times New Roman"/>
              </w:rPr>
              <w:t>2019-2020</w:t>
            </w:r>
          </w:p>
        </w:tc>
      </w:tr>
      <w:tr w:rsidR="00FF3077" w:rsidRPr="00421EB7" w14:paraId="619AC93A" w14:textId="77777777" w:rsidTr="00421EB7">
        <w:trPr>
          <w:trHeight w:val="300"/>
        </w:trPr>
        <w:tc>
          <w:tcPr>
            <w:tcW w:w="2122" w:type="dxa"/>
            <w:shd w:val="clear" w:color="auto" w:fill="auto"/>
            <w:vAlign w:val="center"/>
          </w:tcPr>
          <w:p w14:paraId="741DF2F2" w14:textId="5D8824C7" w:rsidR="00DD7FB8" w:rsidRPr="00421EB7" w:rsidRDefault="00DD7FB8" w:rsidP="00FF6D96">
            <w:pPr>
              <w:spacing w:line="360" w:lineRule="auto"/>
              <w:rPr>
                <w:rFonts w:ascii="Times New Roman" w:hAnsi="Times New Roman" w:cs="Times New Roman"/>
              </w:rPr>
            </w:pPr>
            <w:r w:rsidRPr="00421EB7">
              <w:rPr>
                <w:rFonts w:ascii="Times New Roman" w:hAnsi="Times New Roman" w:cs="Times New Roman"/>
              </w:rPr>
              <w:t>Posgrados</w:t>
            </w:r>
          </w:p>
        </w:tc>
        <w:tc>
          <w:tcPr>
            <w:tcW w:w="1691" w:type="dxa"/>
            <w:shd w:val="clear" w:color="auto" w:fill="auto"/>
            <w:vAlign w:val="center"/>
          </w:tcPr>
          <w:p w14:paraId="3BFE2BF2" w14:textId="2E5A79A4"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248</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018</w:t>
            </w:r>
          </w:p>
        </w:tc>
        <w:tc>
          <w:tcPr>
            <w:tcW w:w="1408" w:type="dxa"/>
            <w:shd w:val="clear" w:color="auto" w:fill="auto"/>
            <w:vAlign w:val="center"/>
          </w:tcPr>
          <w:p w14:paraId="20E8AA79" w14:textId="5FF953CE"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117</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494</w:t>
            </w:r>
          </w:p>
        </w:tc>
        <w:tc>
          <w:tcPr>
            <w:tcW w:w="1409" w:type="dxa"/>
            <w:shd w:val="clear" w:color="auto" w:fill="auto"/>
            <w:vAlign w:val="center"/>
          </w:tcPr>
          <w:p w14:paraId="18E0A958" w14:textId="7B10EDC2"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130</w:t>
            </w:r>
            <w:r w:rsidR="005D6A7F" w:rsidRPr="00421EB7">
              <w:rPr>
                <w:rStyle w:val="fontrow"/>
                <w:rFonts w:ascii="Times New Roman" w:hAnsi="Times New Roman" w:cs="Times New Roman"/>
              </w:rPr>
              <w:t xml:space="preserve"> </w:t>
            </w:r>
            <w:r w:rsidRPr="00421EB7">
              <w:rPr>
                <w:rStyle w:val="fontrow"/>
                <w:rFonts w:ascii="Times New Roman" w:hAnsi="Times New Roman" w:cs="Times New Roman"/>
              </w:rPr>
              <w:t>524</w:t>
            </w:r>
          </w:p>
        </w:tc>
        <w:tc>
          <w:tcPr>
            <w:tcW w:w="1408" w:type="dxa"/>
            <w:shd w:val="clear" w:color="auto" w:fill="auto"/>
            <w:vAlign w:val="center"/>
          </w:tcPr>
          <w:p w14:paraId="7DCD5015" w14:textId="537E2935"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56</w:t>
            </w:r>
            <w:r w:rsidR="005D6A7F" w:rsidRPr="00421EB7">
              <w:rPr>
                <w:rStyle w:val="fontrow"/>
                <w:rFonts w:ascii="Times New Roman" w:hAnsi="Times New Roman" w:cs="Times New Roman"/>
              </w:rPr>
              <w:t> </w:t>
            </w:r>
            <w:r w:rsidRPr="00421EB7">
              <w:rPr>
                <w:rStyle w:val="fontrow"/>
                <w:rFonts w:ascii="Times New Roman" w:hAnsi="Times New Roman" w:cs="Times New Roman"/>
              </w:rPr>
              <w:t>643</w:t>
            </w:r>
          </w:p>
        </w:tc>
        <w:tc>
          <w:tcPr>
            <w:tcW w:w="1409" w:type="dxa"/>
            <w:vMerge/>
            <w:shd w:val="clear" w:color="auto" w:fill="auto"/>
            <w:noWrap/>
            <w:vAlign w:val="center"/>
          </w:tcPr>
          <w:p w14:paraId="488641E5" w14:textId="5EB1BF32" w:rsidR="00DD7FB8" w:rsidRPr="00421EB7" w:rsidRDefault="00DD7FB8" w:rsidP="00FF6D96">
            <w:pPr>
              <w:spacing w:line="360" w:lineRule="auto"/>
              <w:jc w:val="center"/>
              <w:rPr>
                <w:rFonts w:ascii="Times New Roman" w:hAnsi="Times New Roman" w:cs="Times New Roman"/>
              </w:rPr>
            </w:pPr>
          </w:p>
        </w:tc>
      </w:tr>
      <w:tr w:rsidR="00FF3077" w:rsidRPr="00421EB7" w14:paraId="07443A09" w14:textId="77777777" w:rsidTr="00421EB7">
        <w:trPr>
          <w:trHeight w:val="300"/>
        </w:trPr>
        <w:tc>
          <w:tcPr>
            <w:tcW w:w="2122" w:type="dxa"/>
            <w:shd w:val="clear" w:color="auto" w:fill="auto"/>
            <w:vAlign w:val="center"/>
          </w:tcPr>
          <w:p w14:paraId="772F9DBC" w14:textId="29FFA84D" w:rsidR="00DD7FB8" w:rsidRPr="00421EB7" w:rsidRDefault="00DD7FB8" w:rsidP="00FF6D96">
            <w:pPr>
              <w:spacing w:line="360" w:lineRule="auto"/>
              <w:rPr>
                <w:rFonts w:ascii="Times New Roman" w:hAnsi="Times New Roman" w:cs="Times New Roman"/>
              </w:rPr>
            </w:pPr>
            <w:r w:rsidRPr="00421EB7">
              <w:rPr>
                <w:rFonts w:ascii="Times New Roman" w:hAnsi="Times New Roman" w:cs="Times New Roman"/>
              </w:rPr>
              <w:t xml:space="preserve">Posgrado en </w:t>
            </w:r>
            <w:r w:rsidR="005D6A7F" w:rsidRPr="00421EB7">
              <w:rPr>
                <w:rFonts w:ascii="Times New Roman" w:hAnsi="Times New Roman" w:cs="Times New Roman"/>
              </w:rPr>
              <w:t>i</w:t>
            </w:r>
            <w:r w:rsidRPr="00421EB7">
              <w:rPr>
                <w:rFonts w:ascii="Times New Roman" w:hAnsi="Times New Roman" w:cs="Times New Roman"/>
              </w:rPr>
              <w:t>nstitución pública</w:t>
            </w:r>
          </w:p>
        </w:tc>
        <w:tc>
          <w:tcPr>
            <w:tcW w:w="1691" w:type="dxa"/>
            <w:shd w:val="clear" w:color="auto" w:fill="auto"/>
            <w:vAlign w:val="center"/>
          </w:tcPr>
          <w:p w14:paraId="78C32C21" w14:textId="4FE867D7"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121</w:t>
            </w:r>
            <w:r w:rsidR="005E5593" w:rsidRPr="00421EB7">
              <w:rPr>
                <w:rStyle w:val="fontrow"/>
                <w:rFonts w:ascii="Times New Roman" w:hAnsi="Times New Roman" w:cs="Times New Roman"/>
              </w:rPr>
              <w:t xml:space="preserve"> </w:t>
            </w:r>
            <w:r w:rsidRPr="00421EB7">
              <w:rPr>
                <w:rStyle w:val="fontrow"/>
                <w:rFonts w:ascii="Times New Roman" w:hAnsi="Times New Roman" w:cs="Times New Roman"/>
              </w:rPr>
              <w:t>475</w:t>
            </w:r>
          </w:p>
        </w:tc>
        <w:tc>
          <w:tcPr>
            <w:tcW w:w="1408" w:type="dxa"/>
            <w:shd w:val="clear" w:color="auto" w:fill="auto"/>
            <w:vAlign w:val="center"/>
          </w:tcPr>
          <w:p w14:paraId="7280F17C" w14:textId="21E48317"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61</w:t>
            </w:r>
            <w:r w:rsidR="005E5593" w:rsidRPr="00421EB7">
              <w:rPr>
                <w:rStyle w:val="fontrow"/>
                <w:rFonts w:ascii="Times New Roman" w:hAnsi="Times New Roman" w:cs="Times New Roman"/>
              </w:rPr>
              <w:t xml:space="preserve"> </w:t>
            </w:r>
            <w:r w:rsidRPr="00421EB7">
              <w:rPr>
                <w:rStyle w:val="fontrow"/>
                <w:rFonts w:ascii="Times New Roman" w:hAnsi="Times New Roman" w:cs="Times New Roman"/>
              </w:rPr>
              <w:t>042</w:t>
            </w:r>
          </w:p>
        </w:tc>
        <w:tc>
          <w:tcPr>
            <w:tcW w:w="1409" w:type="dxa"/>
            <w:shd w:val="clear" w:color="auto" w:fill="auto"/>
            <w:vAlign w:val="center"/>
          </w:tcPr>
          <w:p w14:paraId="57BD19DB" w14:textId="5685D6FB" w:rsidR="00DD7FB8" w:rsidRPr="00421EB7" w:rsidRDefault="00DD7FB8" w:rsidP="00FF6D96">
            <w:pPr>
              <w:spacing w:line="360" w:lineRule="auto"/>
              <w:jc w:val="center"/>
              <w:rPr>
                <w:rFonts w:ascii="Times New Roman" w:hAnsi="Times New Roman" w:cs="Times New Roman"/>
              </w:rPr>
            </w:pPr>
            <w:r w:rsidRPr="00421EB7">
              <w:rPr>
                <w:rStyle w:val="fontrow"/>
                <w:rFonts w:ascii="Times New Roman" w:hAnsi="Times New Roman" w:cs="Times New Roman"/>
              </w:rPr>
              <w:t>60</w:t>
            </w:r>
            <w:r w:rsidR="005E5593" w:rsidRPr="00421EB7">
              <w:rPr>
                <w:rStyle w:val="fontrow"/>
                <w:rFonts w:ascii="Times New Roman" w:hAnsi="Times New Roman" w:cs="Times New Roman"/>
              </w:rPr>
              <w:t xml:space="preserve"> </w:t>
            </w:r>
            <w:r w:rsidRPr="00421EB7">
              <w:rPr>
                <w:rStyle w:val="fontrow"/>
                <w:rFonts w:ascii="Times New Roman" w:hAnsi="Times New Roman" w:cs="Times New Roman"/>
              </w:rPr>
              <w:t>433</w:t>
            </w:r>
          </w:p>
        </w:tc>
        <w:tc>
          <w:tcPr>
            <w:tcW w:w="1408" w:type="dxa"/>
            <w:shd w:val="clear" w:color="auto" w:fill="auto"/>
            <w:vAlign w:val="center"/>
          </w:tcPr>
          <w:p w14:paraId="0C95D17C" w14:textId="67953BEA" w:rsidR="00DD7FB8" w:rsidRPr="00421EB7" w:rsidRDefault="00DD7FB8" w:rsidP="00FF6D96">
            <w:pPr>
              <w:spacing w:line="360" w:lineRule="auto"/>
              <w:jc w:val="center"/>
              <w:rPr>
                <w:rFonts w:ascii="Times New Roman" w:hAnsi="Times New Roman" w:cs="Times New Roman"/>
              </w:rPr>
            </w:pPr>
            <w:r w:rsidRPr="00421EB7">
              <w:rPr>
                <w:rFonts w:ascii="Times New Roman" w:hAnsi="Times New Roman" w:cs="Times New Roman"/>
                <w:shd w:val="clear" w:color="auto" w:fill="FFFFFF"/>
              </w:rPr>
              <w:t>30</w:t>
            </w:r>
            <w:r w:rsidR="005E5593" w:rsidRPr="00421EB7">
              <w:rPr>
                <w:rFonts w:ascii="Times New Roman" w:hAnsi="Times New Roman" w:cs="Times New Roman"/>
                <w:shd w:val="clear" w:color="auto" w:fill="FFFFFF"/>
              </w:rPr>
              <w:t xml:space="preserve"> </w:t>
            </w:r>
            <w:r w:rsidRPr="00421EB7">
              <w:rPr>
                <w:rFonts w:ascii="Times New Roman" w:hAnsi="Times New Roman" w:cs="Times New Roman"/>
                <w:shd w:val="clear" w:color="auto" w:fill="FFFFFF"/>
              </w:rPr>
              <w:t>810</w:t>
            </w:r>
          </w:p>
        </w:tc>
        <w:tc>
          <w:tcPr>
            <w:tcW w:w="1409" w:type="dxa"/>
            <w:vMerge/>
            <w:shd w:val="clear" w:color="auto" w:fill="auto"/>
            <w:noWrap/>
            <w:vAlign w:val="center"/>
          </w:tcPr>
          <w:p w14:paraId="6A923D3D" w14:textId="5D651D8F" w:rsidR="00DD7FB8" w:rsidRPr="00421EB7" w:rsidRDefault="00DD7FB8" w:rsidP="00FF6D96">
            <w:pPr>
              <w:spacing w:line="360" w:lineRule="auto"/>
              <w:jc w:val="center"/>
              <w:rPr>
                <w:rFonts w:ascii="Times New Roman" w:hAnsi="Times New Roman" w:cs="Times New Roman"/>
              </w:rPr>
            </w:pPr>
          </w:p>
        </w:tc>
      </w:tr>
      <w:tr w:rsidR="00FF3077" w:rsidRPr="00421EB7" w14:paraId="31AFCE6E" w14:textId="77777777" w:rsidTr="00421EB7">
        <w:trPr>
          <w:trHeight w:val="300"/>
        </w:trPr>
        <w:tc>
          <w:tcPr>
            <w:tcW w:w="2122" w:type="dxa"/>
            <w:shd w:val="clear" w:color="auto" w:fill="auto"/>
            <w:vAlign w:val="center"/>
            <w:hideMark/>
          </w:tcPr>
          <w:p w14:paraId="6696EE6B"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Yucatán</w:t>
            </w:r>
          </w:p>
        </w:tc>
        <w:tc>
          <w:tcPr>
            <w:tcW w:w="1691" w:type="dxa"/>
            <w:shd w:val="clear" w:color="auto" w:fill="auto"/>
            <w:vAlign w:val="center"/>
            <w:hideMark/>
          </w:tcPr>
          <w:p w14:paraId="474569A5" w14:textId="63286CF4"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74</w:t>
            </w:r>
            <w:r w:rsidR="005E5593" w:rsidRPr="00421EB7">
              <w:rPr>
                <w:rFonts w:ascii="Times New Roman" w:hAnsi="Times New Roman" w:cs="Times New Roman"/>
              </w:rPr>
              <w:t xml:space="preserve"> </w:t>
            </w:r>
            <w:r w:rsidRPr="00421EB7">
              <w:rPr>
                <w:rFonts w:ascii="Times New Roman" w:hAnsi="Times New Roman" w:cs="Times New Roman"/>
              </w:rPr>
              <w:t>763</w:t>
            </w:r>
          </w:p>
        </w:tc>
        <w:tc>
          <w:tcPr>
            <w:tcW w:w="1408" w:type="dxa"/>
            <w:shd w:val="clear" w:color="auto" w:fill="auto"/>
            <w:vAlign w:val="center"/>
            <w:hideMark/>
          </w:tcPr>
          <w:p w14:paraId="4CF2B290" w14:textId="20E8AA87"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39</w:t>
            </w:r>
            <w:r w:rsidR="005E5593" w:rsidRPr="00421EB7">
              <w:rPr>
                <w:rFonts w:ascii="Times New Roman" w:hAnsi="Times New Roman" w:cs="Times New Roman"/>
              </w:rPr>
              <w:t xml:space="preserve"> </w:t>
            </w:r>
            <w:r w:rsidRPr="00421EB7">
              <w:rPr>
                <w:rFonts w:ascii="Times New Roman" w:hAnsi="Times New Roman" w:cs="Times New Roman"/>
              </w:rPr>
              <w:t>190</w:t>
            </w:r>
          </w:p>
        </w:tc>
        <w:tc>
          <w:tcPr>
            <w:tcW w:w="1409" w:type="dxa"/>
            <w:shd w:val="clear" w:color="auto" w:fill="auto"/>
            <w:vAlign w:val="center"/>
            <w:hideMark/>
          </w:tcPr>
          <w:p w14:paraId="15B90D11" w14:textId="18E2C760"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40</w:t>
            </w:r>
            <w:r w:rsidR="005E5593" w:rsidRPr="00421EB7">
              <w:rPr>
                <w:rFonts w:ascii="Times New Roman" w:hAnsi="Times New Roman" w:cs="Times New Roman"/>
              </w:rPr>
              <w:t xml:space="preserve"> </w:t>
            </w:r>
            <w:r w:rsidRPr="00421EB7">
              <w:rPr>
                <w:rFonts w:ascii="Times New Roman" w:hAnsi="Times New Roman" w:cs="Times New Roman"/>
              </w:rPr>
              <w:t>737</w:t>
            </w:r>
          </w:p>
        </w:tc>
        <w:tc>
          <w:tcPr>
            <w:tcW w:w="1408" w:type="dxa"/>
            <w:shd w:val="clear" w:color="auto" w:fill="auto"/>
            <w:vAlign w:val="center"/>
            <w:hideMark/>
          </w:tcPr>
          <w:p w14:paraId="7736F4FA" w14:textId="4F07688B"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7735</w:t>
            </w:r>
          </w:p>
        </w:tc>
        <w:tc>
          <w:tcPr>
            <w:tcW w:w="1409" w:type="dxa"/>
            <w:vMerge/>
            <w:shd w:val="clear" w:color="auto" w:fill="auto"/>
            <w:noWrap/>
            <w:vAlign w:val="center"/>
            <w:hideMark/>
          </w:tcPr>
          <w:p w14:paraId="126116AE" w14:textId="5137AAF1" w:rsidR="0038061D" w:rsidRPr="00421EB7" w:rsidRDefault="0038061D" w:rsidP="00FF6D96">
            <w:pPr>
              <w:spacing w:line="360" w:lineRule="auto"/>
              <w:jc w:val="center"/>
              <w:rPr>
                <w:rFonts w:ascii="Times New Roman" w:hAnsi="Times New Roman" w:cs="Times New Roman"/>
              </w:rPr>
            </w:pPr>
          </w:p>
        </w:tc>
      </w:tr>
      <w:tr w:rsidR="00FF3077" w:rsidRPr="00421EB7" w14:paraId="51036FD9" w14:textId="77777777" w:rsidTr="00421EB7">
        <w:trPr>
          <w:trHeight w:val="300"/>
        </w:trPr>
        <w:tc>
          <w:tcPr>
            <w:tcW w:w="2122" w:type="dxa"/>
            <w:shd w:val="clear" w:color="auto" w:fill="auto"/>
            <w:vAlign w:val="center"/>
            <w:hideMark/>
          </w:tcPr>
          <w:p w14:paraId="408F14CC"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Mérida</w:t>
            </w:r>
          </w:p>
        </w:tc>
        <w:tc>
          <w:tcPr>
            <w:tcW w:w="1691" w:type="dxa"/>
            <w:shd w:val="clear" w:color="auto" w:fill="auto"/>
            <w:vAlign w:val="center"/>
            <w:hideMark/>
          </w:tcPr>
          <w:p w14:paraId="4C1DB0D9" w14:textId="6A427EF3"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58</w:t>
            </w:r>
            <w:r w:rsidR="005E5593" w:rsidRPr="00421EB7">
              <w:rPr>
                <w:rFonts w:ascii="Times New Roman" w:hAnsi="Times New Roman" w:cs="Times New Roman"/>
              </w:rPr>
              <w:t xml:space="preserve"> </w:t>
            </w:r>
            <w:r w:rsidRPr="00421EB7">
              <w:rPr>
                <w:rFonts w:ascii="Times New Roman" w:hAnsi="Times New Roman" w:cs="Times New Roman"/>
              </w:rPr>
              <w:t>926</w:t>
            </w:r>
          </w:p>
        </w:tc>
        <w:tc>
          <w:tcPr>
            <w:tcW w:w="1408" w:type="dxa"/>
            <w:shd w:val="clear" w:color="auto" w:fill="auto"/>
            <w:vAlign w:val="center"/>
            <w:hideMark/>
          </w:tcPr>
          <w:p w14:paraId="2A164D66" w14:textId="140D240B"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30</w:t>
            </w:r>
            <w:r w:rsidR="005E5593" w:rsidRPr="00421EB7">
              <w:rPr>
                <w:rFonts w:ascii="Times New Roman" w:hAnsi="Times New Roman" w:cs="Times New Roman"/>
              </w:rPr>
              <w:t xml:space="preserve"> </w:t>
            </w:r>
            <w:r w:rsidRPr="00421EB7">
              <w:rPr>
                <w:rFonts w:ascii="Times New Roman" w:hAnsi="Times New Roman" w:cs="Times New Roman"/>
              </w:rPr>
              <w:t>296</w:t>
            </w:r>
          </w:p>
        </w:tc>
        <w:tc>
          <w:tcPr>
            <w:tcW w:w="1409" w:type="dxa"/>
            <w:shd w:val="clear" w:color="auto" w:fill="auto"/>
            <w:vAlign w:val="center"/>
            <w:hideMark/>
          </w:tcPr>
          <w:p w14:paraId="34A4105B" w14:textId="572C85D3"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33</w:t>
            </w:r>
            <w:r w:rsidR="005E5593" w:rsidRPr="00421EB7">
              <w:rPr>
                <w:rFonts w:ascii="Times New Roman" w:hAnsi="Times New Roman" w:cs="Times New Roman"/>
              </w:rPr>
              <w:t xml:space="preserve"> </w:t>
            </w:r>
            <w:r w:rsidRPr="00421EB7">
              <w:rPr>
                <w:rFonts w:ascii="Times New Roman" w:hAnsi="Times New Roman" w:cs="Times New Roman"/>
              </w:rPr>
              <w:t>532</w:t>
            </w:r>
          </w:p>
        </w:tc>
        <w:tc>
          <w:tcPr>
            <w:tcW w:w="1408" w:type="dxa"/>
            <w:shd w:val="clear" w:color="auto" w:fill="auto"/>
            <w:vAlign w:val="center"/>
            <w:hideMark/>
          </w:tcPr>
          <w:p w14:paraId="151445C8" w14:textId="6216C299"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6484</w:t>
            </w:r>
          </w:p>
        </w:tc>
        <w:tc>
          <w:tcPr>
            <w:tcW w:w="1409" w:type="dxa"/>
            <w:vMerge/>
            <w:vAlign w:val="center"/>
            <w:hideMark/>
          </w:tcPr>
          <w:p w14:paraId="45C5D183" w14:textId="77777777" w:rsidR="0038061D" w:rsidRPr="00421EB7" w:rsidRDefault="0038061D" w:rsidP="00FF6D96">
            <w:pPr>
              <w:spacing w:line="360" w:lineRule="auto"/>
              <w:rPr>
                <w:rFonts w:ascii="Times New Roman" w:hAnsi="Times New Roman" w:cs="Times New Roman"/>
                <w:color w:val="000000"/>
              </w:rPr>
            </w:pPr>
          </w:p>
        </w:tc>
      </w:tr>
      <w:tr w:rsidR="00FF3077" w:rsidRPr="00421EB7" w14:paraId="68818FD0" w14:textId="77777777" w:rsidTr="00421EB7">
        <w:trPr>
          <w:trHeight w:val="300"/>
        </w:trPr>
        <w:tc>
          <w:tcPr>
            <w:tcW w:w="2122" w:type="dxa"/>
            <w:shd w:val="clear" w:color="auto" w:fill="auto"/>
            <w:vAlign w:val="center"/>
            <w:hideMark/>
          </w:tcPr>
          <w:p w14:paraId="0BE6A8D5"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Posgrado Yucatán</w:t>
            </w:r>
          </w:p>
        </w:tc>
        <w:tc>
          <w:tcPr>
            <w:tcW w:w="1691" w:type="dxa"/>
            <w:shd w:val="clear" w:color="auto" w:fill="auto"/>
            <w:vAlign w:val="center"/>
            <w:hideMark/>
          </w:tcPr>
          <w:p w14:paraId="2AE7B46B" w14:textId="1E344458"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5164</w:t>
            </w:r>
          </w:p>
        </w:tc>
        <w:tc>
          <w:tcPr>
            <w:tcW w:w="1408" w:type="dxa"/>
            <w:shd w:val="clear" w:color="auto" w:fill="auto"/>
            <w:vAlign w:val="center"/>
            <w:hideMark/>
          </w:tcPr>
          <w:p w14:paraId="160139D3" w14:textId="562EB8DD"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2420</w:t>
            </w:r>
          </w:p>
        </w:tc>
        <w:tc>
          <w:tcPr>
            <w:tcW w:w="1409" w:type="dxa"/>
            <w:shd w:val="clear" w:color="auto" w:fill="auto"/>
            <w:vAlign w:val="center"/>
            <w:hideMark/>
          </w:tcPr>
          <w:p w14:paraId="48141C08" w14:textId="5976C868"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2744</w:t>
            </w:r>
          </w:p>
        </w:tc>
        <w:tc>
          <w:tcPr>
            <w:tcW w:w="1408" w:type="dxa"/>
            <w:shd w:val="clear" w:color="auto" w:fill="auto"/>
            <w:vAlign w:val="center"/>
            <w:hideMark/>
          </w:tcPr>
          <w:p w14:paraId="46844A94" w14:textId="3CF31A9E"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1214</w:t>
            </w:r>
          </w:p>
        </w:tc>
        <w:tc>
          <w:tcPr>
            <w:tcW w:w="1409" w:type="dxa"/>
            <w:vMerge/>
            <w:vAlign w:val="center"/>
            <w:hideMark/>
          </w:tcPr>
          <w:p w14:paraId="5C2DEA47" w14:textId="77777777" w:rsidR="0038061D" w:rsidRPr="00421EB7" w:rsidRDefault="0038061D" w:rsidP="00FF6D96">
            <w:pPr>
              <w:spacing w:line="360" w:lineRule="auto"/>
              <w:rPr>
                <w:rFonts w:ascii="Times New Roman" w:hAnsi="Times New Roman" w:cs="Times New Roman"/>
                <w:color w:val="000000"/>
              </w:rPr>
            </w:pPr>
          </w:p>
        </w:tc>
      </w:tr>
      <w:tr w:rsidR="00FF3077" w:rsidRPr="00421EB7" w14:paraId="21B0A1FF" w14:textId="77777777" w:rsidTr="00421EB7">
        <w:trPr>
          <w:trHeight w:val="300"/>
        </w:trPr>
        <w:tc>
          <w:tcPr>
            <w:tcW w:w="2122" w:type="dxa"/>
            <w:shd w:val="clear" w:color="auto" w:fill="auto"/>
            <w:vAlign w:val="center"/>
          </w:tcPr>
          <w:p w14:paraId="0DF66CA9" w14:textId="1EC40758"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 xml:space="preserve">Posgrado </w:t>
            </w:r>
            <w:r w:rsidR="005E5593" w:rsidRPr="00421EB7">
              <w:rPr>
                <w:rFonts w:ascii="Times New Roman" w:hAnsi="Times New Roman" w:cs="Times New Roman"/>
              </w:rPr>
              <w:t>i</w:t>
            </w:r>
            <w:r w:rsidRPr="00421EB7">
              <w:rPr>
                <w:rFonts w:ascii="Times New Roman" w:hAnsi="Times New Roman" w:cs="Times New Roman"/>
              </w:rPr>
              <w:t xml:space="preserve">nstitución </w:t>
            </w:r>
            <w:r w:rsidR="005E5593" w:rsidRPr="00421EB7">
              <w:rPr>
                <w:rFonts w:ascii="Times New Roman" w:hAnsi="Times New Roman" w:cs="Times New Roman"/>
              </w:rPr>
              <w:t>p</w:t>
            </w:r>
            <w:r w:rsidRPr="00421EB7">
              <w:rPr>
                <w:rFonts w:ascii="Times New Roman" w:hAnsi="Times New Roman" w:cs="Times New Roman"/>
              </w:rPr>
              <w:t>ública Yucatán</w:t>
            </w:r>
          </w:p>
        </w:tc>
        <w:tc>
          <w:tcPr>
            <w:tcW w:w="1691" w:type="dxa"/>
            <w:shd w:val="clear" w:color="auto" w:fill="auto"/>
            <w:vAlign w:val="center"/>
          </w:tcPr>
          <w:p w14:paraId="41B335AF" w14:textId="615A71D1"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2534</w:t>
            </w:r>
          </w:p>
        </w:tc>
        <w:tc>
          <w:tcPr>
            <w:tcW w:w="1408" w:type="dxa"/>
            <w:shd w:val="clear" w:color="auto" w:fill="auto"/>
            <w:vAlign w:val="center"/>
          </w:tcPr>
          <w:p w14:paraId="131F4D73" w14:textId="65CD3744"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1323</w:t>
            </w:r>
          </w:p>
        </w:tc>
        <w:tc>
          <w:tcPr>
            <w:tcW w:w="1409" w:type="dxa"/>
            <w:shd w:val="clear" w:color="auto" w:fill="auto"/>
            <w:vAlign w:val="center"/>
          </w:tcPr>
          <w:p w14:paraId="32EAE435" w14:textId="0CCE0B77"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1211</w:t>
            </w:r>
          </w:p>
        </w:tc>
        <w:tc>
          <w:tcPr>
            <w:tcW w:w="1408" w:type="dxa"/>
            <w:shd w:val="clear" w:color="auto" w:fill="auto"/>
            <w:vAlign w:val="center"/>
          </w:tcPr>
          <w:p w14:paraId="78419E44" w14:textId="1A4A19FE"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711</w:t>
            </w:r>
          </w:p>
        </w:tc>
        <w:tc>
          <w:tcPr>
            <w:tcW w:w="1409" w:type="dxa"/>
            <w:vMerge/>
            <w:vAlign w:val="center"/>
          </w:tcPr>
          <w:p w14:paraId="08618ED1" w14:textId="77777777" w:rsidR="0038061D" w:rsidRPr="00421EB7" w:rsidRDefault="0038061D" w:rsidP="00FF6D96">
            <w:pPr>
              <w:spacing w:line="360" w:lineRule="auto"/>
              <w:rPr>
                <w:rFonts w:ascii="Times New Roman" w:hAnsi="Times New Roman" w:cs="Times New Roman"/>
                <w:color w:val="000000"/>
              </w:rPr>
            </w:pPr>
          </w:p>
        </w:tc>
      </w:tr>
      <w:tr w:rsidR="00FF3077" w:rsidRPr="00421EB7" w14:paraId="7B2C8B15" w14:textId="77777777" w:rsidTr="00421EB7">
        <w:trPr>
          <w:trHeight w:val="315"/>
        </w:trPr>
        <w:tc>
          <w:tcPr>
            <w:tcW w:w="2122" w:type="dxa"/>
            <w:shd w:val="clear" w:color="auto" w:fill="auto"/>
            <w:noWrap/>
            <w:vAlign w:val="center"/>
            <w:hideMark/>
          </w:tcPr>
          <w:p w14:paraId="4D771F97" w14:textId="77777777"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Posgrado Mérida</w:t>
            </w:r>
          </w:p>
        </w:tc>
        <w:tc>
          <w:tcPr>
            <w:tcW w:w="1691" w:type="dxa"/>
            <w:shd w:val="clear" w:color="auto" w:fill="auto"/>
            <w:vAlign w:val="center"/>
            <w:hideMark/>
          </w:tcPr>
          <w:p w14:paraId="6E03B573" w14:textId="579A8CF3"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4902</w:t>
            </w:r>
          </w:p>
        </w:tc>
        <w:tc>
          <w:tcPr>
            <w:tcW w:w="1408" w:type="dxa"/>
            <w:shd w:val="clear" w:color="auto" w:fill="auto"/>
            <w:vAlign w:val="center"/>
            <w:hideMark/>
          </w:tcPr>
          <w:p w14:paraId="1F54F590" w14:textId="5F1E335F"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2303</w:t>
            </w:r>
          </w:p>
        </w:tc>
        <w:tc>
          <w:tcPr>
            <w:tcW w:w="1409" w:type="dxa"/>
            <w:shd w:val="clear" w:color="auto" w:fill="auto"/>
            <w:vAlign w:val="center"/>
            <w:hideMark/>
          </w:tcPr>
          <w:p w14:paraId="195D67A9" w14:textId="24A5AF56"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2599</w:t>
            </w:r>
          </w:p>
        </w:tc>
        <w:tc>
          <w:tcPr>
            <w:tcW w:w="1408" w:type="dxa"/>
            <w:shd w:val="clear" w:color="auto" w:fill="auto"/>
            <w:noWrap/>
            <w:vAlign w:val="center"/>
            <w:hideMark/>
          </w:tcPr>
          <w:p w14:paraId="2F5E89C6" w14:textId="03443855"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1158</w:t>
            </w:r>
          </w:p>
        </w:tc>
        <w:tc>
          <w:tcPr>
            <w:tcW w:w="1409" w:type="dxa"/>
            <w:vMerge/>
            <w:vAlign w:val="center"/>
            <w:hideMark/>
          </w:tcPr>
          <w:p w14:paraId="58D8406D" w14:textId="77777777" w:rsidR="0038061D" w:rsidRPr="00421EB7" w:rsidRDefault="0038061D" w:rsidP="00FF6D96">
            <w:pPr>
              <w:spacing w:line="360" w:lineRule="auto"/>
              <w:rPr>
                <w:rFonts w:ascii="Times New Roman" w:hAnsi="Times New Roman" w:cs="Times New Roman"/>
                <w:color w:val="000000"/>
              </w:rPr>
            </w:pPr>
          </w:p>
        </w:tc>
      </w:tr>
      <w:tr w:rsidR="00FF3077" w:rsidRPr="00421EB7" w14:paraId="18FB9875" w14:textId="77777777" w:rsidTr="00421EB7">
        <w:trPr>
          <w:trHeight w:val="315"/>
        </w:trPr>
        <w:tc>
          <w:tcPr>
            <w:tcW w:w="2122" w:type="dxa"/>
            <w:shd w:val="clear" w:color="auto" w:fill="auto"/>
            <w:noWrap/>
            <w:vAlign w:val="center"/>
          </w:tcPr>
          <w:p w14:paraId="1D452717" w14:textId="6B31D04B" w:rsidR="0038061D" w:rsidRPr="00421EB7" w:rsidRDefault="0038061D" w:rsidP="00FF6D96">
            <w:pPr>
              <w:spacing w:line="360" w:lineRule="auto"/>
              <w:rPr>
                <w:rFonts w:ascii="Times New Roman" w:hAnsi="Times New Roman" w:cs="Times New Roman"/>
              </w:rPr>
            </w:pPr>
            <w:r w:rsidRPr="00421EB7">
              <w:rPr>
                <w:rFonts w:ascii="Times New Roman" w:hAnsi="Times New Roman" w:cs="Times New Roman"/>
              </w:rPr>
              <w:t xml:space="preserve">Posgrado </w:t>
            </w:r>
            <w:r w:rsidR="005E5593" w:rsidRPr="00421EB7">
              <w:rPr>
                <w:rFonts w:ascii="Times New Roman" w:hAnsi="Times New Roman" w:cs="Times New Roman"/>
              </w:rPr>
              <w:t>i</w:t>
            </w:r>
            <w:r w:rsidRPr="00421EB7">
              <w:rPr>
                <w:rFonts w:ascii="Times New Roman" w:hAnsi="Times New Roman" w:cs="Times New Roman"/>
              </w:rPr>
              <w:t>nstitución pública Mérida</w:t>
            </w:r>
          </w:p>
        </w:tc>
        <w:tc>
          <w:tcPr>
            <w:tcW w:w="1691" w:type="dxa"/>
            <w:shd w:val="clear" w:color="auto" w:fill="auto"/>
            <w:vAlign w:val="center"/>
          </w:tcPr>
          <w:p w14:paraId="00F9666A" w14:textId="7110CF06"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2364</w:t>
            </w:r>
          </w:p>
        </w:tc>
        <w:tc>
          <w:tcPr>
            <w:tcW w:w="1408" w:type="dxa"/>
            <w:shd w:val="clear" w:color="auto" w:fill="auto"/>
            <w:vAlign w:val="center"/>
          </w:tcPr>
          <w:p w14:paraId="7ADAA7CD" w14:textId="2CE2FAD0"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1232</w:t>
            </w:r>
          </w:p>
        </w:tc>
        <w:tc>
          <w:tcPr>
            <w:tcW w:w="1409" w:type="dxa"/>
            <w:shd w:val="clear" w:color="auto" w:fill="auto"/>
            <w:vAlign w:val="center"/>
          </w:tcPr>
          <w:p w14:paraId="316465A0" w14:textId="1ABCCB1E"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1132</w:t>
            </w:r>
          </w:p>
        </w:tc>
        <w:tc>
          <w:tcPr>
            <w:tcW w:w="1408" w:type="dxa"/>
            <w:shd w:val="clear" w:color="auto" w:fill="auto"/>
            <w:noWrap/>
            <w:vAlign w:val="center"/>
          </w:tcPr>
          <w:p w14:paraId="739B7DC5" w14:textId="105DA973" w:rsidR="0038061D" w:rsidRPr="00421EB7" w:rsidRDefault="0038061D" w:rsidP="00FF6D96">
            <w:pPr>
              <w:spacing w:line="360" w:lineRule="auto"/>
              <w:jc w:val="center"/>
              <w:rPr>
                <w:rFonts w:ascii="Times New Roman" w:hAnsi="Times New Roman" w:cs="Times New Roman"/>
              </w:rPr>
            </w:pPr>
            <w:r w:rsidRPr="00421EB7">
              <w:rPr>
                <w:rFonts w:ascii="Times New Roman" w:hAnsi="Times New Roman" w:cs="Times New Roman"/>
              </w:rPr>
              <w:t>670</w:t>
            </w:r>
          </w:p>
        </w:tc>
        <w:tc>
          <w:tcPr>
            <w:tcW w:w="1409" w:type="dxa"/>
            <w:vMerge/>
            <w:vAlign w:val="center"/>
          </w:tcPr>
          <w:p w14:paraId="2F34D5D2" w14:textId="77777777" w:rsidR="0038061D" w:rsidRPr="00421EB7" w:rsidRDefault="0038061D" w:rsidP="00FF6D96">
            <w:pPr>
              <w:spacing w:line="360" w:lineRule="auto"/>
              <w:rPr>
                <w:rFonts w:ascii="Times New Roman" w:hAnsi="Times New Roman" w:cs="Times New Roman"/>
                <w:color w:val="000000"/>
              </w:rPr>
            </w:pPr>
          </w:p>
        </w:tc>
      </w:tr>
    </w:tbl>
    <w:p w14:paraId="4D1B54D3" w14:textId="52DDE1AD" w:rsidR="00BD4FDB" w:rsidRDefault="00333753" w:rsidP="00FF6D96">
      <w:pPr>
        <w:spacing w:line="360" w:lineRule="auto"/>
        <w:jc w:val="center"/>
        <w:rPr>
          <w:rFonts w:ascii="Times New Roman" w:hAnsi="Times New Roman" w:cs="Times New Roman"/>
        </w:rPr>
      </w:pPr>
      <w:r>
        <w:rPr>
          <w:rFonts w:ascii="Times New Roman" w:hAnsi="Times New Roman" w:cs="Times New Roman"/>
        </w:rPr>
        <w:t>Fuente</w:t>
      </w:r>
      <w:r w:rsidR="00BD4FDB">
        <w:rPr>
          <w:rFonts w:ascii="Times New Roman" w:hAnsi="Times New Roman" w:cs="Times New Roman"/>
        </w:rPr>
        <w:t xml:space="preserve">: Elaboración propia </w:t>
      </w:r>
      <w:r w:rsidR="005E5593">
        <w:rPr>
          <w:rFonts w:ascii="Times New Roman" w:hAnsi="Times New Roman" w:cs="Times New Roman"/>
        </w:rPr>
        <w:t>con base en</w:t>
      </w:r>
      <w:r w:rsidR="00BD4FDB">
        <w:rPr>
          <w:rFonts w:ascii="Times New Roman" w:hAnsi="Times New Roman" w:cs="Times New Roman"/>
        </w:rPr>
        <w:t xml:space="preserve"> </w:t>
      </w:r>
      <w:r w:rsidR="00D7710E">
        <w:rPr>
          <w:rFonts w:ascii="Times New Roman" w:hAnsi="Times New Roman" w:cs="Times New Roman"/>
        </w:rPr>
        <w:t>la Secretaría</w:t>
      </w:r>
      <w:r w:rsidR="00523663">
        <w:rPr>
          <w:rFonts w:ascii="Times New Roman" w:hAnsi="Times New Roman" w:cs="Times New Roman"/>
        </w:rPr>
        <w:t xml:space="preserve"> de Educación Pública [SEP] (2021)</w:t>
      </w:r>
    </w:p>
    <w:p w14:paraId="20E8C9CD" w14:textId="13540294" w:rsidR="00291915" w:rsidRPr="00DA11F9" w:rsidRDefault="00AD28B3" w:rsidP="00421EB7">
      <w:pPr>
        <w:spacing w:line="360" w:lineRule="auto"/>
        <w:jc w:val="center"/>
        <w:rPr>
          <w:rFonts w:ascii="Times New Roman" w:hAnsi="Times New Roman" w:cs="Times New Roman"/>
          <w:b/>
          <w:bCs/>
          <w:sz w:val="32"/>
          <w:shd w:val="clear" w:color="auto" w:fill="FFFFFF"/>
        </w:rPr>
      </w:pPr>
      <w:r w:rsidRPr="00DA11F9">
        <w:rPr>
          <w:rFonts w:ascii="Times New Roman" w:hAnsi="Times New Roman" w:cs="Times New Roman"/>
          <w:b/>
          <w:bCs/>
          <w:sz w:val="32"/>
          <w:shd w:val="clear" w:color="auto" w:fill="FFFFFF"/>
        </w:rPr>
        <w:lastRenderedPageBreak/>
        <w:t>Metodología</w:t>
      </w:r>
    </w:p>
    <w:p w14:paraId="725471AD" w14:textId="53DCED8E" w:rsidR="00A979D1" w:rsidRPr="002B511C" w:rsidRDefault="00B266D8" w:rsidP="00FF6D96">
      <w:pPr>
        <w:spacing w:line="360" w:lineRule="auto"/>
        <w:ind w:firstLine="708"/>
        <w:jc w:val="both"/>
        <w:rPr>
          <w:rFonts w:ascii="Times New Roman" w:hAnsi="Times New Roman" w:cs="Times New Roman"/>
        </w:rPr>
      </w:pPr>
      <w:r w:rsidRPr="009A217D">
        <w:rPr>
          <w:rFonts w:ascii="Times New Roman" w:hAnsi="Times New Roman" w:cs="Times New Roman"/>
          <w:shd w:val="clear" w:color="auto" w:fill="FFFFFF"/>
        </w:rPr>
        <w:t xml:space="preserve">Dado que la investigación científica es dinámica, cambiante y continua, también engloba varias etapas, </w:t>
      </w:r>
      <w:r w:rsidR="001A7DAB">
        <w:rPr>
          <w:rFonts w:ascii="Times New Roman" w:hAnsi="Times New Roman" w:cs="Times New Roman"/>
          <w:shd w:val="clear" w:color="auto" w:fill="FFFFFF"/>
        </w:rPr>
        <w:t>y</w:t>
      </w:r>
      <w:r w:rsidRPr="009A217D">
        <w:rPr>
          <w:rFonts w:ascii="Times New Roman" w:hAnsi="Times New Roman" w:cs="Times New Roman"/>
          <w:shd w:val="clear" w:color="auto" w:fill="FFFFFF"/>
        </w:rPr>
        <w:t xml:space="preserve"> cada una de estas requiere un sustento que determine la claridad del estudio (Hernández</w:t>
      </w:r>
      <w:r w:rsidR="003066B7">
        <w:rPr>
          <w:rFonts w:ascii="Times New Roman" w:hAnsi="Times New Roman" w:cs="Times New Roman"/>
          <w:shd w:val="clear" w:color="auto" w:fill="FFFFFF"/>
        </w:rPr>
        <w:t xml:space="preserve">, </w:t>
      </w:r>
      <w:r w:rsidR="003066B7">
        <w:rPr>
          <w:rFonts w:ascii="Times New Roman" w:hAnsi="Times New Roman" w:cs="Times New Roman"/>
          <w:noProof/>
          <w:lang w:val="es-ES"/>
        </w:rPr>
        <w:t>Fernández y Baptista,</w:t>
      </w:r>
      <w:r w:rsidRPr="009A217D">
        <w:rPr>
          <w:rFonts w:ascii="Times New Roman" w:hAnsi="Times New Roman" w:cs="Times New Roman"/>
          <w:shd w:val="clear" w:color="auto" w:fill="FFFFFF"/>
        </w:rPr>
        <w:t xml:space="preserve"> 2016). </w:t>
      </w:r>
      <w:r w:rsidR="007A3DD9" w:rsidRPr="009A217D">
        <w:rPr>
          <w:rFonts w:ascii="Times New Roman" w:hAnsi="Times New Roman" w:cs="Times New Roman"/>
          <w:shd w:val="clear" w:color="auto" w:fill="FFFFFF"/>
        </w:rPr>
        <w:t xml:space="preserve">El abordaje de la investigación </w:t>
      </w:r>
      <w:r w:rsidR="009611DF">
        <w:rPr>
          <w:rFonts w:ascii="Times New Roman" w:hAnsi="Times New Roman" w:cs="Times New Roman"/>
          <w:shd w:val="clear" w:color="auto" w:fill="FFFFFF"/>
        </w:rPr>
        <w:t>se presenta</w:t>
      </w:r>
      <w:r w:rsidR="007A3DD9" w:rsidRPr="009A217D">
        <w:rPr>
          <w:rFonts w:ascii="Times New Roman" w:hAnsi="Times New Roman" w:cs="Times New Roman"/>
          <w:shd w:val="clear" w:color="auto" w:fill="FFFFFF"/>
        </w:rPr>
        <w:t xml:space="preserve"> por </w:t>
      </w:r>
      <w:r w:rsidR="007A3DD9" w:rsidRPr="00421EB7">
        <w:rPr>
          <w:rFonts w:ascii="Times New Roman" w:hAnsi="Times New Roman" w:cs="Times New Roman"/>
          <w:shd w:val="clear" w:color="auto" w:fill="FFFFFF"/>
        </w:rPr>
        <w:t>etapas</w:t>
      </w:r>
      <w:r w:rsidR="007A3DD9" w:rsidRPr="009A217D">
        <w:rPr>
          <w:rFonts w:ascii="Times New Roman" w:hAnsi="Times New Roman" w:cs="Times New Roman"/>
          <w:i/>
          <w:iCs/>
          <w:shd w:val="clear" w:color="auto" w:fill="FFFFFF"/>
        </w:rPr>
        <w:t xml:space="preserve"> </w:t>
      </w:r>
      <w:r w:rsidR="007A3DD9" w:rsidRPr="00421EB7">
        <w:rPr>
          <w:rFonts w:ascii="Times New Roman" w:hAnsi="Times New Roman" w:cs="Times New Roman"/>
          <w:shd w:val="clear" w:color="auto" w:fill="FFFFFF"/>
        </w:rPr>
        <w:t xml:space="preserve">y </w:t>
      </w:r>
      <w:r w:rsidR="00034567">
        <w:rPr>
          <w:rFonts w:ascii="Times New Roman" w:hAnsi="Times New Roman" w:cs="Times New Roman"/>
          <w:shd w:val="clear" w:color="auto" w:fill="FFFFFF"/>
        </w:rPr>
        <w:t xml:space="preserve">es </w:t>
      </w:r>
      <w:r w:rsidR="007A3DD9" w:rsidRPr="00421EB7">
        <w:rPr>
          <w:rFonts w:ascii="Times New Roman" w:hAnsi="Times New Roman" w:cs="Times New Roman"/>
          <w:shd w:val="clear" w:color="auto" w:fill="FFFFFF"/>
        </w:rPr>
        <w:t>sistemática</w:t>
      </w:r>
      <w:r w:rsidR="00034567">
        <w:rPr>
          <w:rFonts w:ascii="Times New Roman" w:hAnsi="Times New Roman" w:cs="Times New Roman"/>
          <w:shd w:val="clear" w:color="auto" w:fill="FFFFFF"/>
        </w:rPr>
        <w:t>. Así, está</w:t>
      </w:r>
      <w:r w:rsidR="007A3DD9" w:rsidRPr="009A217D">
        <w:rPr>
          <w:rFonts w:ascii="Times New Roman" w:hAnsi="Times New Roman" w:cs="Times New Roman"/>
          <w:shd w:val="clear" w:color="auto" w:fill="FFFFFF"/>
        </w:rPr>
        <w:t xml:space="preserve"> </w:t>
      </w:r>
      <w:r w:rsidR="009611DF">
        <w:rPr>
          <w:rFonts w:ascii="Times New Roman" w:hAnsi="Times New Roman" w:cs="Times New Roman"/>
          <w:shd w:val="clear" w:color="auto" w:fill="FFFFFF"/>
        </w:rPr>
        <w:t xml:space="preserve">integrada por </w:t>
      </w:r>
      <w:r w:rsidR="00034567">
        <w:rPr>
          <w:rFonts w:ascii="Times New Roman" w:hAnsi="Times New Roman" w:cs="Times New Roman"/>
          <w:shd w:val="clear" w:color="auto" w:fill="FFFFFF"/>
        </w:rPr>
        <w:t>dos</w:t>
      </w:r>
      <w:r w:rsidR="00034567" w:rsidRPr="009A217D">
        <w:rPr>
          <w:rFonts w:ascii="Times New Roman" w:hAnsi="Times New Roman" w:cs="Times New Roman"/>
          <w:shd w:val="clear" w:color="auto" w:fill="FFFFFF"/>
        </w:rPr>
        <w:t xml:space="preserve"> </w:t>
      </w:r>
      <w:r w:rsidR="007A3DD9" w:rsidRPr="009A217D">
        <w:rPr>
          <w:rFonts w:ascii="Times New Roman" w:hAnsi="Times New Roman" w:cs="Times New Roman"/>
          <w:shd w:val="clear" w:color="auto" w:fill="FFFFFF"/>
        </w:rPr>
        <w:t>etapas</w:t>
      </w:r>
      <w:r w:rsidR="00034567">
        <w:rPr>
          <w:rFonts w:ascii="Times New Roman" w:hAnsi="Times New Roman" w:cs="Times New Roman"/>
          <w:shd w:val="clear" w:color="auto" w:fill="FFFFFF"/>
        </w:rPr>
        <w:t>.</w:t>
      </w:r>
      <w:r w:rsidR="00034567" w:rsidRPr="009A217D">
        <w:rPr>
          <w:rFonts w:ascii="Times New Roman" w:hAnsi="Times New Roman" w:cs="Times New Roman"/>
          <w:shd w:val="clear" w:color="auto" w:fill="FFFFFF"/>
        </w:rPr>
        <w:t xml:space="preserve"> </w:t>
      </w:r>
      <w:r w:rsidR="00034567">
        <w:rPr>
          <w:rFonts w:ascii="Times New Roman" w:hAnsi="Times New Roman" w:cs="Times New Roman"/>
          <w:shd w:val="clear" w:color="auto" w:fill="FFFFFF"/>
        </w:rPr>
        <w:t xml:space="preserve">Y </w:t>
      </w:r>
      <w:r w:rsidR="007A3DD9" w:rsidRPr="009A217D">
        <w:rPr>
          <w:rFonts w:ascii="Times New Roman" w:hAnsi="Times New Roman" w:cs="Times New Roman"/>
          <w:shd w:val="clear" w:color="auto" w:fill="FFFFFF"/>
        </w:rPr>
        <w:t xml:space="preserve">en cada </w:t>
      </w:r>
      <w:r w:rsidR="00034567">
        <w:rPr>
          <w:rFonts w:ascii="Times New Roman" w:hAnsi="Times New Roman" w:cs="Times New Roman"/>
          <w:shd w:val="clear" w:color="auto" w:fill="FFFFFF"/>
        </w:rPr>
        <w:t xml:space="preserve">una </w:t>
      </w:r>
      <w:r w:rsidR="007A3DD9" w:rsidRPr="009A217D">
        <w:rPr>
          <w:rFonts w:ascii="Times New Roman" w:hAnsi="Times New Roman" w:cs="Times New Roman"/>
          <w:shd w:val="clear" w:color="auto" w:fill="FFFFFF"/>
        </w:rPr>
        <w:t>se engloba un sistema implementado</w:t>
      </w:r>
      <w:r w:rsidR="002B511C">
        <w:rPr>
          <w:rFonts w:ascii="Times New Roman" w:hAnsi="Times New Roman" w:cs="Times New Roman"/>
          <w:shd w:val="clear" w:color="auto" w:fill="FFFFFF"/>
        </w:rPr>
        <w:t>, con un</w:t>
      </w:r>
      <w:r w:rsidR="009611DF" w:rsidRPr="009A217D">
        <w:rPr>
          <w:rFonts w:ascii="Times New Roman" w:hAnsi="Times New Roman" w:cs="Times New Roman"/>
          <w:shd w:val="clear" w:color="auto" w:fill="FFFFFF"/>
        </w:rPr>
        <w:t xml:space="preserve"> enfoque</w:t>
      </w:r>
      <w:r w:rsidR="002B511C">
        <w:rPr>
          <w:rFonts w:ascii="Times New Roman" w:hAnsi="Times New Roman" w:cs="Times New Roman"/>
          <w:shd w:val="clear" w:color="auto" w:fill="FFFFFF"/>
        </w:rPr>
        <w:t xml:space="preserve"> de investigación </w:t>
      </w:r>
      <w:r w:rsidR="002B511C" w:rsidRPr="009A217D">
        <w:rPr>
          <w:rFonts w:ascii="Times New Roman" w:hAnsi="Times New Roman" w:cs="Times New Roman"/>
          <w:shd w:val="clear" w:color="auto" w:fill="FFFFFF"/>
        </w:rPr>
        <w:t>cuantitativo</w:t>
      </w:r>
      <w:r w:rsidR="002B511C">
        <w:rPr>
          <w:rFonts w:ascii="Times New Roman" w:hAnsi="Times New Roman" w:cs="Times New Roman"/>
          <w:shd w:val="clear" w:color="auto" w:fill="FFFFFF"/>
        </w:rPr>
        <w:t xml:space="preserve">, </w:t>
      </w:r>
      <w:r w:rsidR="002B511C" w:rsidRPr="009A217D">
        <w:rPr>
          <w:rFonts w:ascii="Times New Roman" w:hAnsi="Times New Roman" w:cs="Times New Roman"/>
          <w:shd w:val="clear" w:color="auto" w:fill="FFFFFF"/>
        </w:rPr>
        <w:t>el</w:t>
      </w:r>
      <w:r w:rsidR="002B511C">
        <w:rPr>
          <w:rFonts w:ascii="Times New Roman" w:hAnsi="Times New Roman" w:cs="Times New Roman"/>
          <w:shd w:val="clear" w:color="auto" w:fill="FFFFFF"/>
        </w:rPr>
        <w:t xml:space="preserve"> cual </w:t>
      </w:r>
      <w:r w:rsidR="009611DF" w:rsidRPr="009A217D">
        <w:rPr>
          <w:rFonts w:ascii="Times New Roman" w:hAnsi="Times New Roman" w:cs="Times New Roman"/>
          <w:shd w:val="clear" w:color="auto" w:fill="FFFFFF"/>
        </w:rPr>
        <w:t>permitió detectar áreas de oportunidad para la divulgación y fomento de las vocaciones científicas en los jóvenes de educación superior de la ciudad de Mérida, Yucatán</w:t>
      </w:r>
      <w:r w:rsidR="002B511C">
        <w:rPr>
          <w:rFonts w:ascii="Times New Roman" w:hAnsi="Times New Roman" w:cs="Times New Roman"/>
          <w:shd w:val="clear" w:color="auto" w:fill="FFFFFF"/>
        </w:rPr>
        <w:t>.</w:t>
      </w:r>
      <w:r w:rsidR="009611DF" w:rsidRPr="009A217D">
        <w:rPr>
          <w:rFonts w:ascii="Times New Roman" w:hAnsi="Times New Roman" w:cs="Times New Roman"/>
          <w:shd w:val="clear" w:color="auto" w:fill="FFFFFF"/>
        </w:rPr>
        <w:t xml:space="preserve"> </w:t>
      </w:r>
      <w:r w:rsidR="002B511C">
        <w:rPr>
          <w:rFonts w:ascii="Times New Roman" w:hAnsi="Times New Roman" w:cs="Times New Roman"/>
          <w:shd w:val="clear" w:color="auto" w:fill="FFFFFF"/>
        </w:rPr>
        <w:t>L</w:t>
      </w:r>
      <w:r w:rsidR="009611DF" w:rsidRPr="009A217D">
        <w:rPr>
          <w:rFonts w:ascii="Times New Roman" w:hAnsi="Times New Roman" w:cs="Times New Roman"/>
          <w:shd w:val="clear" w:color="auto" w:fill="FFFFFF"/>
        </w:rPr>
        <w:t>os resultados se present</w:t>
      </w:r>
      <w:r w:rsidR="00EF540E">
        <w:rPr>
          <w:rFonts w:ascii="Times New Roman" w:hAnsi="Times New Roman" w:cs="Times New Roman"/>
          <w:shd w:val="clear" w:color="auto" w:fill="FFFFFF"/>
        </w:rPr>
        <w:t>a</w:t>
      </w:r>
      <w:r w:rsidR="009611DF" w:rsidRPr="009A217D">
        <w:rPr>
          <w:rFonts w:ascii="Times New Roman" w:hAnsi="Times New Roman" w:cs="Times New Roman"/>
          <w:shd w:val="clear" w:color="auto" w:fill="FFFFFF"/>
        </w:rPr>
        <w:t>n de forma descriptiva, con un alcance correlacional (Hernández</w:t>
      </w:r>
      <w:r w:rsidR="00F52CBE">
        <w:rPr>
          <w:rFonts w:ascii="Times New Roman" w:hAnsi="Times New Roman" w:cs="Times New Roman"/>
          <w:shd w:val="clear" w:color="auto" w:fill="FFFFFF"/>
        </w:rPr>
        <w:t xml:space="preserve">-Sampieri </w:t>
      </w:r>
      <w:r w:rsidR="009611DF" w:rsidRPr="009A217D">
        <w:rPr>
          <w:rFonts w:ascii="Times New Roman" w:hAnsi="Times New Roman" w:cs="Times New Roman"/>
          <w:shd w:val="clear" w:color="auto" w:fill="FFFFFF"/>
        </w:rPr>
        <w:t>y Mendoza, 2018)</w:t>
      </w:r>
      <w:r w:rsidR="009611DF">
        <w:rPr>
          <w:rFonts w:ascii="Times New Roman" w:hAnsi="Times New Roman" w:cs="Times New Roman"/>
          <w:shd w:val="clear" w:color="auto" w:fill="FFFFFF"/>
        </w:rPr>
        <w:t xml:space="preserve">. </w:t>
      </w:r>
      <w:r w:rsidR="007A3DD9" w:rsidRPr="009A217D">
        <w:rPr>
          <w:rFonts w:ascii="Times New Roman" w:hAnsi="Times New Roman" w:cs="Times New Roman"/>
          <w:shd w:val="clear" w:color="auto" w:fill="FFFFFF"/>
        </w:rPr>
        <w:t xml:space="preserve">Por consiguiente, </w:t>
      </w:r>
      <w:r w:rsidR="00034567">
        <w:rPr>
          <w:rFonts w:ascii="Times New Roman" w:hAnsi="Times New Roman" w:cs="Times New Roman"/>
          <w:shd w:val="clear" w:color="auto" w:fill="FFFFFF"/>
        </w:rPr>
        <w:t>siguiendo a</w:t>
      </w:r>
      <w:r w:rsidR="00034567" w:rsidRPr="009A217D">
        <w:rPr>
          <w:rFonts w:ascii="Times New Roman" w:hAnsi="Times New Roman" w:cs="Times New Roman"/>
          <w:shd w:val="clear" w:color="auto" w:fill="FFFFFF"/>
        </w:rPr>
        <w:t xml:space="preserve"> </w:t>
      </w:r>
      <w:r w:rsidR="007A3DD9" w:rsidRPr="009A217D">
        <w:rPr>
          <w:rFonts w:ascii="Times New Roman" w:hAnsi="Times New Roman" w:cs="Times New Roman"/>
          <w:shd w:val="clear" w:color="auto" w:fill="FFFFFF"/>
        </w:rPr>
        <w:t xml:space="preserve">Hernández </w:t>
      </w:r>
      <w:r w:rsidR="007A3DD9" w:rsidRPr="00421EB7">
        <w:rPr>
          <w:rFonts w:ascii="Times New Roman" w:hAnsi="Times New Roman" w:cs="Times New Roman"/>
          <w:i/>
          <w:iCs/>
          <w:shd w:val="clear" w:color="auto" w:fill="FFFFFF"/>
        </w:rPr>
        <w:t>et al</w:t>
      </w:r>
      <w:r w:rsidR="007A3DD9" w:rsidRPr="009A217D">
        <w:rPr>
          <w:rFonts w:ascii="Times New Roman" w:hAnsi="Times New Roman" w:cs="Times New Roman"/>
          <w:shd w:val="clear" w:color="auto" w:fill="FFFFFF"/>
        </w:rPr>
        <w:t xml:space="preserve">. (2016), dentro de </w:t>
      </w:r>
      <w:r w:rsidR="00034567">
        <w:rPr>
          <w:rFonts w:ascii="Times New Roman" w:hAnsi="Times New Roman" w:cs="Times New Roman"/>
          <w:shd w:val="clear" w:color="auto" w:fill="FFFFFF"/>
        </w:rPr>
        <w:t>las</w:t>
      </w:r>
      <w:r w:rsidR="00034567" w:rsidRPr="009A217D">
        <w:rPr>
          <w:rFonts w:ascii="Times New Roman" w:hAnsi="Times New Roman" w:cs="Times New Roman"/>
          <w:shd w:val="clear" w:color="auto" w:fill="FFFFFF"/>
        </w:rPr>
        <w:t xml:space="preserve"> </w:t>
      </w:r>
      <w:r w:rsidR="007A3DD9" w:rsidRPr="009A217D">
        <w:rPr>
          <w:rFonts w:ascii="Times New Roman" w:hAnsi="Times New Roman" w:cs="Times New Roman"/>
          <w:shd w:val="clear" w:color="auto" w:fill="FFFFFF"/>
        </w:rPr>
        <w:t xml:space="preserve">particularidades </w:t>
      </w:r>
      <w:r w:rsidR="00034567">
        <w:rPr>
          <w:rFonts w:ascii="Times New Roman" w:hAnsi="Times New Roman" w:cs="Times New Roman"/>
          <w:shd w:val="clear" w:color="auto" w:fill="FFFFFF"/>
        </w:rPr>
        <w:t>d</w:t>
      </w:r>
      <w:r w:rsidR="00034567" w:rsidRPr="009A217D">
        <w:rPr>
          <w:rFonts w:ascii="Times New Roman" w:hAnsi="Times New Roman" w:cs="Times New Roman"/>
          <w:shd w:val="clear" w:color="auto" w:fill="FFFFFF"/>
        </w:rPr>
        <w:t xml:space="preserve">el método cuantitativo </w:t>
      </w:r>
      <w:r w:rsidR="007A3DD9" w:rsidRPr="009A217D">
        <w:rPr>
          <w:rFonts w:ascii="Times New Roman" w:hAnsi="Times New Roman" w:cs="Times New Roman"/>
          <w:shd w:val="clear" w:color="auto" w:fill="FFFFFF"/>
        </w:rPr>
        <w:t>se encuentra la objetividad requerida, la precisión, la interpretación numérica y porcentual, necesarias para el estudio</w:t>
      </w:r>
      <w:r w:rsidR="00717DBE" w:rsidRPr="009A217D">
        <w:rPr>
          <w:rFonts w:ascii="Times New Roman" w:hAnsi="Times New Roman" w:cs="Times New Roman"/>
          <w:shd w:val="clear" w:color="auto" w:fill="FFFFFF"/>
        </w:rPr>
        <w:t xml:space="preserve">. </w:t>
      </w:r>
      <w:r w:rsidR="002B6176" w:rsidRPr="009A217D">
        <w:rPr>
          <w:rFonts w:ascii="Times New Roman" w:hAnsi="Times New Roman" w:cs="Times New Roman"/>
          <w:shd w:val="clear" w:color="auto" w:fill="FFFFFF"/>
        </w:rPr>
        <w:t>En las dos etapas l</w:t>
      </w:r>
      <w:r w:rsidR="00220AEE" w:rsidRPr="009A217D">
        <w:rPr>
          <w:rFonts w:ascii="Times New Roman" w:hAnsi="Times New Roman" w:cs="Times New Roman"/>
          <w:shd w:val="clear" w:color="auto" w:fill="FFFFFF"/>
        </w:rPr>
        <w:t xml:space="preserve">os sujetos de estudio fueron </w:t>
      </w:r>
      <w:r w:rsidR="002B6176" w:rsidRPr="009A217D">
        <w:rPr>
          <w:rFonts w:ascii="Times New Roman" w:hAnsi="Times New Roman" w:cs="Times New Roman"/>
          <w:shd w:val="clear" w:color="auto" w:fill="FFFFFF"/>
        </w:rPr>
        <w:t xml:space="preserve">jóvenes con edades comprendidas entre </w:t>
      </w:r>
      <w:r w:rsidR="00034567">
        <w:rPr>
          <w:rFonts w:ascii="Times New Roman" w:hAnsi="Times New Roman" w:cs="Times New Roman"/>
          <w:shd w:val="clear" w:color="auto" w:fill="FFFFFF"/>
        </w:rPr>
        <w:t xml:space="preserve">los </w:t>
      </w:r>
      <w:r w:rsidR="002B6176" w:rsidRPr="009A217D">
        <w:rPr>
          <w:rFonts w:ascii="Times New Roman" w:hAnsi="Times New Roman" w:cs="Times New Roman"/>
          <w:shd w:val="clear" w:color="auto" w:fill="FFFFFF"/>
        </w:rPr>
        <w:t xml:space="preserve">15 </w:t>
      </w:r>
      <w:r w:rsidR="00034567">
        <w:rPr>
          <w:rFonts w:ascii="Times New Roman" w:hAnsi="Times New Roman" w:cs="Times New Roman"/>
          <w:shd w:val="clear" w:color="auto" w:fill="FFFFFF"/>
        </w:rPr>
        <w:t>y</w:t>
      </w:r>
      <w:r w:rsidR="00034567" w:rsidRPr="009A217D">
        <w:rPr>
          <w:rFonts w:ascii="Times New Roman" w:hAnsi="Times New Roman" w:cs="Times New Roman"/>
          <w:shd w:val="clear" w:color="auto" w:fill="FFFFFF"/>
        </w:rPr>
        <w:t xml:space="preserve"> </w:t>
      </w:r>
      <w:r w:rsidR="002B6176" w:rsidRPr="009A217D">
        <w:rPr>
          <w:rFonts w:ascii="Times New Roman" w:hAnsi="Times New Roman" w:cs="Times New Roman"/>
          <w:shd w:val="clear" w:color="auto" w:fill="FFFFFF"/>
        </w:rPr>
        <w:t>29 años (</w:t>
      </w:r>
      <w:r w:rsidR="00034567" w:rsidRPr="009A217D">
        <w:rPr>
          <w:rFonts w:ascii="Times New Roman" w:hAnsi="Times New Roman" w:cs="Times New Roman"/>
          <w:shd w:val="clear" w:color="auto" w:fill="FFFFFF"/>
        </w:rPr>
        <w:t>Inegi</w:t>
      </w:r>
      <w:r w:rsidR="002B6176" w:rsidRPr="009A217D">
        <w:rPr>
          <w:rFonts w:ascii="Times New Roman" w:hAnsi="Times New Roman" w:cs="Times New Roman"/>
          <w:shd w:val="clear" w:color="auto" w:fill="FFFFFF"/>
        </w:rPr>
        <w:t xml:space="preserve">, </w:t>
      </w:r>
      <w:r w:rsidR="00034567">
        <w:rPr>
          <w:rFonts w:ascii="Times New Roman" w:hAnsi="Times New Roman" w:cs="Times New Roman"/>
          <w:noProof/>
          <w:lang w:val="es-ES"/>
        </w:rPr>
        <w:t xml:space="preserve">10 de agosto de </w:t>
      </w:r>
      <w:r w:rsidR="002B6176" w:rsidRPr="009A217D">
        <w:rPr>
          <w:rFonts w:ascii="Times New Roman" w:hAnsi="Times New Roman" w:cs="Times New Roman"/>
          <w:shd w:val="clear" w:color="auto" w:fill="FFFFFF"/>
        </w:rPr>
        <w:t>2020)</w:t>
      </w:r>
      <w:r w:rsidR="00170477">
        <w:rPr>
          <w:rFonts w:ascii="Times New Roman" w:hAnsi="Times New Roman" w:cs="Times New Roman"/>
          <w:shd w:val="clear" w:color="auto" w:fill="FFFFFF"/>
        </w:rPr>
        <w:t xml:space="preserve">. Eran jóvenes que se encontraban cursando </w:t>
      </w:r>
      <w:r w:rsidR="00220AEE" w:rsidRPr="009A217D">
        <w:rPr>
          <w:rFonts w:ascii="Times New Roman" w:hAnsi="Times New Roman" w:cs="Times New Roman"/>
          <w:shd w:val="clear" w:color="auto" w:fill="FFFFFF"/>
        </w:rPr>
        <w:t>estudios de nivel superior</w:t>
      </w:r>
      <w:r w:rsidR="009611DF">
        <w:rPr>
          <w:rFonts w:ascii="Times New Roman" w:hAnsi="Times New Roman" w:cs="Times New Roman"/>
          <w:shd w:val="clear" w:color="auto" w:fill="FFFFFF"/>
        </w:rPr>
        <w:t xml:space="preserve">, </w:t>
      </w:r>
      <w:r w:rsidR="00170477">
        <w:rPr>
          <w:rFonts w:ascii="Times New Roman" w:hAnsi="Times New Roman" w:cs="Times New Roman"/>
          <w:shd w:val="clear" w:color="auto" w:fill="FFFFFF"/>
        </w:rPr>
        <w:t xml:space="preserve">aunque </w:t>
      </w:r>
      <w:r w:rsidR="009611DF">
        <w:rPr>
          <w:rFonts w:ascii="Times New Roman" w:hAnsi="Times New Roman" w:cs="Times New Roman"/>
          <w:shd w:val="clear" w:color="auto" w:fill="FFFFFF"/>
        </w:rPr>
        <w:t>la selección del grado educativo fue</w:t>
      </w:r>
      <w:r w:rsidR="009611DF">
        <w:rPr>
          <w:rFonts w:ascii="Times New Roman" w:hAnsi="Times New Roman" w:cs="Times New Roman"/>
          <w:sz w:val="22"/>
          <w:szCs w:val="22"/>
        </w:rPr>
        <w:t xml:space="preserve"> </w:t>
      </w:r>
      <w:r w:rsidR="009611DF" w:rsidRPr="002B511C">
        <w:rPr>
          <w:rFonts w:ascii="Times New Roman" w:hAnsi="Times New Roman" w:cs="Times New Roman"/>
        </w:rPr>
        <w:t xml:space="preserve">de manera aleatoria. El estudio es exploratorio y descriptivo </w:t>
      </w:r>
      <w:r w:rsidR="008751F9" w:rsidRPr="002B511C">
        <w:rPr>
          <w:rFonts w:ascii="Times New Roman" w:hAnsi="Times New Roman" w:cs="Times New Roman"/>
        </w:rPr>
        <w:t>(</w:t>
      </w:r>
      <w:r w:rsidR="009611DF" w:rsidRPr="002B511C">
        <w:rPr>
          <w:rFonts w:ascii="Times New Roman" w:hAnsi="Times New Roman" w:cs="Times New Roman"/>
        </w:rPr>
        <w:t xml:space="preserve">etapa </w:t>
      </w:r>
      <w:r w:rsidR="00170477">
        <w:rPr>
          <w:rFonts w:ascii="Times New Roman" w:hAnsi="Times New Roman" w:cs="Times New Roman"/>
        </w:rPr>
        <w:t>uno</w:t>
      </w:r>
      <w:r w:rsidR="00170477" w:rsidRPr="002B511C">
        <w:rPr>
          <w:rFonts w:ascii="Times New Roman" w:hAnsi="Times New Roman" w:cs="Times New Roman"/>
        </w:rPr>
        <w:t>)</w:t>
      </w:r>
      <w:r w:rsidR="00170477">
        <w:rPr>
          <w:rFonts w:ascii="Times New Roman" w:hAnsi="Times New Roman" w:cs="Times New Roman"/>
        </w:rPr>
        <w:t>;</w:t>
      </w:r>
      <w:r w:rsidR="00170477" w:rsidRPr="002B511C">
        <w:rPr>
          <w:rFonts w:ascii="Times New Roman" w:hAnsi="Times New Roman" w:cs="Times New Roman"/>
        </w:rPr>
        <w:t xml:space="preserve"> </w:t>
      </w:r>
      <w:r w:rsidR="008751F9" w:rsidRPr="002B511C">
        <w:rPr>
          <w:rFonts w:ascii="Times New Roman" w:hAnsi="Times New Roman" w:cs="Times New Roman"/>
        </w:rPr>
        <w:t xml:space="preserve">seguidamente se relacionan las variables y se describen las estrategias (etapa </w:t>
      </w:r>
      <w:r w:rsidR="00170477">
        <w:rPr>
          <w:rFonts w:ascii="Times New Roman" w:hAnsi="Times New Roman" w:cs="Times New Roman"/>
        </w:rPr>
        <w:t>dos</w:t>
      </w:r>
      <w:r w:rsidR="008751F9" w:rsidRPr="002B511C">
        <w:rPr>
          <w:rFonts w:ascii="Times New Roman" w:hAnsi="Times New Roman" w:cs="Times New Roman"/>
        </w:rPr>
        <w:t>).</w:t>
      </w:r>
    </w:p>
    <w:p w14:paraId="6A47A1BA" w14:textId="04C009EA" w:rsidR="00025F23" w:rsidRPr="009A217D" w:rsidRDefault="00B02F56" w:rsidP="00FF6D96">
      <w:pPr>
        <w:spacing w:line="360" w:lineRule="auto"/>
        <w:ind w:firstLine="708"/>
        <w:jc w:val="both"/>
        <w:rPr>
          <w:rFonts w:ascii="Times New Roman" w:hAnsi="Times New Roman" w:cs="Times New Roman"/>
          <w:shd w:val="clear" w:color="auto" w:fill="FFFFFF"/>
        </w:rPr>
      </w:pPr>
      <w:r w:rsidRPr="009A217D">
        <w:rPr>
          <w:rFonts w:ascii="Times New Roman" w:hAnsi="Times New Roman" w:cs="Times New Roman"/>
          <w:shd w:val="clear" w:color="auto" w:fill="FFFFFF"/>
        </w:rPr>
        <w:t xml:space="preserve">Los instrumentos </w:t>
      </w:r>
      <w:r>
        <w:rPr>
          <w:rFonts w:ascii="Times New Roman" w:hAnsi="Times New Roman" w:cs="Times New Roman"/>
          <w:shd w:val="clear" w:color="auto" w:fill="FFFFFF"/>
        </w:rPr>
        <w:t xml:space="preserve">fueron dos cuestionarios que </w:t>
      </w:r>
      <w:r w:rsidRPr="009A217D">
        <w:rPr>
          <w:rFonts w:ascii="Times New Roman" w:hAnsi="Times New Roman" w:cs="Times New Roman"/>
          <w:shd w:val="clear" w:color="auto" w:fill="FFFFFF"/>
        </w:rPr>
        <w:t>se elaboraron en las plataformas de Google y de Microsoft Office 365, con 29 y 20 ítems para la primera y segunda etapa del proyecto</w:t>
      </w:r>
      <w:r w:rsidR="00AB517B">
        <w:rPr>
          <w:rFonts w:ascii="Times New Roman" w:hAnsi="Times New Roman" w:cs="Times New Roman"/>
          <w:shd w:val="clear" w:color="auto" w:fill="FFFFFF"/>
        </w:rPr>
        <w:t xml:space="preserve">, </w:t>
      </w:r>
      <w:r w:rsidR="00AB517B" w:rsidRPr="009A217D">
        <w:rPr>
          <w:rFonts w:ascii="Times New Roman" w:hAnsi="Times New Roman" w:cs="Times New Roman"/>
          <w:shd w:val="clear" w:color="auto" w:fill="FFFFFF"/>
        </w:rPr>
        <w:t>respectivament</w:t>
      </w:r>
      <w:r w:rsidR="00AB517B">
        <w:rPr>
          <w:rFonts w:ascii="Times New Roman" w:hAnsi="Times New Roman" w:cs="Times New Roman"/>
          <w:shd w:val="clear" w:color="auto" w:fill="FFFFFF"/>
        </w:rPr>
        <w:t>e</w:t>
      </w:r>
      <w:r>
        <w:rPr>
          <w:rFonts w:ascii="Times New Roman" w:hAnsi="Times New Roman" w:cs="Times New Roman"/>
          <w:shd w:val="clear" w:color="auto" w:fill="FFFFFF"/>
        </w:rPr>
        <w:t>. La elección del cuestionario se contempla porque</w:t>
      </w:r>
      <w:r w:rsidR="001706BC" w:rsidRPr="009A217D">
        <w:rPr>
          <w:rFonts w:ascii="Times New Roman" w:hAnsi="Times New Roman" w:cs="Times New Roman"/>
          <w:shd w:val="clear" w:color="auto" w:fill="FFFFFF"/>
        </w:rPr>
        <w:t xml:space="preserve"> es un instrumento de investigación que arroja un orden en su aplicación</w:t>
      </w:r>
      <w:r w:rsidR="00025F23" w:rsidRPr="009A217D">
        <w:rPr>
          <w:rFonts w:ascii="Times New Roman" w:hAnsi="Times New Roman" w:cs="Times New Roman"/>
          <w:shd w:val="clear" w:color="auto" w:fill="FFFFFF"/>
        </w:rPr>
        <w:t xml:space="preserve"> y los términos propios del estudio</w:t>
      </w:r>
      <w:r w:rsidR="00AB517B">
        <w:rPr>
          <w:rFonts w:ascii="Times New Roman" w:hAnsi="Times New Roman" w:cs="Times New Roman"/>
          <w:shd w:val="clear" w:color="auto" w:fill="FFFFFF"/>
        </w:rPr>
        <w:t>.</w:t>
      </w:r>
      <w:r w:rsidR="00AB517B" w:rsidRPr="009A217D">
        <w:rPr>
          <w:rFonts w:ascii="Times New Roman" w:hAnsi="Times New Roman" w:cs="Times New Roman"/>
          <w:shd w:val="clear" w:color="auto" w:fill="FFFFFF"/>
        </w:rPr>
        <w:t xml:space="preserve"> </w:t>
      </w:r>
      <w:r w:rsidR="00AB517B">
        <w:rPr>
          <w:rFonts w:ascii="Times New Roman" w:hAnsi="Times New Roman" w:cs="Times New Roman"/>
          <w:shd w:val="clear" w:color="auto" w:fill="FFFFFF"/>
        </w:rPr>
        <w:t>Asimismo, es posible alinear la</w:t>
      </w:r>
      <w:r w:rsidR="00025F23" w:rsidRPr="009A217D">
        <w:rPr>
          <w:rFonts w:ascii="Times New Roman" w:hAnsi="Times New Roman" w:cs="Times New Roman"/>
          <w:shd w:val="clear" w:color="auto" w:fill="FFFFFF"/>
        </w:rPr>
        <w:t xml:space="preserve"> interpretación con </w:t>
      </w:r>
      <w:r w:rsidR="001706BC" w:rsidRPr="009A217D">
        <w:rPr>
          <w:rFonts w:ascii="Times New Roman" w:hAnsi="Times New Roman" w:cs="Times New Roman"/>
          <w:shd w:val="clear" w:color="auto" w:fill="FFFFFF"/>
        </w:rPr>
        <w:t xml:space="preserve">las variables </w:t>
      </w:r>
      <w:r w:rsidR="00025F23" w:rsidRPr="009A217D">
        <w:rPr>
          <w:rFonts w:ascii="Times New Roman" w:hAnsi="Times New Roman" w:cs="Times New Roman"/>
          <w:shd w:val="clear" w:color="auto" w:fill="FFFFFF"/>
        </w:rPr>
        <w:t xml:space="preserve">y posibilita la comparación entre estas y con otros estudios. Como característica de esta </w:t>
      </w:r>
      <w:r w:rsidR="007C22FC" w:rsidRPr="009A217D">
        <w:rPr>
          <w:rFonts w:ascii="Times New Roman" w:hAnsi="Times New Roman" w:cs="Times New Roman"/>
          <w:shd w:val="clear" w:color="auto" w:fill="FFFFFF"/>
        </w:rPr>
        <w:t>técnica</w:t>
      </w:r>
      <w:r w:rsidR="00025F23" w:rsidRPr="009A217D">
        <w:rPr>
          <w:rFonts w:ascii="Times New Roman" w:hAnsi="Times New Roman" w:cs="Times New Roman"/>
          <w:shd w:val="clear" w:color="auto" w:fill="FFFFFF"/>
        </w:rPr>
        <w:t>, se encuentra la impersonalidad, al no requerir una proximidad con el encuest</w:t>
      </w:r>
      <w:r w:rsidR="007C22FC" w:rsidRPr="009A217D">
        <w:rPr>
          <w:rFonts w:ascii="Times New Roman" w:hAnsi="Times New Roman" w:cs="Times New Roman"/>
          <w:shd w:val="clear" w:color="auto" w:fill="FFFFFF"/>
        </w:rPr>
        <w:t>ado</w:t>
      </w:r>
      <w:r>
        <w:rPr>
          <w:rFonts w:ascii="Times New Roman" w:hAnsi="Times New Roman" w:cs="Times New Roman"/>
          <w:shd w:val="clear" w:color="auto" w:fill="FFFFFF"/>
        </w:rPr>
        <w:t xml:space="preserve"> </w:t>
      </w:r>
      <w:r w:rsidR="00AB517B">
        <w:rPr>
          <w:rFonts w:ascii="Times New Roman" w:hAnsi="Times New Roman" w:cs="Times New Roman"/>
          <w:shd w:val="clear" w:color="auto" w:fill="FFFFFF"/>
        </w:rPr>
        <w:t>(</w:t>
      </w:r>
      <w:r w:rsidRPr="009A217D">
        <w:rPr>
          <w:rFonts w:ascii="Times New Roman" w:hAnsi="Times New Roman" w:cs="Times New Roman"/>
          <w:shd w:val="clear" w:color="auto" w:fill="FFFFFF"/>
        </w:rPr>
        <w:t xml:space="preserve">requisito indispensable con la presencia de la </w:t>
      </w:r>
      <w:r w:rsidR="00AB517B">
        <w:rPr>
          <w:rFonts w:ascii="Times New Roman" w:hAnsi="Times New Roman" w:cs="Times New Roman"/>
          <w:shd w:val="clear" w:color="auto" w:fill="FFFFFF"/>
        </w:rPr>
        <w:t>c</w:t>
      </w:r>
      <w:r w:rsidR="00AB517B" w:rsidRPr="009A217D">
        <w:rPr>
          <w:rFonts w:ascii="Times New Roman" w:hAnsi="Times New Roman" w:cs="Times New Roman"/>
          <w:shd w:val="clear" w:color="auto" w:fill="FFFFFF"/>
        </w:rPr>
        <w:t>ovid</w:t>
      </w:r>
      <w:r w:rsidRPr="009A217D">
        <w:rPr>
          <w:rFonts w:ascii="Times New Roman" w:hAnsi="Times New Roman" w:cs="Times New Roman"/>
          <w:shd w:val="clear" w:color="auto" w:fill="FFFFFF"/>
        </w:rPr>
        <w:t>-19</w:t>
      </w:r>
      <w:r w:rsidR="00AB517B">
        <w:rPr>
          <w:rFonts w:ascii="Times New Roman" w:hAnsi="Times New Roman" w:cs="Times New Roman"/>
          <w:shd w:val="clear" w:color="auto" w:fill="FFFFFF"/>
        </w:rPr>
        <w:t>)</w:t>
      </w:r>
      <w:r w:rsidR="00AB517B" w:rsidRPr="009A217D">
        <w:rPr>
          <w:rFonts w:ascii="Times New Roman" w:hAnsi="Times New Roman" w:cs="Times New Roman"/>
          <w:shd w:val="clear" w:color="auto" w:fill="FFFFFF"/>
        </w:rPr>
        <w:t xml:space="preserve"> </w:t>
      </w:r>
      <w:r w:rsidR="007C22FC" w:rsidRPr="009A217D">
        <w:rPr>
          <w:rFonts w:ascii="Times New Roman" w:hAnsi="Times New Roman" w:cs="Times New Roman"/>
          <w:shd w:val="clear" w:color="auto" w:fill="FFFFFF"/>
        </w:rPr>
        <w:t>(Medina y Castillo, 2003; Santoveña, 2010</w:t>
      </w:r>
      <w:r w:rsidRPr="009A217D">
        <w:rPr>
          <w:rFonts w:ascii="Times New Roman" w:hAnsi="Times New Roman" w:cs="Times New Roman"/>
          <w:shd w:val="clear" w:color="auto" w:fill="FFFFFF"/>
        </w:rPr>
        <w:t>).</w:t>
      </w:r>
    </w:p>
    <w:p w14:paraId="591355D6" w14:textId="0A998E19" w:rsidR="003E4BE8" w:rsidRDefault="003E4BE8" w:rsidP="00FF6D96">
      <w:pPr>
        <w:spacing w:line="360" w:lineRule="auto"/>
        <w:ind w:firstLine="708"/>
        <w:jc w:val="both"/>
        <w:rPr>
          <w:rFonts w:ascii="Times New Roman" w:hAnsi="Times New Roman" w:cs="Times New Roman"/>
          <w:shd w:val="clear" w:color="auto" w:fill="FFFFFF"/>
        </w:rPr>
      </w:pPr>
      <w:r w:rsidRPr="009A217D">
        <w:rPr>
          <w:rFonts w:ascii="Times New Roman" w:hAnsi="Times New Roman" w:cs="Times New Roman"/>
          <w:shd w:val="clear" w:color="auto" w:fill="FFFFFF"/>
        </w:rPr>
        <w:t xml:space="preserve">En </w:t>
      </w:r>
      <w:r w:rsidR="004E0F78" w:rsidRPr="009A217D">
        <w:rPr>
          <w:rFonts w:ascii="Times New Roman" w:hAnsi="Times New Roman" w:cs="Times New Roman"/>
          <w:shd w:val="clear" w:color="auto" w:fill="FFFFFF"/>
        </w:rPr>
        <w:t xml:space="preserve">la primera etapa, se obtuvo información relacionada con el perfil de los sujetos de estudio, también se indagó sobre las técnicas de aprendizaje al que se recurre para afianzar los conocimientos de las asignaturas cursadas, </w:t>
      </w:r>
      <w:r w:rsidR="005347B7" w:rsidRPr="009A217D">
        <w:rPr>
          <w:rFonts w:ascii="Times New Roman" w:hAnsi="Times New Roman" w:cs="Times New Roman"/>
          <w:shd w:val="clear" w:color="auto" w:fill="FFFFFF"/>
        </w:rPr>
        <w:t xml:space="preserve">los conocimientos que se cuentan con respectos a las bases de datos académicas, el sustento de información y las materias que estimulan la investigación a conciencia, lo anterior como parte del diagnóstico </w:t>
      </w:r>
      <w:r w:rsidR="004E0F78" w:rsidRPr="009A217D">
        <w:rPr>
          <w:rFonts w:ascii="Times New Roman" w:hAnsi="Times New Roman" w:cs="Times New Roman"/>
          <w:shd w:val="clear" w:color="auto" w:fill="FFFFFF"/>
        </w:rPr>
        <w:t>para la generación de la propuesta</w:t>
      </w:r>
      <w:r w:rsidR="005347B7" w:rsidRPr="009A217D">
        <w:rPr>
          <w:rFonts w:ascii="Times New Roman" w:hAnsi="Times New Roman" w:cs="Times New Roman"/>
          <w:shd w:val="clear" w:color="auto" w:fill="FFFFFF"/>
        </w:rPr>
        <w:t xml:space="preserve"> proyecto Congreso Estatal </w:t>
      </w:r>
      <w:r w:rsidR="006B76CA">
        <w:rPr>
          <w:rFonts w:ascii="Times New Roman" w:hAnsi="Times New Roman" w:cs="Times New Roman"/>
          <w:shd w:val="clear" w:color="auto" w:fill="FFFFFF"/>
        </w:rPr>
        <w:t>l</w:t>
      </w:r>
      <w:r w:rsidR="005347B7" w:rsidRPr="009A217D">
        <w:rPr>
          <w:rFonts w:ascii="Times New Roman" w:hAnsi="Times New Roman" w:cs="Times New Roman"/>
          <w:shd w:val="clear" w:color="auto" w:fill="FFFFFF"/>
        </w:rPr>
        <w:t xml:space="preserve">as Vocaciones Científicas en los </w:t>
      </w:r>
      <w:r w:rsidR="005347B7" w:rsidRPr="009A217D">
        <w:rPr>
          <w:rFonts w:ascii="Times New Roman" w:hAnsi="Times New Roman" w:cs="Times New Roman"/>
          <w:shd w:val="clear" w:color="auto" w:fill="FFFFFF"/>
        </w:rPr>
        <w:lastRenderedPageBreak/>
        <w:t>Jóvenes de Yucatán.</w:t>
      </w:r>
      <w:r w:rsidR="00296412">
        <w:rPr>
          <w:rFonts w:ascii="Times New Roman" w:hAnsi="Times New Roman" w:cs="Times New Roman"/>
          <w:shd w:val="clear" w:color="auto" w:fill="FFFFFF"/>
        </w:rPr>
        <w:t xml:space="preserve"> </w:t>
      </w:r>
      <w:r w:rsidR="005347B7" w:rsidRPr="009A217D">
        <w:rPr>
          <w:rFonts w:ascii="Times New Roman" w:hAnsi="Times New Roman" w:cs="Times New Roman"/>
          <w:shd w:val="clear" w:color="auto" w:fill="FFFFFF"/>
        </w:rPr>
        <w:t>En la segunda etapa</w:t>
      </w:r>
      <w:r w:rsidR="009D192C" w:rsidRPr="009A217D">
        <w:rPr>
          <w:rFonts w:ascii="Times New Roman" w:hAnsi="Times New Roman" w:cs="Times New Roman"/>
          <w:shd w:val="clear" w:color="auto" w:fill="FFFFFF"/>
        </w:rPr>
        <w:t xml:space="preserve">, se </w:t>
      </w:r>
      <w:r w:rsidR="00BA05FC">
        <w:rPr>
          <w:rFonts w:ascii="Times New Roman" w:hAnsi="Times New Roman" w:cs="Times New Roman"/>
          <w:shd w:val="clear" w:color="auto" w:fill="FFFFFF"/>
        </w:rPr>
        <w:t xml:space="preserve">precisan y </w:t>
      </w:r>
      <w:r w:rsidR="00EF540E">
        <w:rPr>
          <w:rFonts w:ascii="Times New Roman" w:hAnsi="Times New Roman" w:cs="Times New Roman"/>
          <w:shd w:val="clear" w:color="auto" w:fill="FFFFFF"/>
        </w:rPr>
        <w:t>valoran</w:t>
      </w:r>
      <w:r w:rsidR="00EF540E" w:rsidRPr="009A217D">
        <w:rPr>
          <w:rFonts w:ascii="Times New Roman" w:hAnsi="Times New Roman" w:cs="Times New Roman"/>
          <w:shd w:val="clear" w:color="auto" w:fill="FFFFFF"/>
        </w:rPr>
        <w:t xml:space="preserve"> </w:t>
      </w:r>
      <w:r w:rsidR="009D192C" w:rsidRPr="009A217D">
        <w:rPr>
          <w:rFonts w:ascii="Times New Roman" w:hAnsi="Times New Roman" w:cs="Times New Roman"/>
          <w:shd w:val="clear" w:color="auto" w:fill="FFFFFF"/>
        </w:rPr>
        <w:t>las estrategias implementadas en el proyecto y se caracteriza el perfil de los participantes.</w:t>
      </w:r>
    </w:p>
    <w:p w14:paraId="59426B0C" w14:textId="77777777" w:rsidR="00873588" w:rsidRPr="009A217D" w:rsidRDefault="00873588" w:rsidP="00FF6D96">
      <w:pPr>
        <w:spacing w:line="360" w:lineRule="auto"/>
        <w:ind w:firstLine="708"/>
        <w:jc w:val="both"/>
        <w:rPr>
          <w:rFonts w:ascii="Times New Roman" w:hAnsi="Times New Roman" w:cs="Times New Roman"/>
          <w:shd w:val="clear" w:color="auto" w:fill="FFFFFF"/>
        </w:rPr>
      </w:pPr>
    </w:p>
    <w:p w14:paraId="48C4CB36" w14:textId="3478E0F5" w:rsidR="00A979D1" w:rsidRPr="009A217D" w:rsidRDefault="00A979D1" w:rsidP="00421EB7">
      <w:pPr>
        <w:spacing w:line="360" w:lineRule="auto"/>
        <w:jc w:val="center"/>
        <w:rPr>
          <w:rFonts w:ascii="Times New Roman" w:hAnsi="Times New Roman" w:cs="Times New Roman"/>
          <w:b/>
          <w:bCs/>
          <w:sz w:val="28"/>
          <w:shd w:val="clear" w:color="auto" w:fill="FFFFFF"/>
        </w:rPr>
      </w:pPr>
      <w:r w:rsidRPr="009A217D">
        <w:rPr>
          <w:rFonts w:ascii="Times New Roman" w:hAnsi="Times New Roman" w:cs="Times New Roman"/>
          <w:b/>
          <w:bCs/>
          <w:sz w:val="28"/>
          <w:shd w:val="clear" w:color="auto" w:fill="FFFFFF"/>
        </w:rPr>
        <w:t>Primera etapa del método</w:t>
      </w:r>
      <w:r w:rsidR="009D192C" w:rsidRPr="009A217D">
        <w:rPr>
          <w:rFonts w:ascii="Times New Roman" w:hAnsi="Times New Roman" w:cs="Times New Roman"/>
          <w:b/>
          <w:bCs/>
          <w:sz w:val="28"/>
          <w:shd w:val="clear" w:color="auto" w:fill="FFFFFF"/>
        </w:rPr>
        <w:t>: descripción</w:t>
      </w:r>
    </w:p>
    <w:p w14:paraId="0F272797" w14:textId="1F06DB20" w:rsidR="00873588" w:rsidRPr="00BD36BD" w:rsidRDefault="00A63B6D" w:rsidP="00C23DC2">
      <w:pPr>
        <w:spacing w:line="360" w:lineRule="auto"/>
        <w:ind w:firstLine="708"/>
        <w:jc w:val="both"/>
        <w:rPr>
          <w:rFonts w:ascii="Times New Roman" w:hAnsi="Times New Roman" w:cs="Times New Roman"/>
          <w:color w:val="000000" w:themeColor="text1"/>
        </w:rPr>
      </w:pPr>
      <w:r w:rsidRPr="009A217D">
        <w:rPr>
          <w:rFonts w:ascii="Times New Roman" w:hAnsi="Times New Roman" w:cs="Times New Roman"/>
          <w:shd w:val="clear" w:color="auto" w:fill="FFFFFF"/>
        </w:rPr>
        <w:t xml:space="preserve">En la primera etapa del estudio, </w:t>
      </w:r>
      <w:r w:rsidR="002B185A" w:rsidRPr="009A217D">
        <w:rPr>
          <w:rFonts w:ascii="Times New Roman" w:hAnsi="Times New Roman" w:cs="Times New Roman"/>
          <w:shd w:val="clear" w:color="auto" w:fill="FFFFFF"/>
        </w:rPr>
        <w:t>los resultados permitieron la realización</w:t>
      </w:r>
      <w:r w:rsidR="008150E5" w:rsidRPr="009A217D">
        <w:rPr>
          <w:rFonts w:ascii="Times New Roman" w:hAnsi="Times New Roman" w:cs="Times New Roman"/>
          <w:shd w:val="clear" w:color="auto" w:fill="FFFFFF"/>
        </w:rPr>
        <w:t xml:space="preserve"> </w:t>
      </w:r>
      <w:r w:rsidR="002B185A" w:rsidRPr="009A217D">
        <w:rPr>
          <w:rFonts w:ascii="Times New Roman" w:hAnsi="Times New Roman" w:cs="Times New Roman"/>
          <w:shd w:val="clear" w:color="auto" w:fill="FFFFFF"/>
        </w:rPr>
        <w:t>d</w:t>
      </w:r>
      <w:r w:rsidR="008150E5" w:rsidRPr="009A217D">
        <w:rPr>
          <w:rFonts w:ascii="Times New Roman" w:hAnsi="Times New Roman" w:cs="Times New Roman"/>
          <w:shd w:val="clear" w:color="auto" w:fill="FFFFFF"/>
        </w:rPr>
        <w:t xml:space="preserve">el diagnóstico de las vocaciones </w:t>
      </w:r>
      <w:r w:rsidR="00BD36BD" w:rsidRPr="009A217D">
        <w:rPr>
          <w:rFonts w:ascii="Times New Roman" w:hAnsi="Times New Roman" w:cs="Times New Roman"/>
          <w:shd w:val="clear" w:color="auto" w:fill="FFFFFF"/>
        </w:rPr>
        <w:t>científicas</w:t>
      </w:r>
      <w:r w:rsidR="002B185A" w:rsidRPr="009A217D">
        <w:rPr>
          <w:rFonts w:ascii="Times New Roman" w:hAnsi="Times New Roman" w:cs="Times New Roman"/>
          <w:shd w:val="clear" w:color="auto" w:fill="FFFFFF"/>
        </w:rPr>
        <w:t xml:space="preserve">, </w:t>
      </w:r>
      <w:r w:rsidR="00B36CBF">
        <w:rPr>
          <w:rFonts w:ascii="Times New Roman" w:hAnsi="Times New Roman" w:cs="Times New Roman"/>
          <w:shd w:val="clear" w:color="auto" w:fill="FFFFFF"/>
        </w:rPr>
        <w:t>esto es,</w:t>
      </w:r>
      <w:r w:rsidR="00B36CBF" w:rsidRPr="009A217D">
        <w:rPr>
          <w:rFonts w:ascii="Times New Roman" w:hAnsi="Times New Roman" w:cs="Times New Roman"/>
          <w:shd w:val="clear" w:color="auto" w:fill="FFFFFF"/>
        </w:rPr>
        <w:t xml:space="preserve"> </w:t>
      </w:r>
      <w:r w:rsidR="002B185A" w:rsidRPr="009A217D">
        <w:rPr>
          <w:rFonts w:ascii="Times New Roman" w:hAnsi="Times New Roman" w:cs="Times New Roman"/>
          <w:shd w:val="clear" w:color="auto" w:fill="FFFFFF"/>
        </w:rPr>
        <w:t>el perfil de las personas que dieron respuesta al instrumento</w:t>
      </w:r>
      <w:r w:rsidR="008150E5" w:rsidRPr="009A217D">
        <w:rPr>
          <w:rFonts w:ascii="Times New Roman" w:hAnsi="Times New Roman" w:cs="Times New Roman"/>
          <w:shd w:val="clear" w:color="auto" w:fill="FFFFFF"/>
        </w:rPr>
        <w:t xml:space="preserve"> estudiantes de nivel superior</w:t>
      </w:r>
      <w:r w:rsidRPr="009A217D">
        <w:rPr>
          <w:rFonts w:ascii="Times New Roman" w:hAnsi="Times New Roman" w:cs="Times New Roman"/>
          <w:shd w:val="clear" w:color="auto" w:fill="FFFFFF"/>
        </w:rPr>
        <w:t xml:space="preserve"> de Yucatán</w:t>
      </w:r>
      <w:r w:rsidR="008150E5" w:rsidRPr="009A217D">
        <w:rPr>
          <w:rFonts w:ascii="Times New Roman" w:hAnsi="Times New Roman" w:cs="Times New Roman"/>
          <w:shd w:val="clear" w:color="auto" w:fill="FFFFFF"/>
        </w:rPr>
        <w:t xml:space="preserve">, efectuado durante el primer cuatrimestre de 2020. </w:t>
      </w:r>
      <w:r w:rsidR="007D61AD">
        <w:rPr>
          <w:rFonts w:ascii="Times New Roman" w:hAnsi="Times New Roman" w:cs="Times New Roman"/>
          <w:shd w:val="clear" w:color="auto" w:fill="FFFFFF"/>
        </w:rPr>
        <w:t xml:space="preserve">Dicho instrumento arrojó </w:t>
      </w:r>
      <w:r w:rsidR="00621112" w:rsidRPr="009A217D">
        <w:rPr>
          <w:rFonts w:ascii="Times New Roman" w:hAnsi="Times New Roman" w:cs="Times New Roman"/>
          <w:shd w:val="clear" w:color="auto" w:fill="FFFFFF"/>
        </w:rPr>
        <w:t>9</w:t>
      </w:r>
      <w:r w:rsidR="000D2F6C" w:rsidRPr="009A217D">
        <w:rPr>
          <w:rFonts w:ascii="Times New Roman" w:hAnsi="Times New Roman" w:cs="Times New Roman"/>
          <w:shd w:val="clear" w:color="auto" w:fill="FFFFFF"/>
        </w:rPr>
        <w:t>3</w:t>
      </w:r>
      <w:r w:rsidR="002715AA">
        <w:rPr>
          <w:rFonts w:ascii="Times New Roman" w:hAnsi="Times New Roman" w:cs="Times New Roman"/>
          <w:shd w:val="clear" w:color="auto" w:fill="FFFFFF"/>
        </w:rPr>
        <w:t>.0</w:t>
      </w:r>
      <w:r w:rsidR="00B36CBF">
        <w:rPr>
          <w:rFonts w:ascii="Times New Roman" w:hAnsi="Times New Roman" w:cs="Times New Roman"/>
          <w:shd w:val="clear" w:color="auto" w:fill="FFFFFF"/>
        </w:rPr>
        <w:t> </w:t>
      </w:r>
      <w:r w:rsidR="00621112" w:rsidRPr="009A217D">
        <w:rPr>
          <w:rFonts w:ascii="Times New Roman" w:hAnsi="Times New Roman" w:cs="Times New Roman"/>
          <w:shd w:val="clear" w:color="auto" w:fill="FFFFFF"/>
        </w:rPr>
        <w:t xml:space="preserve">% de confianza y un error de estimación del </w:t>
      </w:r>
      <w:r w:rsidR="000D2F6C" w:rsidRPr="009A217D">
        <w:rPr>
          <w:rFonts w:ascii="Times New Roman" w:hAnsi="Times New Roman" w:cs="Times New Roman"/>
          <w:shd w:val="clear" w:color="auto" w:fill="FFFFFF"/>
        </w:rPr>
        <w:t>0.07, con probabilidad a favor (</w:t>
      </w:r>
      <w:r w:rsidR="000D2F6C" w:rsidRPr="00421EB7">
        <w:rPr>
          <w:rFonts w:ascii="Times New Roman" w:hAnsi="Times New Roman" w:cs="Times New Roman"/>
          <w:i/>
          <w:iCs/>
          <w:shd w:val="clear" w:color="auto" w:fill="FFFFFF"/>
        </w:rPr>
        <w:t>p</w:t>
      </w:r>
      <w:r w:rsidR="000D2F6C" w:rsidRPr="009A217D">
        <w:rPr>
          <w:rFonts w:ascii="Times New Roman" w:hAnsi="Times New Roman" w:cs="Times New Roman"/>
          <w:shd w:val="clear" w:color="auto" w:fill="FFFFFF"/>
        </w:rPr>
        <w:t>) y probabilidad en contra (</w:t>
      </w:r>
      <w:r w:rsidR="000D2F6C" w:rsidRPr="00421EB7">
        <w:rPr>
          <w:rFonts w:ascii="Times New Roman" w:hAnsi="Times New Roman" w:cs="Times New Roman"/>
          <w:i/>
          <w:iCs/>
          <w:shd w:val="clear" w:color="auto" w:fill="FFFFFF"/>
        </w:rPr>
        <w:t>q</w:t>
      </w:r>
      <w:r w:rsidR="000D2F6C" w:rsidRPr="009A217D">
        <w:rPr>
          <w:rFonts w:ascii="Times New Roman" w:hAnsi="Times New Roman" w:cs="Times New Roman"/>
          <w:shd w:val="clear" w:color="auto" w:fill="FFFFFF"/>
        </w:rPr>
        <w:t>) de 0.5</w:t>
      </w:r>
      <w:r w:rsidR="00B36CBF">
        <w:rPr>
          <w:rFonts w:ascii="Times New Roman" w:hAnsi="Times New Roman" w:cs="Times New Roman"/>
          <w:shd w:val="clear" w:color="auto" w:fill="FFFFFF"/>
        </w:rPr>
        <w:t>,</w:t>
      </w:r>
      <w:r w:rsidR="000D2F6C" w:rsidRPr="009A217D">
        <w:rPr>
          <w:rFonts w:ascii="Times New Roman" w:hAnsi="Times New Roman" w:cs="Times New Roman"/>
          <w:shd w:val="clear" w:color="auto" w:fill="FFFFFF"/>
        </w:rPr>
        <w:t xml:space="preserve"> respectivamente, </w:t>
      </w:r>
      <w:r w:rsidR="00B36CBF">
        <w:rPr>
          <w:rFonts w:ascii="Times New Roman" w:hAnsi="Times New Roman" w:cs="Times New Roman"/>
          <w:shd w:val="clear" w:color="auto" w:fill="FFFFFF"/>
        </w:rPr>
        <w:t xml:space="preserve">y </w:t>
      </w:r>
      <w:r w:rsidR="000D2F6C" w:rsidRPr="009A217D">
        <w:rPr>
          <w:rFonts w:ascii="Times New Roman" w:hAnsi="Times New Roman" w:cs="Times New Roman"/>
          <w:shd w:val="clear" w:color="auto" w:fill="FFFFFF"/>
        </w:rPr>
        <w:t>un registro de 63</w:t>
      </w:r>
      <w:r w:rsidR="00B36CBF">
        <w:rPr>
          <w:rFonts w:ascii="Times New Roman" w:hAnsi="Times New Roman" w:cs="Times New Roman"/>
          <w:shd w:val="clear" w:color="auto" w:fill="FFFFFF"/>
        </w:rPr>
        <w:t> </w:t>
      </w:r>
      <w:r w:rsidR="000D2F6C" w:rsidRPr="009A217D">
        <w:rPr>
          <w:rFonts w:ascii="Times New Roman" w:hAnsi="Times New Roman" w:cs="Times New Roman"/>
          <w:shd w:val="clear" w:color="auto" w:fill="FFFFFF"/>
        </w:rPr>
        <w:t xml:space="preserve">828 </w:t>
      </w:r>
      <w:r w:rsidR="009E7628" w:rsidRPr="009A217D">
        <w:rPr>
          <w:rFonts w:ascii="Times New Roman" w:hAnsi="Times New Roman" w:cs="Times New Roman"/>
          <w:shd w:val="clear" w:color="auto" w:fill="FFFFFF"/>
        </w:rPr>
        <w:t xml:space="preserve">(SEP, 2020) </w:t>
      </w:r>
      <w:r w:rsidR="000D2F6C" w:rsidRPr="009A217D">
        <w:rPr>
          <w:rFonts w:ascii="Times New Roman" w:hAnsi="Times New Roman" w:cs="Times New Roman"/>
          <w:shd w:val="clear" w:color="auto" w:fill="FFFFFF"/>
        </w:rPr>
        <w:t xml:space="preserve">alumnos inscritos (N). La muestra fue calculada con la fórmula para poblaciones finitas </w:t>
      </w:r>
      <w:r w:rsidR="000D2F6C" w:rsidRPr="009A217D">
        <w:rPr>
          <w:rFonts w:ascii="Times New Roman" w:hAnsi="Times New Roman" w:cs="Times New Roman"/>
          <w:noProof/>
          <w:color w:val="000000" w:themeColor="text1"/>
          <w:lang w:val="es-ES"/>
        </w:rPr>
        <w:t>(Torres, Paz</w:t>
      </w:r>
      <w:r w:rsidR="00B36CBF">
        <w:rPr>
          <w:rFonts w:ascii="Times New Roman" w:hAnsi="Times New Roman" w:cs="Times New Roman"/>
          <w:noProof/>
          <w:color w:val="000000" w:themeColor="text1"/>
          <w:lang w:val="es-ES"/>
        </w:rPr>
        <w:t xml:space="preserve"> y</w:t>
      </w:r>
      <w:r w:rsidR="000D2F6C" w:rsidRPr="009A217D">
        <w:rPr>
          <w:rFonts w:ascii="Times New Roman" w:hAnsi="Times New Roman" w:cs="Times New Roman"/>
          <w:noProof/>
          <w:color w:val="000000" w:themeColor="text1"/>
          <w:lang w:val="es-ES"/>
        </w:rPr>
        <w:t xml:space="preserve"> Salazar, 2006)</w:t>
      </w:r>
      <w:r w:rsidR="000D2F6C" w:rsidRPr="009A217D">
        <w:rPr>
          <w:rFonts w:ascii="Times New Roman" w:hAnsi="Times New Roman" w:cs="Times New Roman"/>
          <w:color w:val="000000" w:themeColor="text1"/>
        </w:rPr>
        <w:t>:</w:t>
      </w:r>
    </w:p>
    <w:p w14:paraId="2AF2679D" w14:textId="27C248C1" w:rsidR="000D2F6C" w:rsidRDefault="000D2F6C" w:rsidP="00FF6D96">
      <w:pPr>
        <w:tabs>
          <w:tab w:val="left" w:pos="709"/>
        </w:tabs>
        <w:spacing w:line="360" w:lineRule="auto"/>
        <w:jc w:val="center"/>
        <w:rPr>
          <w:rFonts w:ascii="Times New Roman" w:hAnsi="Times New Roman" w:cs="Times New Roman"/>
          <w:color w:val="000000" w:themeColor="text1"/>
        </w:rPr>
      </w:pPr>
      <m:oMath>
        <m:r>
          <w:rPr>
            <w:rFonts w:ascii="Cambria Math" w:hAnsi="Cambria Math" w:cs="Times New Roman"/>
            <w:color w:val="000000" w:themeColor="text1"/>
          </w:rPr>
          <m:t xml:space="preserve">n= </m:t>
        </m:r>
        <m:f>
          <m:fPr>
            <m:ctrlPr>
              <w:rPr>
                <w:rFonts w:ascii="Cambria Math" w:hAnsi="Cambria Math" w:cs="Times New Roman"/>
                <w:i/>
                <w:color w:val="000000" w:themeColor="text1"/>
              </w:rPr>
            </m:ctrlPr>
          </m:fPr>
          <m:num>
            <m:r>
              <w:rPr>
                <w:rFonts w:ascii="Cambria Math" w:hAnsi="Cambria Math" w:cs="Times New Roman"/>
                <w:color w:val="000000" w:themeColor="text1"/>
              </w:rPr>
              <m:t>N</m:t>
            </m:r>
            <m:sSup>
              <m:sSupPr>
                <m:ctrlPr>
                  <w:rPr>
                    <w:rFonts w:ascii="Cambria Math" w:hAnsi="Cambria Math" w:cs="Times New Roman"/>
                    <w:i/>
                    <w:color w:val="000000" w:themeColor="text1"/>
                  </w:rPr>
                </m:ctrlPr>
              </m:sSupPr>
              <m:e>
                <m:sSub>
                  <m:sSubPr>
                    <m:ctrlPr>
                      <w:rPr>
                        <w:rFonts w:ascii="Cambria Math" w:hAnsi="Cambria Math" w:cs="Times New Roman"/>
                        <w:i/>
                        <w:color w:val="000000" w:themeColor="text1"/>
                      </w:rPr>
                    </m:ctrlPr>
                  </m:sSubPr>
                  <m:e>
                    <m:r>
                      <w:rPr>
                        <w:rFonts w:ascii="Cambria Math" w:hAnsi="Cambria Math" w:cs="Times New Roman"/>
                        <w:color w:val="000000" w:themeColor="text1"/>
                      </w:rPr>
                      <m:t xml:space="preserve"> Z</m:t>
                    </m:r>
                  </m:e>
                  <m:sub>
                    <m:r>
                      <w:rPr>
                        <w:rFonts w:ascii="Cambria Math" w:hAnsi="Cambria Math" w:cs="Times New Roman"/>
                        <w:color w:val="000000" w:themeColor="text1"/>
                      </w:rPr>
                      <m:t>a</m:t>
                    </m:r>
                  </m:sub>
                </m:sSub>
              </m:e>
              <m:sup>
                <m:r>
                  <w:rPr>
                    <w:rFonts w:ascii="Cambria Math" w:hAnsi="Cambria Math" w:cs="Times New Roman"/>
                    <w:color w:val="000000" w:themeColor="text1"/>
                  </w:rPr>
                  <m:t>2</m:t>
                </m:r>
              </m:sup>
            </m:sSup>
            <m:r>
              <w:rPr>
                <w:rFonts w:ascii="Cambria Math" w:hAnsi="Cambria Math" w:cs="Times New Roman"/>
                <w:color w:val="000000" w:themeColor="text1"/>
              </w:rPr>
              <m:t xml:space="preserve"> p q</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m:t>
                </m:r>
              </m:sup>
            </m:sSup>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N-1</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sSub>
                  <m:sSubPr>
                    <m:ctrlPr>
                      <w:rPr>
                        <w:rFonts w:ascii="Cambria Math" w:hAnsi="Cambria Math" w:cs="Times New Roman"/>
                        <w:i/>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a</m:t>
                    </m:r>
                  </m:sub>
                </m:sSub>
              </m:e>
              <m:sup>
                <m:r>
                  <w:rPr>
                    <w:rFonts w:ascii="Cambria Math" w:hAnsi="Cambria Math" w:cs="Times New Roman"/>
                    <w:color w:val="000000" w:themeColor="text1"/>
                  </w:rPr>
                  <m:t>2</m:t>
                </m:r>
              </m:sup>
            </m:sSup>
            <m:r>
              <w:rPr>
                <w:rFonts w:ascii="Cambria Math" w:hAnsi="Cambria Math" w:cs="Times New Roman"/>
                <w:color w:val="000000" w:themeColor="text1"/>
              </w:rPr>
              <m:t xml:space="preserve"> p q</m:t>
            </m:r>
          </m:den>
        </m:f>
      </m:oMath>
      <w:r w:rsidRPr="00BD36BD">
        <w:rPr>
          <w:rFonts w:ascii="Times New Roman" w:hAnsi="Times New Roman" w:cs="Times New Roman"/>
          <w:color w:val="000000" w:themeColor="text1"/>
        </w:rPr>
        <w:t xml:space="preserve"> = </w:t>
      </w:r>
      <w:r w:rsidR="00E75AFC">
        <w:rPr>
          <w:rFonts w:ascii="Times New Roman" w:hAnsi="Times New Roman" w:cs="Times New Roman"/>
          <w:color w:val="000000" w:themeColor="text1"/>
        </w:rPr>
        <w:t>199</w:t>
      </w:r>
    </w:p>
    <w:p w14:paraId="123EA1B7" w14:textId="4C7F2AAD" w:rsidR="00BD36BD" w:rsidRPr="00A63B6D" w:rsidRDefault="00DA491A" w:rsidP="00421EB7">
      <w:pPr>
        <w:tabs>
          <w:tab w:val="left" w:pos="709"/>
        </w:tabs>
        <w:spacing w:line="360" w:lineRule="auto"/>
        <w:jc w:val="both"/>
        <w:rPr>
          <w:rFonts w:ascii="Times New Roman" w:hAnsi="Times New Roman" w:cs="Times New Roman"/>
        </w:rPr>
      </w:pPr>
      <w:r>
        <w:rPr>
          <w:rFonts w:ascii="Times New Roman" w:hAnsi="Times New Roman" w:cs="Times New Roman"/>
        </w:rPr>
        <w:tab/>
      </w:r>
      <w:r w:rsidR="00BD36BD" w:rsidRPr="00A63B6D">
        <w:rPr>
          <w:rFonts w:ascii="Times New Roman" w:hAnsi="Times New Roman" w:cs="Times New Roman"/>
        </w:rPr>
        <w:t xml:space="preserve">El instrumento fue un cuestionario que integró </w:t>
      </w:r>
      <w:r w:rsidR="007D61AD">
        <w:rPr>
          <w:rFonts w:ascii="Times New Roman" w:hAnsi="Times New Roman" w:cs="Times New Roman"/>
        </w:rPr>
        <w:t>cinco</w:t>
      </w:r>
      <w:r w:rsidR="007D61AD" w:rsidRPr="00A63B6D">
        <w:rPr>
          <w:rFonts w:ascii="Times New Roman" w:hAnsi="Times New Roman" w:cs="Times New Roman"/>
        </w:rPr>
        <w:t xml:space="preserve"> </w:t>
      </w:r>
      <w:r w:rsidR="00BD36BD" w:rsidRPr="00A63B6D">
        <w:rPr>
          <w:rFonts w:ascii="Times New Roman" w:hAnsi="Times New Roman" w:cs="Times New Roman"/>
        </w:rPr>
        <w:t xml:space="preserve">dimensiones (con </w:t>
      </w:r>
      <w:r w:rsidR="007D61AD">
        <w:rPr>
          <w:rFonts w:ascii="Times New Roman" w:hAnsi="Times New Roman" w:cs="Times New Roman"/>
        </w:rPr>
        <w:t xml:space="preserve">una </w:t>
      </w:r>
      <w:r w:rsidR="00BD36BD" w:rsidRPr="00A63B6D">
        <w:rPr>
          <w:rFonts w:ascii="Times New Roman" w:hAnsi="Times New Roman" w:cs="Times New Roman"/>
        </w:rPr>
        <w:t xml:space="preserve">escala </w:t>
      </w:r>
      <w:r w:rsidR="007D61AD">
        <w:rPr>
          <w:rFonts w:ascii="Times New Roman" w:hAnsi="Times New Roman" w:cs="Times New Roman"/>
        </w:rPr>
        <w:t xml:space="preserve">de </w:t>
      </w:r>
      <w:r w:rsidR="00BD36BD" w:rsidRPr="00A63B6D">
        <w:rPr>
          <w:rFonts w:ascii="Times New Roman" w:hAnsi="Times New Roman" w:cs="Times New Roman"/>
        </w:rPr>
        <w:t xml:space="preserve">Likert [tabla 2]) y </w:t>
      </w:r>
      <w:r w:rsidR="007D61AD">
        <w:rPr>
          <w:rFonts w:ascii="Times New Roman" w:hAnsi="Times New Roman" w:cs="Times New Roman"/>
        </w:rPr>
        <w:t>las</w:t>
      </w:r>
      <w:r w:rsidR="007D61AD" w:rsidRPr="00A63B6D">
        <w:rPr>
          <w:rFonts w:ascii="Times New Roman" w:hAnsi="Times New Roman" w:cs="Times New Roman"/>
        </w:rPr>
        <w:t xml:space="preserve"> </w:t>
      </w:r>
      <w:r w:rsidR="00BD36BD" w:rsidRPr="00A63B6D">
        <w:rPr>
          <w:rFonts w:ascii="Times New Roman" w:hAnsi="Times New Roman" w:cs="Times New Roman"/>
        </w:rPr>
        <w:t>generalidades del sujeto de estudio.</w:t>
      </w:r>
    </w:p>
    <w:p w14:paraId="7916594D" w14:textId="77777777" w:rsidR="00BD36BD" w:rsidRDefault="00BD36BD" w:rsidP="00FF6D96">
      <w:pPr>
        <w:tabs>
          <w:tab w:val="left" w:pos="709"/>
        </w:tabs>
        <w:spacing w:line="360" w:lineRule="auto"/>
      </w:pPr>
    </w:p>
    <w:p w14:paraId="5F89FCF3" w14:textId="53370C4D" w:rsidR="000D2F6C" w:rsidRPr="00A63B6D" w:rsidRDefault="000D2F6C" w:rsidP="00FF6D96">
      <w:pPr>
        <w:spacing w:line="360" w:lineRule="auto"/>
        <w:jc w:val="center"/>
        <w:rPr>
          <w:rFonts w:ascii="Times New Roman" w:hAnsi="Times New Roman" w:cs="Times New Roman"/>
        </w:rPr>
      </w:pPr>
      <w:r w:rsidRPr="00DA11F9">
        <w:rPr>
          <w:rFonts w:ascii="Times New Roman" w:hAnsi="Times New Roman" w:cs="Times New Roman"/>
          <w:b/>
        </w:rPr>
        <w:t xml:space="preserve">Tabla </w:t>
      </w:r>
      <w:r w:rsidR="00A63B6D" w:rsidRPr="00DA11F9">
        <w:rPr>
          <w:rFonts w:ascii="Times New Roman" w:hAnsi="Times New Roman" w:cs="Times New Roman"/>
          <w:b/>
        </w:rPr>
        <w:t>2</w:t>
      </w:r>
      <w:r w:rsidRPr="00A63B6D">
        <w:rPr>
          <w:rFonts w:ascii="Times New Roman" w:hAnsi="Times New Roman" w:cs="Times New Roman"/>
        </w:rPr>
        <w:t>. Dimensiones determinadas en el cuestionario aplicado</w:t>
      </w:r>
    </w:p>
    <w:tbl>
      <w:tblPr>
        <w:tblStyle w:val="Tablanormal2"/>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506"/>
        <w:gridCol w:w="1897"/>
        <w:gridCol w:w="2616"/>
      </w:tblGrid>
      <w:tr w:rsidR="000D2F6C" w:rsidRPr="00421EB7" w14:paraId="27F8F0F0" w14:textId="77777777" w:rsidTr="00523D0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272" w:type="dxa"/>
            <w:tcBorders>
              <w:bottom w:val="none" w:sz="0" w:space="0" w:color="auto"/>
            </w:tcBorders>
            <w:vAlign w:val="center"/>
          </w:tcPr>
          <w:p w14:paraId="4BB9E5FF"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Dimensión</w:t>
            </w:r>
          </w:p>
        </w:tc>
        <w:tc>
          <w:tcPr>
            <w:tcW w:w="2506" w:type="dxa"/>
            <w:tcBorders>
              <w:bottom w:val="none" w:sz="0" w:space="0" w:color="auto"/>
            </w:tcBorders>
          </w:tcPr>
          <w:p w14:paraId="35B93ACF" w14:textId="77777777" w:rsidR="000D2F6C" w:rsidRPr="00421EB7" w:rsidRDefault="000D2F6C"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1EB7">
              <w:rPr>
                <w:rFonts w:ascii="Times New Roman" w:hAnsi="Times New Roman" w:cs="Times New Roman"/>
                <w:b w:val="0"/>
                <w:bCs w:val="0"/>
              </w:rPr>
              <w:t>Enfoque</w:t>
            </w:r>
          </w:p>
        </w:tc>
        <w:tc>
          <w:tcPr>
            <w:tcW w:w="1897" w:type="dxa"/>
            <w:tcBorders>
              <w:bottom w:val="none" w:sz="0" w:space="0" w:color="auto"/>
            </w:tcBorders>
          </w:tcPr>
          <w:p w14:paraId="1E11E281" w14:textId="77777777" w:rsidR="000D2F6C" w:rsidRPr="00421EB7" w:rsidRDefault="000D2F6C"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1EB7">
              <w:rPr>
                <w:rFonts w:ascii="Times New Roman" w:hAnsi="Times New Roman" w:cs="Times New Roman"/>
                <w:b w:val="0"/>
                <w:bCs w:val="0"/>
              </w:rPr>
              <w:t xml:space="preserve">Indicador </w:t>
            </w:r>
          </w:p>
        </w:tc>
        <w:tc>
          <w:tcPr>
            <w:tcW w:w="2616" w:type="dxa"/>
            <w:tcBorders>
              <w:bottom w:val="none" w:sz="0" w:space="0" w:color="auto"/>
            </w:tcBorders>
            <w:vAlign w:val="center"/>
          </w:tcPr>
          <w:p w14:paraId="2F2B3765" w14:textId="4594FBB9" w:rsidR="000D2F6C" w:rsidRPr="00421EB7" w:rsidRDefault="000D2F6C"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21EB7">
              <w:rPr>
                <w:rFonts w:ascii="Times New Roman" w:hAnsi="Times New Roman" w:cs="Times New Roman"/>
                <w:b w:val="0"/>
                <w:bCs w:val="0"/>
              </w:rPr>
              <w:t>N</w:t>
            </w:r>
            <w:r w:rsidR="00076411" w:rsidRPr="00421EB7">
              <w:rPr>
                <w:rFonts w:ascii="Times New Roman" w:hAnsi="Times New Roman" w:cs="Times New Roman"/>
                <w:b w:val="0"/>
                <w:bCs w:val="0"/>
              </w:rPr>
              <w:t>úm.</w:t>
            </w:r>
            <w:r w:rsidRPr="00421EB7">
              <w:rPr>
                <w:rFonts w:ascii="Times New Roman" w:hAnsi="Times New Roman" w:cs="Times New Roman"/>
                <w:b w:val="0"/>
                <w:bCs w:val="0"/>
              </w:rPr>
              <w:t xml:space="preserve"> de ítem</w:t>
            </w:r>
          </w:p>
        </w:tc>
      </w:tr>
      <w:tr w:rsidR="000D2F6C" w:rsidRPr="00421EB7" w14:paraId="17E9FE26" w14:textId="77777777" w:rsidTr="00523D0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72" w:type="dxa"/>
            <w:tcBorders>
              <w:top w:val="none" w:sz="0" w:space="0" w:color="auto"/>
              <w:bottom w:val="none" w:sz="0" w:space="0" w:color="auto"/>
            </w:tcBorders>
            <w:vAlign w:val="center"/>
          </w:tcPr>
          <w:p w14:paraId="143FF976"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Estrategias de enseñanza</w:t>
            </w:r>
          </w:p>
        </w:tc>
        <w:tc>
          <w:tcPr>
            <w:tcW w:w="2506" w:type="dxa"/>
            <w:tcBorders>
              <w:top w:val="none" w:sz="0" w:space="0" w:color="auto"/>
              <w:bottom w:val="none" w:sz="0" w:space="0" w:color="auto"/>
            </w:tcBorders>
            <w:vAlign w:val="center"/>
          </w:tcPr>
          <w:p w14:paraId="7551E846"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Instrucción del profesor</w:t>
            </w:r>
          </w:p>
        </w:tc>
        <w:tc>
          <w:tcPr>
            <w:tcW w:w="1897" w:type="dxa"/>
            <w:vMerge w:val="restart"/>
            <w:tcBorders>
              <w:top w:val="none" w:sz="0" w:space="0" w:color="auto"/>
              <w:bottom w:val="none" w:sz="0" w:space="0" w:color="auto"/>
            </w:tcBorders>
            <w:vAlign w:val="center"/>
          </w:tcPr>
          <w:p w14:paraId="6248BF69"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Saber</w:t>
            </w:r>
          </w:p>
        </w:tc>
        <w:tc>
          <w:tcPr>
            <w:tcW w:w="2616" w:type="dxa"/>
            <w:tcBorders>
              <w:top w:val="none" w:sz="0" w:space="0" w:color="auto"/>
              <w:bottom w:val="none" w:sz="0" w:space="0" w:color="auto"/>
            </w:tcBorders>
            <w:vAlign w:val="center"/>
          </w:tcPr>
          <w:p w14:paraId="1BE41443" w14:textId="0362D1B1"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1,</w:t>
            </w:r>
            <w:r w:rsidR="00076411" w:rsidRPr="00421EB7">
              <w:rPr>
                <w:rFonts w:ascii="Times New Roman" w:hAnsi="Times New Roman" w:cs="Times New Roman"/>
              </w:rPr>
              <w:t xml:space="preserve"> </w:t>
            </w:r>
            <w:r w:rsidRPr="00421EB7">
              <w:rPr>
                <w:rFonts w:ascii="Times New Roman" w:hAnsi="Times New Roman" w:cs="Times New Roman"/>
              </w:rPr>
              <w:t>2, 15,</w:t>
            </w:r>
            <w:r w:rsidR="00076411" w:rsidRPr="00421EB7">
              <w:rPr>
                <w:rFonts w:ascii="Times New Roman" w:hAnsi="Times New Roman" w:cs="Times New Roman"/>
              </w:rPr>
              <w:t xml:space="preserve"> </w:t>
            </w:r>
            <w:r w:rsidRPr="00421EB7">
              <w:rPr>
                <w:rFonts w:ascii="Times New Roman" w:hAnsi="Times New Roman" w:cs="Times New Roman"/>
              </w:rPr>
              <w:t>17, 28</w:t>
            </w:r>
          </w:p>
        </w:tc>
      </w:tr>
      <w:tr w:rsidR="000D2F6C" w:rsidRPr="00421EB7" w14:paraId="4BD05114" w14:textId="77777777" w:rsidTr="00523D04">
        <w:trPr>
          <w:trHeight w:val="543"/>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06C7A6F0"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Calidad</w:t>
            </w:r>
          </w:p>
        </w:tc>
        <w:tc>
          <w:tcPr>
            <w:tcW w:w="2506" w:type="dxa"/>
            <w:vAlign w:val="center"/>
          </w:tcPr>
          <w:p w14:paraId="345C0254" w14:textId="77777777"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Actividades, tareas, proyectos (alumnado)</w:t>
            </w:r>
          </w:p>
        </w:tc>
        <w:tc>
          <w:tcPr>
            <w:tcW w:w="1897" w:type="dxa"/>
            <w:vMerge/>
            <w:vAlign w:val="center"/>
          </w:tcPr>
          <w:p w14:paraId="48D232BF" w14:textId="77777777"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616" w:type="dxa"/>
            <w:vAlign w:val="center"/>
          </w:tcPr>
          <w:p w14:paraId="42F1A83F" w14:textId="04E32920"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10,</w:t>
            </w:r>
            <w:r w:rsidR="00076411" w:rsidRPr="00421EB7">
              <w:rPr>
                <w:rFonts w:ascii="Times New Roman" w:hAnsi="Times New Roman" w:cs="Times New Roman"/>
              </w:rPr>
              <w:t xml:space="preserve"> </w:t>
            </w:r>
            <w:r w:rsidRPr="00421EB7">
              <w:rPr>
                <w:rFonts w:ascii="Times New Roman" w:hAnsi="Times New Roman" w:cs="Times New Roman"/>
              </w:rPr>
              <w:t>11,</w:t>
            </w:r>
            <w:r w:rsidR="00076411" w:rsidRPr="00421EB7">
              <w:rPr>
                <w:rFonts w:ascii="Times New Roman" w:hAnsi="Times New Roman" w:cs="Times New Roman"/>
              </w:rPr>
              <w:t xml:space="preserve"> </w:t>
            </w:r>
            <w:r w:rsidRPr="00421EB7">
              <w:rPr>
                <w:rFonts w:ascii="Times New Roman" w:hAnsi="Times New Roman" w:cs="Times New Roman"/>
              </w:rPr>
              <w:t>22,</w:t>
            </w:r>
            <w:r w:rsidR="00076411" w:rsidRPr="00421EB7">
              <w:rPr>
                <w:rFonts w:ascii="Times New Roman" w:hAnsi="Times New Roman" w:cs="Times New Roman"/>
              </w:rPr>
              <w:t xml:space="preserve"> </w:t>
            </w:r>
            <w:r w:rsidRPr="00421EB7">
              <w:rPr>
                <w:rFonts w:ascii="Times New Roman" w:hAnsi="Times New Roman" w:cs="Times New Roman"/>
              </w:rPr>
              <w:t>23,</w:t>
            </w:r>
            <w:r w:rsidR="00076411" w:rsidRPr="00421EB7">
              <w:rPr>
                <w:rFonts w:ascii="Times New Roman" w:hAnsi="Times New Roman" w:cs="Times New Roman"/>
              </w:rPr>
              <w:t xml:space="preserve"> </w:t>
            </w:r>
            <w:r w:rsidRPr="00421EB7">
              <w:rPr>
                <w:rFonts w:ascii="Times New Roman" w:hAnsi="Times New Roman" w:cs="Times New Roman"/>
              </w:rPr>
              <w:t>24,</w:t>
            </w:r>
            <w:r w:rsidR="00076411" w:rsidRPr="00421EB7">
              <w:rPr>
                <w:rFonts w:ascii="Times New Roman" w:hAnsi="Times New Roman" w:cs="Times New Roman"/>
              </w:rPr>
              <w:t xml:space="preserve"> </w:t>
            </w:r>
            <w:r w:rsidRPr="00421EB7">
              <w:rPr>
                <w:rFonts w:ascii="Times New Roman" w:hAnsi="Times New Roman" w:cs="Times New Roman"/>
              </w:rPr>
              <w:t>25,</w:t>
            </w:r>
            <w:r w:rsidR="00076411" w:rsidRPr="00421EB7">
              <w:rPr>
                <w:rFonts w:ascii="Times New Roman" w:hAnsi="Times New Roman" w:cs="Times New Roman"/>
              </w:rPr>
              <w:t xml:space="preserve"> </w:t>
            </w:r>
            <w:r w:rsidRPr="00421EB7">
              <w:rPr>
                <w:rFonts w:ascii="Times New Roman" w:hAnsi="Times New Roman" w:cs="Times New Roman"/>
              </w:rPr>
              <w:t>26</w:t>
            </w:r>
          </w:p>
        </w:tc>
      </w:tr>
      <w:tr w:rsidR="000D2F6C" w:rsidRPr="00421EB7" w14:paraId="459B6342" w14:textId="77777777" w:rsidTr="00523D0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72" w:type="dxa"/>
            <w:tcBorders>
              <w:top w:val="none" w:sz="0" w:space="0" w:color="auto"/>
              <w:bottom w:val="none" w:sz="0" w:space="0" w:color="auto"/>
            </w:tcBorders>
            <w:vAlign w:val="center"/>
          </w:tcPr>
          <w:p w14:paraId="11C33E17"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Disposición</w:t>
            </w:r>
          </w:p>
        </w:tc>
        <w:tc>
          <w:tcPr>
            <w:tcW w:w="2506" w:type="dxa"/>
            <w:tcBorders>
              <w:top w:val="none" w:sz="0" w:space="0" w:color="auto"/>
              <w:bottom w:val="none" w:sz="0" w:space="0" w:color="auto"/>
            </w:tcBorders>
            <w:vAlign w:val="center"/>
          </w:tcPr>
          <w:p w14:paraId="0A31B952"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Aprendizaje del alumno</w:t>
            </w:r>
          </w:p>
        </w:tc>
        <w:tc>
          <w:tcPr>
            <w:tcW w:w="1897" w:type="dxa"/>
            <w:vMerge w:val="restart"/>
            <w:tcBorders>
              <w:top w:val="none" w:sz="0" w:space="0" w:color="auto"/>
              <w:bottom w:val="none" w:sz="0" w:space="0" w:color="auto"/>
            </w:tcBorders>
            <w:vAlign w:val="center"/>
          </w:tcPr>
          <w:p w14:paraId="309F44C6"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Hacer</w:t>
            </w:r>
          </w:p>
        </w:tc>
        <w:tc>
          <w:tcPr>
            <w:tcW w:w="2616" w:type="dxa"/>
            <w:tcBorders>
              <w:top w:val="none" w:sz="0" w:space="0" w:color="auto"/>
              <w:bottom w:val="none" w:sz="0" w:space="0" w:color="auto"/>
            </w:tcBorders>
            <w:vAlign w:val="center"/>
          </w:tcPr>
          <w:p w14:paraId="691E2C6E" w14:textId="581CC63F"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3,</w:t>
            </w:r>
            <w:r w:rsidR="00076411" w:rsidRPr="00421EB7">
              <w:rPr>
                <w:rFonts w:ascii="Times New Roman" w:hAnsi="Times New Roman" w:cs="Times New Roman"/>
              </w:rPr>
              <w:t xml:space="preserve"> </w:t>
            </w:r>
            <w:r w:rsidRPr="00421EB7">
              <w:rPr>
                <w:rFonts w:ascii="Times New Roman" w:hAnsi="Times New Roman" w:cs="Times New Roman"/>
              </w:rPr>
              <w:t>4,</w:t>
            </w:r>
            <w:r w:rsidR="00076411" w:rsidRPr="00421EB7">
              <w:rPr>
                <w:rFonts w:ascii="Times New Roman" w:hAnsi="Times New Roman" w:cs="Times New Roman"/>
              </w:rPr>
              <w:t xml:space="preserve"> </w:t>
            </w:r>
            <w:r w:rsidRPr="00421EB7">
              <w:rPr>
                <w:rFonts w:ascii="Times New Roman" w:hAnsi="Times New Roman" w:cs="Times New Roman"/>
              </w:rPr>
              <w:t>5,</w:t>
            </w:r>
            <w:r w:rsidR="00076411" w:rsidRPr="00421EB7">
              <w:rPr>
                <w:rFonts w:ascii="Times New Roman" w:hAnsi="Times New Roman" w:cs="Times New Roman"/>
              </w:rPr>
              <w:t xml:space="preserve"> </w:t>
            </w:r>
            <w:r w:rsidRPr="00421EB7">
              <w:rPr>
                <w:rFonts w:ascii="Times New Roman" w:hAnsi="Times New Roman" w:cs="Times New Roman"/>
              </w:rPr>
              <w:t>7,</w:t>
            </w:r>
            <w:r w:rsidR="00076411" w:rsidRPr="00421EB7">
              <w:rPr>
                <w:rFonts w:ascii="Times New Roman" w:hAnsi="Times New Roman" w:cs="Times New Roman"/>
              </w:rPr>
              <w:t xml:space="preserve"> </w:t>
            </w:r>
            <w:r w:rsidRPr="00421EB7">
              <w:rPr>
                <w:rFonts w:ascii="Times New Roman" w:hAnsi="Times New Roman" w:cs="Times New Roman"/>
              </w:rPr>
              <w:t>8,</w:t>
            </w:r>
            <w:r w:rsidR="00076411" w:rsidRPr="00421EB7">
              <w:rPr>
                <w:rFonts w:ascii="Times New Roman" w:hAnsi="Times New Roman" w:cs="Times New Roman"/>
              </w:rPr>
              <w:t xml:space="preserve"> </w:t>
            </w:r>
            <w:r w:rsidRPr="00421EB7">
              <w:rPr>
                <w:rFonts w:ascii="Times New Roman" w:hAnsi="Times New Roman" w:cs="Times New Roman"/>
              </w:rPr>
              <w:t>18,</w:t>
            </w:r>
            <w:r w:rsidR="00076411" w:rsidRPr="00421EB7">
              <w:rPr>
                <w:rFonts w:ascii="Times New Roman" w:hAnsi="Times New Roman" w:cs="Times New Roman"/>
              </w:rPr>
              <w:t xml:space="preserve"> </w:t>
            </w:r>
            <w:r w:rsidRPr="00421EB7">
              <w:rPr>
                <w:rFonts w:ascii="Times New Roman" w:hAnsi="Times New Roman" w:cs="Times New Roman"/>
              </w:rPr>
              <w:t>19,</w:t>
            </w:r>
            <w:r w:rsidR="00076411" w:rsidRPr="00421EB7">
              <w:rPr>
                <w:rFonts w:ascii="Times New Roman" w:hAnsi="Times New Roman" w:cs="Times New Roman"/>
              </w:rPr>
              <w:t xml:space="preserve"> </w:t>
            </w:r>
            <w:r w:rsidRPr="00421EB7">
              <w:rPr>
                <w:rFonts w:ascii="Times New Roman" w:hAnsi="Times New Roman" w:cs="Times New Roman"/>
              </w:rPr>
              <w:t>20</w:t>
            </w:r>
          </w:p>
        </w:tc>
      </w:tr>
      <w:tr w:rsidR="000D2F6C" w:rsidRPr="00421EB7" w14:paraId="462EF4C6" w14:textId="77777777" w:rsidTr="00523D04">
        <w:trPr>
          <w:trHeight w:val="362"/>
        </w:trPr>
        <w:tc>
          <w:tcPr>
            <w:cnfStyle w:val="001000000000" w:firstRow="0" w:lastRow="0" w:firstColumn="1" w:lastColumn="0" w:oddVBand="0" w:evenVBand="0" w:oddHBand="0" w:evenHBand="0" w:firstRowFirstColumn="0" w:firstRowLastColumn="0" w:lastRowFirstColumn="0" w:lastRowLastColumn="0"/>
            <w:tcW w:w="2272" w:type="dxa"/>
            <w:vAlign w:val="center"/>
          </w:tcPr>
          <w:p w14:paraId="753BB902"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Estrategias de aprendizaje</w:t>
            </w:r>
          </w:p>
        </w:tc>
        <w:tc>
          <w:tcPr>
            <w:tcW w:w="2506" w:type="dxa"/>
            <w:vAlign w:val="center"/>
          </w:tcPr>
          <w:p w14:paraId="0F35805C" w14:textId="77777777"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Aprendizaje-alumno</w:t>
            </w:r>
          </w:p>
        </w:tc>
        <w:tc>
          <w:tcPr>
            <w:tcW w:w="1897" w:type="dxa"/>
            <w:vMerge/>
          </w:tcPr>
          <w:p w14:paraId="1289FC00" w14:textId="77777777"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616" w:type="dxa"/>
            <w:vAlign w:val="center"/>
          </w:tcPr>
          <w:p w14:paraId="529556C7" w14:textId="0E8AEB96" w:rsidR="000D2F6C" w:rsidRPr="00421EB7" w:rsidRDefault="000D2F6C"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9,</w:t>
            </w:r>
            <w:r w:rsidR="00076411" w:rsidRPr="00421EB7">
              <w:rPr>
                <w:rFonts w:ascii="Times New Roman" w:hAnsi="Times New Roman" w:cs="Times New Roman"/>
              </w:rPr>
              <w:t xml:space="preserve"> </w:t>
            </w:r>
            <w:r w:rsidRPr="00421EB7">
              <w:rPr>
                <w:rFonts w:ascii="Times New Roman" w:hAnsi="Times New Roman" w:cs="Times New Roman"/>
              </w:rPr>
              <w:t>12,</w:t>
            </w:r>
            <w:r w:rsidR="00076411" w:rsidRPr="00421EB7">
              <w:rPr>
                <w:rFonts w:ascii="Times New Roman" w:hAnsi="Times New Roman" w:cs="Times New Roman"/>
              </w:rPr>
              <w:t xml:space="preserve"> </w:t>
            </w:r>
            <w:r w:rsidRPr="00421EB7">
              <w:rPr>
                <w:rFonts w:ascii="Times New Roman" w:hAnsi="Times New Roman" w:cs="Times New Roman"/>
              </w:rPr>
              <w:t>14,</w:t>
            </w:r>
            <w:r w:rsidR="00076411" w:rsidRPr="00421EB7">
              <w:rPr>
                <w:rFonts w:ascii="Times New Roman" w:hAnsi="Times New Roman" w:cs="Times New Roman"/>
              </w:rPr>
              <w:t xml:space="preserve"> </w:t>
            </w:r>
            <w:r w:rsidRPr="00421EB7">
              <w:rPr>
                <w:rFonts w:ascii="Times New Roman" w:hAnsi="Times New Roman" w:cs="Times New Roman"/>
              </w:rPr>
              <w:t>27,</w:t>
            </w:r>
            <w:r w:rsidR="00076411" w:rsidRPr="00421EB7">
              <w:rPr>
                <w:rFonts w:ascii="Times New Roman" w:hAnsi="Times New Roman" w:cs="Times New Roman"/>
              </w:rPr>
              <w:t xml:space="preserve"> </w:t>
            </w:r>
            <w:r w:rsidRPr="00421EB7">
              <w:rPr>
                <w:rFonts w:ascii="Times New Roman" w:hAnsi="Times New Roman" w:cs="Times New Roman"/>
              </w:rPr>
              <w:t>29</w:t>
            </w:r>
          </w:p>
        </w:tc>
      </w:tr>
      <w:tr w:rsidR="000D2F6C" w:rsidRPr="00421EB7" w14:paraId="3890CB32" w14:textId="77777777" w:rsidTr="00523D0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72" w:type="dxa"/>
            <w:tcBorders>
              <w:top w:val="none" w:sz="0" w:space="0" w:color="auto"/>
              <w:bottom w:val="none" w:sz="0" w:space="0" w:color="auto"/>
            </w:tcBorders>
            <w:vAlign w:val="center"/>
          </w:tcPr>
          <w:p w14:paraId="127119AA" w14:textId="77777777" w:rsidR="000D2F6C" w:rsidRPr="00421EB7" w:rsidRDefault="000D2F6C" w:rsidP="00FF6D96">
            <w:pPr>
              <w:spacing w:line="360" w:lineRule="auto"/>
              <w:rPr>
                <w:rFonts w:ascii="Times New Roman" w:hAnsi="Times New Roman" w:cs="Times New Roman"/>
                <w:b w:val="0"/>
                <w:bCs w:val="0"/>
              </w:rPr>
            </w:pPr>
            <w:r w:rsidRPr="00421EB7">
              <w:rPr>
                <w:rFonts w:ascii="Times New Roman" w:hAnsi="Times New Roman" w:cs="Times New Roman"/>
                <w:b w:val="0"/>
                <w:bCs w:val="0"/>
              </w:rPr>
              <w:t>Investigación</w:t>
            </w:r>
          </w:p>
        </w:tc>
        <w:tc>
          <w:tcPr>
            <w:tcW w:w="2506" w:type="dxa"/>
            <w:tcBorders>
              <w:top w:val="none" w:sz="0" w:space="0" w:color="auto"/>
              <w:bottom w:val="none" w:sz="0" w:space="0" w:color="auto"/>
            </w:tcBorders>
            <w:vAlign w:val="center"/>
          </w:tcPr>
          <w:p w14:paraId="17F2380C"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Interés por parte del alumno</w:t>
            </w:r>
          </w:p>
        </w:tc>
        <w:tc>
          <w:tcPr>
            <w:tcW w:w="1897" w:type="dxa"/>
            <w:vMerge/>
            <w:tcBorders>
              <w:top w:val="none" w:sz="0" w:space="0" w:color="auto"/>
              <w:bottom w:val="none" w:sz="0" w:space="0" w:color="auto"/>
            </w:tcBorders>
          </w:tcPr>
          <w:p w14:paraId="425CDB0F" w14:textId="77777777"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616" w:type="dxa"/>
            <w:tcBorders>
              <w:top w:val="none" w:sz="0" w:space="0" w:color="auto"/>
              <w:bottom w:val="none" w:sz="0" w:space="0" w:color="auto"/>
            </w:tcBorders>
            <w:vAlign w:val="center"/>
          </w:tcPr>
          <w:p w14:paraId="7F4C98D9" w14:textId="37F5245F" w:rsidR="000D2F6C" w:rsidRPr="00421EB7" w:rsidRDefault="000D2F6C"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21EB7">
              <w:rPr>
                <w:rFonts w:ascii="Times New Roman" w:hAnsi="Times New Roman" w:cs="Times New Roman"/>
              </w:rPr>
              <w:t>6,</w:t>
            </w:r>
            <w:r w:rsidR="00076411" w:rsidRPr="00421EB7">
              <w:rPr>
                <w:rFonts w:ascii="Times New Roman" w:hAnsi="Times New Roman" w:cs="Times New Roman"/>
              </w:rPr>
              <w:t xml:space="preserve"> </w:t>
            </w:r>
            <w:r w:rsidRPr="00421EB7">
              <w:rPr>
                <w:rFonts w:ascii="Times New Roman" w:hAnsi="Times New Roman" w:cs="Times New Roman"/>
              </w:rPr>
              <w:t>13,</w:t>
            </w:r>
            <w:r w:rsidR="00076411" w:rsidRPr="00421EB7">
              <w:rPr>
                <w:rFonts w:ascii="Times New Roman" w:hAnsi="Times New Roman" w:cs="Times New Roman"/>
              </w:rPr>
              <w:t xml:space="preserve"> </w:t>
            </w:r>
            <w:r w:rsidRPr="00421EB7">
              <w:rPr>
                <w:rFonts w:ascii="Times New Roman" w:hAnsi="Times New Roman" w:cs="Times New Roman"/>
              </w:rPr>
              <w:t>16,</w:t>
            </w:r>
            <w:r w:rsidR="00076411" w:rsidRPr="00421EB7">
              <w:rPr>
                <w:rFonts w:ascii="Times New Roman" w:hAnsi="Times New Roman" w:cs="Times New Roman"/>
              </w:rPr>
              <w:t xml:space="preserve"> </w:t>
            </w:r>
            <w:r w:rsidRPr="00421EB7">
              <w:rPr>
                <w:rFonts w:ascii="Times New Roman" w:hAnsi="Times New Roman" w:cs="Times New Roman"/>
              </w:rPr>
              <w:t>21</w:t>
            </w:r>
          </w:p>
        </w:tc>
      </w:tr>
    </w:tbl>
    <w:p w14:paraId="25D01B80" w14:textId="58CDAB8C" w:rsidR="000D2F6C" w:rsidRPr="00A63B6D" w:rsidRDefault="00333753" w:rsidP="00FF6D96">
      <w:pPr>
        <w:tabs>
          <w:tab w:val="left" w:pos="6439"/>
        </w:tabs>
        <w:spacing w:line="360" w:lineRule="auto"/>
        <w:jc w:val="center"/>
        <w:rPr>
          <w:rFonts w:ascii="Times New Roman" w:hAnsi="Times New Roman" w:cs="Times New Roman"/>
        </w:rPr>
      </w:pPr>
      <w:r>
        <w:rPr>
          <w:rFonts w:ascii="Times New Roman" w:hAnsi="Times New Roman" w:cs="Times New Roman"/>
        </w:rPr>
        <w:t>Fuente</w:t>
      </w:r>
      <w:r w:rsidR="000D2F6C" w:rsidRPr="00A63B6D">
        <w:rPr>
          <w:rFonts w:ascii="Times New Roman" w:hAnsi="Times New Roman" w:cs="Times New Roman"/>
        </w:rPr>
        <w:t xml:space="preserve">: </w:t>
      </w:r>
      <w:r w:rsidR="000F32E4">
        <w:rPr>
          <w:rFonts w:ascii="Times New Roman" w:hAnsi="Times New Roman" w:cs="Times New Roman"/>
        </w:rPr>
        <w:t>Pérez y González</w:t>
      </w:r>
      <w:r w:rsidR="00C83558">
        <w:rPr>
          <w:rFonts w:ascii="Times New Roman" w:hAnsi="Times New Roman" w:cs="Times New Roman"/>
        </w:rPr>
        <w:t xml:space="preserve"> (</w:t>
      </w:r>
      <w:r w:rsidR="000F32E4">
        <w:rPr>
          <w:rFonts w:ascii="Times New Roman" w:hAnsi="Times New Roman" w:cs="Times New Roman"/>
        </w:rPr>
        <w:t>2020)</w:t>
      </w:r>
    </w:p>
    <w:p w14:paraId="3CD9CC86" w14:textId="44DE40AC" w:rsidR="000D2F6C" w:rsidRDefault="000D2F6C" w:rsidP="00421EB7">
      <w:pPr>
        <w:tabs>
          <w:tab w:val="left" w:pos="709"/>
        </w:tabs>
        <w:spacing w:line="360" w:lineRule="auto"/>
        <w:rPr>
          <w:rFonts w:ascii="Times New Roman" w:hAnsi="Times New Roman" w:cs="Times New Roman"/>
        </w:rPr>
      </w:pPr>
      <w:r>
        <w:rPr>
          <w:rFonts w:cs="Arial"/>
          <w:color w:val="000000" w:themeColor="text1"/>
        </w:rPr>
        <w:tab/>
      </w:r>
      <w:r w:rsidR="00A63B6D">
        <w:rPr>
          <w:rFonts w:ascii="Times New Roman" w:hAnsi="Times New Roman" w:cs="Times New Roman"/>
        </w:rPr>
        <w:t>L</w:t>
      </w:r>
      <w:r w:rsidRPr="00A63B6D">
        <w:rPr>
          <w:rFonts w:ascii="Times New Roman" w:hAnsi="Times New Roman" w:cs="Times New Roman"/>
        </w:rPr>
        <w:t xml:space="preserve">a fiabilidad </w:t>
      </w:r>
      <w:r w:rsidR="001944B2" w:rsidRPr="00A63B6D">
        <w:rPr>
          <w:rFonts w:ascii="Times New Roman" w:hAnsi="Times New Roman" w:cs="Times New Roman"/>
        </w:rPr>
        <w:t xml:space="preserve">de los ítems </w:t>
      </w:r>
      <w:r w:rsidR="001944B2">
        <w:rPr>
          <w:rFonts w:ascii="Times New Roman" w:hAnsi="Times New Roman" w:cs="Times New Roman"/>
        </w:rPr>
        <w:t>es alta</w:t>
      </w:r>
      <w:r w:rsidR="00057179">
        <w:rPr>
          <w:rFonts w:ascii="Times New Roman" w:hAnsi="Times New Roman" w:cs="Times New Roman"/>
        </w:rPr>
        <w:t>,</w:t>
      </w:r>
      <w:r w:rsidR="001944B2">
        <w:rPr>
          <w:rFonts w:ascii="Times New Roman" w:hAnsi="Times New Roman" w:cs="Times New Roman"/>
        </w:rPr>
        <w:t xml:space="preserve"> 0.883</w:t>
      </w:r>
      <w:r w:rsidR="00057179">
        <w:rPr>
          <w:rFonts w:ascii="Times New Roman" w:hAnsi="Times New Roman" w:cs="Times New Roman"/>
        </w:rPr>
        <w:t>,</w:t>
      </w:r>
      <w:r w:rsidR="001944B2">
        <w:rPr>
          <w:rFonts w:ascii="Times New Roman" w:hAnsi="Times New Roman" w:cs="Times New Roman"/>
        </w:rPr>
        <w:t xml:space="preserve"> </w:t>
      </w:r>
      <w:r w:rsidR="00057179">
        <w:rPr>
          <w:rFonts w:ascii="Times New Roman" w:hAnsi="Times New Roman" w:cs="Times New Roman"/>
        </w:rPr>
        <w:t xml:space="preserve">calculada </w:t>
      </w:r>
      <w:r w:rsidR="00A63B6D">
        <w:rPr>
          <w:rFonts w:ascii="Times New Roman" w:hAnsi="Times New Roman" w:cs="Times New Roman"/>
        </w:rPr>
        <w:t>a través del</w:t>
      </w:r>
      <w:r w:rsidRPr="00A63B6D">
        <w:rPr>
          <w:rFonts w:ascii="Times New Roman" w:hAnsi="Times New Roman" w:cs="Times New Roman"/>
        </w:rPr>
        <w:t xml:space="preserve"> </w:t>
      </w:r>
      <w:r w:rsidR="00057179">
        <w:rPr>
          <w:rFonts w:ascii="Times New Roman" w:hAnsi="Times New Roman" w:cs="Times New Roman"/>
        </w:rPr>
        <w:t>a</w:t>
      </w:r>
      <w:r w:rsidR="00057179" w:rsidRPr="00A63B6D">
        <w:rPr>
          <w:rFonts w:ascii="Times New Roman" w:hAnsi="Times New Roman" w:cs="Times New Roman"/>
        </w:rPr>
        <w:t xml:space="preserve">lfa </w:t>
      </w:r>
      <w:r w:rsidRPr="00A63B6D">
        <w:rPr>
          <w:rFonts w:ascii="Times New Roman" w:hAnsi="Times New Roman" w:cs="Times New Roman"/>
        </w:rPr>
        <w:t>de Cronbach</w:t>
      </w:r>
      <w:r w:rsidR="00A63B6D">
        <w:rPr>
          <w:rFonts w:ascii="Times New Roman" w:hAnsi="Times New Roman" w:cs="Times New Roman"/>
        </w:rPr>
        <w:t>:</w:t>
      </w:r>
    </w:p>
    <w:p w14:paraId="0A87F8B0" w14:textId="77777777" w:rsidR="000D2F6C" w:rsidRDefault="000D2F6C" w:rsidP="00FF6D96">
      <w:pPr>
        <w:tabs>
          <w:tab w:val="left" w:pos="6439"/>
        </w:tabs>
        <w:spacing w:line="360" w:lineRule="auto"/>
        <w:jc w:val="center"/>
        <w:rPr>
          <w:rFonts w:ascii="Times New Roman" w:hAnsi="Times New Roman" w:cs="Times New Roman"/>
        </w:rPr>
      </w:pPr>
      <m:oMath>
        <m:r>
          <w:rPr>
            <w:rFonts w:ascii="Cambria Math" w:hAnsi="Cambria Math" w:cs="Times New Roman"/>
          </w:rPr>
          <m:t>∝=</m:t>
        </m:r>
        <m:f>
          <m:fPr>
            <m:ctrlPr>
              <w:rPr>
                <w:rFonts w:ascii="Cambria Math" w:hAnsi="Cambria Math" w:cs="Times New Roman"/>
              </w:rPr>
            </m:ctrlPr>
          </m:fPr>
          <m:num>
            <m:r>
              <w:rPr>
                <w:rFonts w:ascii="Cambria Math" w:hAnsi="Cambria Math" w:cs="Times New Roman"/>
              </w:rPr>
              <m:t>k</m:t>
            </m:r>
          </m:num>
          <m:den>
            <m:r>
              <w:rPr>
                <w:rFonts w:ascii="Cambria Math" w:hAnsi="Cambria Math" w:cs="Times New Roman"/>
              </w:rPr>
              <m:t>k-1</m:t>
            </m:r>
          </m:den>
        </m:f>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Vi</m:t>
                    </m:r>
                  </m:e>
                </m:nary>
              </m:num>
              <m:den>
                <m:r>
                  <w:rPr>
                    <w:rFonts w:ascii="Cambria Math" w:hAnsi="Cambria Math" w:cs="Times New Roman"/>
                  </w:rPr>
                  <m:t>Vt</m:t>
                </m:r>
              </m:den>
            </m:f>
          </m:e>
        </m:d>
        <m:r>
          <w:rPr>
            <w:rFonts w:ascii="Cambria Math" w:hAnsi="Cambria Math" w:cs="Times New Roman"/>
          </w:rPr>
          <m:t>=</m:t>
        </m:r>
      </m:oMath>
      <w:r w:rsidRPr="00A63B6D">
        <w:rPr>
          <w:rFonts w:ascii="Times New Roman" w:hAnsi="Times New Roman" w:cs="Times New Roman"/>
        </w:rPr>
        <w:t xml:space="preserve"> 0.883</w:t>
      </w:r>
    </w:p>
    <w:p w14:paraId="5D536AB7" w14:textId="77777777" w:rsidR="00C23DC2" w:rsidRDefault="00C23DC2" w:rsidP="00FF6D96">
      <w:pPr>
        <w:tabs>
          <w:tab w:val="left" w:pos="6439"/>
        </w:tabs>
        <w:spacing w:line="360" w:lineRule="auto"/>
        <w:ind w:left="708"/>
        <w:rPr>
          <w:rFonts w:ascii="Times New Roman" w:hAnsi="Times New Roman" w:cs="Times New Roman"/>
          <w:sz w:val="22"/>
          <w:szCs w:val="20"/>
        </w:rPr>
      </w:pPr>
    </w:p>
    <w:p w14:paraId="1D5C40C5" w14:textId="65112208" w:rsidR="000D2F6C" w:rsidRPr="00A63B6D" w:rsidRDefault="000D2F6C" w:rsidP="00FF6D96">
      <w:pPr>
        <w:tabs>
          <w:tab w:val="left" w:pos="6439"/>
        </w:tabs>
        <w:spacing w:line="360" w:lineRule="auto"/>
        <w:ind w:left="708"/>
        <w:rPr>
          <w:rFonts w:ascii="Times New Roman" w:hAnsi="Times New Roman" w:cs="Times New Roman"/>
          <w:sz w:val="22"/>
          <w:szCs w:val="20"/>
        </w:rPr>
      </w:pPr>
      <m:oMath>
        <m:r>
          <w:rPr>
            <w:rFonts w:ascii="Cambria Math" w:hAnsi="Cambria Math" w:cs="Times New Roman"/>
            <w:sz w:val="22"/>
            <w:szCs w:val="20"/>
          </w:rPr>
          <w:lastRenderedPageBreak/>
          <m:t>k=</m:t>
        </m:r>
      </m:oMath>
      <w:r w:rsidRPr="00A63B6D">
        <w:rPr>
          <w:rFonts w:ascii="Times New Roman" w:hAnsi="Times New Roman" w:cs="Times New Roman"/>
          <w:sz w:val="22"/>
          <w:szCs w:val="20"/>
        </w:rPr>
        <w:t xml:space="preserve"> </w:t>
      </w:r>
      <w:r w:rsidR="00DB34C7">
        <w:rPr>
          <w:rFonts w:ascii="Times New Roman" w:hAnsi="Times New Roman" w:cs="Times New Roman"/>
          <w:sz w:val="22"/>
          <w:szCs w:val="20"/>
        </w:rPr>
        <w:t>N</w:t>
      </w:r>
      <w:r w:rsidR="00DB34C7" w:rsidRPr="00A63B6D">
        <w:rPr>
          <w:rFonts w:ascii="Times New Roman" w:hAnsi="Times New Roman" w:cs="Times New Roman"/>
          <w:sz w:val="22"/>
          <w:szCs w:val="20"/>
        </w:rPr>
        <w:t xml:space="preserve">úmero </w:t>
      </w:r>
      <w:r w:rsidRPr="00A63B6D">
        <w:rPr>
          <w:rFonts w:ascii="Times New Roman" w:hAnsi="Times New Roman" w:cs="Times New Roman"/>
          <w:sz w:val="22"/>
          <w:szCs w:val="20"/>
        </w:rPr>
        <w:t>de ítems = 24</w:t>
      </w:r>
    </w:p>
    <w:p w14:paraId="772D8E52" w14:textId="77777777" w:rsidR="000D2F6C" w:rsidRPr="00A63B6D" w:rsidRDefault="000D2F6C" w:rsidP="00FF6D96">
      <w:pPr>
        <w:tabs>
          <w:tab w:val="left" w:pos="2170"/>
        </w:tabs>
        <w:spacing w:line="360" w:lineRule="auto"/>
        <w:ind w:left="708"/>
        <w:rPr>
          <w:rFonts w:ascii="Times New Roman" w:hAnsi="Times New Roman" w:cs="Times New Roman"/>
          <w:sz w:val="22"/>
          <w:szCs w:val="20"/>
        </w:rPr>
      </w:pPr>
      <m:oMath>
        <m:r>
          <w:rPr>
            <w:rFonts w:ascii="Cambria Math" w:hAnsi="Cambria Math" w:cs="Times New Roman"/>
            <w:sz w:val="22"/>
            <w:szCs w:val="20"/>
          </w:rPr>
          <m:t>Vi=</m:t>
        </m:r>
      </m:oMath>
      <w:r w:rsidRPr="00A63B6D">
        <w:rPr>
          <w:rFonts w:ascii="Times New Roman" w:hAnsi="Times New Roman" w:cs="Times New Roman"/>
          <w:sz w:val="22"/>
          <w:szCs w:val="20"/>
        </w:rPr>
        <w:t xml:space="preserve"> Varianza de cada ítem = 9.5284</w:t>
      </w:r>
    </w:p>
    <w:p w14:paraId="29B9C7F1" w14:textId="77777777" w:rsidR="000D2F6C" w:rsidRPr="00A63B6D" w:rsidRDefault="000D2F6C" w:rsidP="00FF6D96">
      <w:pPr>
        <w:tabs>
          <w:tab w:val="left" w:pos="2170"/>
        </w:tabs>
        <w:spacing w:line="360" w:lineRule="auto"/>
        <w:ind w:left="708"/>
        <w:rPr>
          <w:rFonts w:ascii="Times New Roman" w:hAnsi="Times New Roman" w:cs="Times New Roman"/>
          <w:sz w:val="22"/>
          <w:szCs w:val="20"/>
        </w:rPr>
      </w:pPr>
      <m:oMath>
        <m:r>
          <w:rPr>
            <w:rFonts w:ascii="Cambria Math" w:hAnsi="Cambria Math" w:cs="Times New Roman"/>
            <w:sz w:val="22"/>
            <w:szCs w:val="20"/>
          </w:rPr>
          <m:t xml:space="preserve">Vt= </m:t>
        </m:r>
      </m:oMath>
      <w:r w:rsidRPr="00A63B6D">
        <w:rPr>
          <w:rFonts w:ascii="Times New Roman" w:hAnsi="Times New Roman" w:cs="Times New Roman"/>
          <w:sz w:val="22"/>
          <w:szCs w:val="20"/>
        </w:rPr>
        <w:t>Varianza total = 61.9790</w:t>
      </w:r>
    </w:p>
    <w:p w14:paraId="57382E9C" w14:textId="77777777" w:rsidR="000D2F6C" w:rsidRDefault="000D2F6C" w:rsidP="00FF6D96">
      <w:pPr>
        <w:tabs>
          <w:tab w:val="left" w:pos="6439"/>
        </w:tabs>
        <w:spacing w:line="360" w:lineRule="auto"/>
        <w:ind w:left="708"/>
        <w:rPr>
          <w:rFonts w:ascii="Times New Roman" w:hAnsi="Times New Roman" w:cs="Times New Roman"/>
          <w:sz w:val="22"/>
          <w:szCs w:val="20"/>
        </w:rPr>
      </w:pPr>
      <m:oMath>
        <m:r>
          <w:rPr>
            <w:rFonts w:ascii="Cambria Math" w:hAnsi="Cambria Math" w:cs="Times New Roman"/>
            <w:sz w:val="22"/>
            <w:szCs w:val="20"/>
          </w:rPr>
          <m:t xml:space="preserve">∝= </m:t>
        </m:r>
      </m:oMath>
      <w:r w:rsidRPr="00A63B6D">
        <w:rPr>
          <w:rFonts w:ascii="Times New Roman" w:hAnsi="Times New Roman" w:cs="Times New Roman"/>
          <w:sz w:val="22"/>
          <w:szCs w:val="20"/>
        </w:rPr>
        <w:t>Alfa de Cronbach = 0.883</w:t>
      </w:r>
    </w:p>
    <w:p w14:paraId="74EA7939" w14:textId="3D622288" w:rsidR="000F196A" w:rsidRDefault="000F196A"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En el presente documento, se aborda la dimensión investigación.</w:t>
      </w:r>
    </w:p>
    <w:p w14:paraId="39F9F746" w14:textId="77777777" w:rsidR="00873588" w:rsidRDefault="00873588" w:rsidP="00FF6D96">
      <w:pPr>
        <w:spacing w:line="360" w:lineRule="auto"/>
        <w:ind w:firstLine="708"/>
        <w:jc w:val="both"/>
        <w:rPr>
          <w:rFonts w:ascii="Times New Roman" w:hAnsi="Times New Roman" w:cs="Times New Roman"/>
          <w:shd w:val="clear" w:color="auto" w:fill="FFFFFF"/>
        </w:rPr>
      </w:pPr>
    </w:p>
    <w:p w14:paraId="6696305E" w14:textId="7AE24001" w:rsidR="00A979D1" w:rsidRPr="009A217D" w:rsidRDefault="00A979D1" w:rsidP="00421EB7">
      <w:pPr>
        <w:spacing w:line="360" w:lineRule="auto"/>
        <w:jc w:val="center"/>
        <w:rPr>
          <w:rFonts w:ascii="Times New Roman" w:hAnsi="Times New Roman" w:cs="Times New Roman"/>
          <w:b/>
          <w:bCs/>
          <w:sz w:val="28"/>
          <w:shd w:val="clear" w:color="auto" w:fill="FFFFFF"/>
        </w:rPr>
      </w:pPr>
      <w:r w:rsidRPr="006858A7">
        <w:rPr>
          <w:rFonts w:ascii="Times New Roman" w:hAnsi="Times New Roman" w:cs="Times New Roman"/>
          <w:b/>
          <w:bCs/>
          <w:sz w:val="28"/>
          <w:shd w:val="clear" w:color="auto" w:fill="FFFFFF"/>
        </w:rPr>
        <w:t>Segunda etapa del método</w:t>
      </w:r>
      <w:r w:rsidR="009D192C" w:rsidRPr="006858A7">
        <w:rPr>
          <w:rFonts w:ascii="Times New Roman" w:hAnsi="Times New Roman" w:cs="Times New Roman"/>
          <w:b/>
          <w:bCs/>
          <w:sz w:val="28"/>
          <w:shd w:val="clear" w:color="auto" w:fill="FFFFFF"/>
        </w:rPr>
        <w:t xml:space="preserve">: </w:t>
      </w:r>
      <w:r w:rsidR="00935A8E" w:rsidRPr="006858A7">
        <w:rPr>
          <w:rFonts w:ascii="Times New Roman" w:hAnsi="Times New Roman" w:cs="Times New Roman"/>
          <w:b/>
          <w:bCs/>
          <w:sz w:val="28"/>
          <w:shd w:val="clear" w:color="auto" w:fill="FFFFFF"/>
        </w:rPr>
        <w:t>el desarrollo</w:t>
      </w:r>
    </w:p>
    <w:p w14:paraId="18F3945A" w14:textId="29975350" w:rsidR="008B356C" w:rsidRDefault="004B4E1F" w:rsidP="00FF6D96">
      <w:pPr>
        <w:spacing w:line="360" w:lineRule="auto"/>
        <w:ind w:firstLine="708"/>
        <w:jc w:val="both"/>
        <w:rPr>
          <w:rFonts w:ascii="Times New Roman" w:hAnsi="Times New Roman" w:cs="Times New Roman"/>
          <w:shd w:val="clear" w:color="auto" w:fill="FFFFFF"/>
        </w:rPr>
      </w:pPr>
      <w:r w:rsidRPr="009A217D">
        <w:rPr>
          <w:rFonts w:ascii="Times New Roman" w:hAnsi="Times New Roman" w:cs="Times New Roman"/>
          <w:shd w:val="clear" w:color="auto" w:fill="FFFFFF"/>
        </w:rPr>
        <w:t>En la segunda etapa del proyecto</w:t>
      </w:r>
      <w:r w:rsidR="0075688E">
        <w:rPr>
          <w:rFonts w:ascii="Times New Roman" w:hAnsi="Times New Roman" w:cs="Times New Roman"/>
          <w:shd w:val="clear" w:color="auto" w:fill="FFFFFF"/>
        </w:rPr>
        <w:t xml:space="preserve">, </w:t>
      </w:r>
      <w:r w:rsidR="00A63B6D" w:rsidRPr="009A217D">
        <w:rPr>
          <w:rFonts w:ascii="Times New Roman" w:hAnsi="Times New Roman" w:cs="Times New Roman"/>
          <w:shd w:val="clear" w:color="auto" w:fill="FFFFFF"/>
        </w:rPr>
        <w:t xml:space="preserve">se </w:t>
      </w:r>
      <w:r w:rsidR="009D192C" w:rsidRPr="009A217D">
        <w:rPr>
          <w:rFonts w:ascii="Times New Roman" w:hAnsi="Times New Roman" w:cs="Times New Roman"/>
          <w:shd w:val="clear" w:color="auto" w:fill="FFFFFF"/>
        </w:rPr>
        <w:t>alcanzó</w:t>
      </w:r>
      <w:r w:rsidR="00A63B6D" w:rsidRPr="009A217D">
        <w:rPr>
          <w:rFonts w:ascii="Times New Roman" w:hAnsi="Times New Roman" w:cs="Times New Roman"/>
          <w:shd w:val="clear" w:color="auto" w:fill="FFFFFF"/>
        </w:rPr>
        <w:t xml:space="preserve"> la asistencia virtual de 4805 participantes</w:t>
      </w:r>
      <w:r w:rsidR="0075688E">
        <w:rPr>
          <w:rFonts w:ascii="Times New Roman" w:hAnsi="Times New Roman" w:cs="Times New Roman"/>
          <w:shd w:val="clear" w:color="auto" w:fill="FFFFFF"/>
        </w:rPr>
        <w:t>, quienes</w:t>
      </w:r>
      <w:r w:rsidR="009E7628" w:rsidRPr="009A217D">
        <w:rPr>
          <w:rFonts w:ascii="Times New Roman" w:hAnsi="Times New Roman" w:cs="Times New Roman"/>
          <w:shd w:val="clear" w:color="auto" w:fill="FFFFFF"/>
        </w:rPr>
        <w:t xml:space="preserve"> </w:t>
      </w:r>
      <w:r w:rsidR="00BD6E2E">
        <w:rPr>
          <w:rFonts w:ascii="Times New Roman" w:hAnsi="Times New Roman" w:cs="Times New Roman"/>
          <w:shd w:val="clear" w:color="auto" w:fill="FFFFFF"/>
        </w:rPr>
        <w:t>c</w:t>
      </w:r>
      <w:r w:rsidR="00A63B6D" w:rsidRPr="009A217D">
        <w:rPr>
          <w:rFonts w:ascii="Times New Roman" w:hAnsi="Times New Roman" w:cs="Times New Roman"/>
          <w:shd w:val="clear" w:color="auto" w:fill="FFFFFF"/>
        </w:rPr>
        <w:t xml:space="preserve">onforman la muestra de estudio (estudiantes de nivel superior de Yucatán participantes del </w:t>
      </w:r>
      <w:r w:rsidR="00255360" w:rsidRPr="009A217D">
        <w:rPr>
          <w:rFonts w:ascii="Times New Roman" w:hAnsi="Times New Roman" w:cs="Times New Roman"/>
          <w:shd w:val="clear" w:color="auto" w:fill="FFFFFF"/>
        </w:rPr>
        <w:t>C</w:t>
      </w:r>
      <w:r w:rsidR="00A63B6D" w:rsidRPr="009A217D">
        <w:rPr>
          <w:rFonts w:ascii="Times New Roman" w:hAnsi="Times New Roman" w:cs="Times New Roman"/>
          <w:shd w:val="clear" w:color="auto" w:fill="FFFFFF"/>
        </w:rPr>
        <w:t xml:space="preserve">ongreso </w:t>
      </w:r>
      <w:r w:rsidR="00255360" w:rsidRPr="009A217D">
        <w:rPr>
          <w:rFonts w:ascii="Times New Roman" w:hAnsi="Times New Roman" w:cs="Times New Roman"/>
          <w:shd w:val="clear" w:color="auto" w:fill="FFFFFF"/>
        </w:rPr>
        <w:t>E</w:t>
      </w:r>
      <w:r w:rsidR="00A63B6D" w:rsidRPr="009A217D">
        <w:rPr>
          <w:rFonts w:ascii="Times New Roman" w:hAnsi="Times New Roman" w:cs="Times New Roman"/>
          <w:shd w:val="clear" w:color="auto" w:fill="FFFFFF"/>
        </w:rPr>
        <w:t xml:space="preserve">statal las </w:t>
      </w:r>
      <w:r w:rsidR="00255360" w:rsidRPr="009A217D">
        <w:rPr>
          <w:rFonts w:ascii="Times New Roman" w:hAnsi="Times New Roman" w:cs="Times New Roman"/>
          <w:shd w:val="clear" w:color="auto" w:fill="FFFFFF"/>
        </w:rPr>
        <w:t>V</w:t>
      </w:r>
      <w:r w:rsidR="00A63B6D" w:rsidRPr="009A217D">
        <w:rPr>
          <w:rFonts w:ascii="Times New Roman" w:hAnsi="Times New Roman" w:cs="Times New Roman"/>
          <w:shd w:val="clear" w:color="auto" w:fill="FFFFFF"/>
        </w:rPr>
        <w:t xml:space="preserve">ocaciones </w:t>
      </w:r>
      <w:r w:rsidR="00255360" w:rsidRPr="009A217D">
        <w:rPr>
          <w:rFonts w:ascii="Times New Roman" w:hAnsi="Times New Roman" w:cs="Times New Roman"/>
          <w:shd w:val="clear" w:color="auto" w:fill="FFFFFF"/>
        </w:rPr>
        <w:t>C</w:t>
      </w:r>
      <w:r w:rsidR="00A63B6D" w:rsidRPr="009A217D">
        <w:rPr>
          <w:rFonts w:ascii="Times New Roman" w:hAnsi="Times New Roman" w:cs="Times New Roman"/>
          <w:shd w:val="clear" w:color="auto" w:fill="FFFFFF"/>
        </w:rPr>
        <w:t xml:space="preserve">ientíficas en los </w:t>
      </w:r>
      <w:r w:rsidR="00255360" w:rsidRPr="009A217D">
        <w:rPr>
          <w:rFonts w:ascii="Times New Roman" w:hAnsi="Times New Roman" w:cs="Times New Roman"/>
          <w:shd w:val="clear" w:color="auto" w:fill="FFFFFF"/>
        </w:rPr>
        <w:t>J</w:t>
      </w:r>
      <w:r w:rsidR="00A63B6D" w:rsidRPr="009A217D">
        <w:rPr>
          <w:rFonts w:ascii="Times New Roman" w:hAnsi="Times New Roman" w:cs="Times New Roman"/>
          <w:shd w:val="clear" w:color="auto" w:fill="FFFFFF"/>
        </w:rPr>
        <w:t>óvenes de Yucatán</w:t>
      </w:r>
      <w:r w:rsidR="002444D7" w:rsidRPr="009A217D">
        <w:rPr>
          <w:rFonts w:ascii="Times New Roman" w:hAnsi="Times New Roman" w:cs="Times New Roman"/>
          <w:shd w:val="clear" w:color="auto" w:fill="FFFFFF"/>
        </w:rPr>
        <w:t>, efectuado el 22 y 23 de octubre de 2020</w:t>
      </w:r>
      <w:r w:rsidR="00054CD7" w:rsidRPr="009A217D">
        <w:rPr>
          <w:rFonts w:ascii="Times New Roman" w:hAnsi="Times New Roman" w:cs="Times New Roman"/>
          <w:shd w:val="clear" w:color="auto" w:fill="FFFFFF"/>
        </w:rPr>
        <w:t>,</w:t>
      </w:r>
      <w:r w:rsidR="009E7628" w:rsidRPr="009A217D">
        <w:rPr>
          <w:rFonts w:ascii="Times New Roman" w:hAnsi="Times New Roman" w:cs="Times New Roman"/>
          <w:shd w:val="clear" w:color="auto" w:fill="FFFFFF"/>
        </w:rPr>
        <w:t xml:space="preserve"> el evento fue desarrollado 100</w:t>
      </w:r>
      <w:r w:rsidR="00362719">
        <w:rPr>
          <w:rFonts w:ascii="Times New Roman" w:hAnsi="Times New Roman" w:cs="Times New Roman"/>
          <w:shd w:val="clear" w:color="auto" w:fill="FFFFFF"/>
        </w:rPr>
        <w:t> </w:t>
      </w:r>
      <w:r w:rsidR="009E7628" w:rsidRPr="009A217D">
        <w:rPr>
          <w:rFonts w:ascii="Times New Roman" w:hAnsi="Times New Roman" w:cs="Times New Roman"/>
          <w:shd w:val="clear" w:color="auto" w:fill="FFFFFF"/>
        </w:rPr>
        <w:t>% en línea</w:t>
      </w:r>
      <w:r w:rsidR="00BD6E2E">
        <w:rPr>
          <w:rFonts w:ascii="Times New Roman" w:hAnsi="Times New Roman" w:cs="Times New Roman"/>
          <w:shd w:val="clear" w:color="auto" w:fill="FFFFFF"/>
        </w:rPr>
        <w:t>)</w:t>
      </w:r>
      <w:r w:rsidR="009E7628" w:rsidRPr="009A217D">
        <w:rPr>
          <w:rFonts w:ascii="Times New Roman" w:hAnsi="Times New Roman" w:cs="Times New Roman"/>
          <w:shd w:val="clear" w:color="auto" w:fill="FFFFFF"/>
        </w:rPr>
        <w:t xml:space="preserve">. </w:t>
      </w:r>
      <w:r w:rsidR="00296645" w:rsidRPr="009A217D">
        <w:rPr>
          <w:rFonts w:ascii="Times New Roman" w:hAnsi="Times New Roman" w:cs="Times New Roman"/>
          <w:shd w:val="clear" w:color="auto" w:fill="FFFFFF"/>
        </w:rPr>
        <w:t xml:space="preserve">La muestra </w:t>
      </w:r>
      <w:r w:rsidR="00BD6E2E" w:rsidRPr="009A217D">
        <w:rPr>
          <w:rFonts w:ascii="Times New Roman" w:hAnsi="Times New Roman" w:cs="Times New Roman"/>
          <w:shd w:val="clear" w:color="auto" w:fill="FFFFFF"/>
        </w:rPr>
        <w:t xml:space="preserve">fue </w:t>
      </w:r>
      <w:r w:rsidR="00296645" w:rsidRPr="009A217D">
        <w:rPr>
          <w:rFonts w:ascii="Times New Roman" w:hAnsi="Times New Roman" w:cs="Times New Roman"/>
          <w:shd w:val="clear" w:color="auto" w:fill="FFFFFF"/>
        </w:rPr>
        <w:t xml:space="preserve">determinada </w:t>
      </w:r>
      <w:r w:rsidR="005B4D24" w:rsidRPr="009A217D">
        <w:rPr>
          <w:rFonts w:ascii="Times New Roman" w:hAnsi="Times New Roman" w:cs="Times New Roman"/>
          <w:shd w:val="clear" w:color="auto" w:fill="FFFFFF"/>
        </w:rPr>
        <w:t>con base</w:t>
      </w:r>
      <w:r w:rsidR="00296645" w:rsidRPr="009A217D">
        <w:rPr>
          <w:rFonts w:ascii="Times New Roman" w:hAnsi="Times New Roman" w:cs="Times New Roman"/>
          <w:shd w:val="clear" w:color="auto" w:fill="FFFFFF"/>
        </w:rPr>
        <w:t xml:space="preserve"> en la fórmula para poblaciones finitas</w:t>
      </w:r>
      <w:r w:rsidR="00BD6E2E">
        <w:rPr>
          <w:rFonts w:ascii="Times New Roman" w:hAnsi="Times New Roman" w:cs="Times New Roman"/>
          <w:shd w:val="clear" w:color="auto" w:fill="FFFFFF"/>
        </w:rPr>
        <w:t>,</w:t>
      </w:r>
      <w:r w:rsidR="00296645" w:rsidRPr="009A217D">
        <w:rPr>
          <w:rFonts w:ascii="Times New Roman" w:hAnsi="Times New Roman" w:cs="Times New Roman"/>
          <w:shd w:val="clear" w:color="auto" w:fill="FFFFFF"/>
        </w:rPr>
        <w:t xml:space="preserve"> con 9</w:t>
      </w:r>
      <w:r w:rsidR="009E7628" w:rsidRPr="009A217D">
        <w:rPr>
          <w:rFonts w:ascii="Times New Roman" w:hAnsi="Times New Roman" w:cs="Times New Roman"/>
          <w:shd w:val="clear" w:color="auto" w:fill="FFFFFF"/>
        </w:rPr>
        <w:t>8</w:t>
      </w:r>
      <w:r w:rsidR="002715AA">
        <w:rPr>
          <w:rFonts w:ascii="Times New Roman" w:hAnsi="Times New Roman" w:cs="Times New Roman"/>
          <w:shd w:val="clear" w:color="auto" w:fill="FFFFFF"/>
        </w:rPr>
        <w:t>.0</w:t>
      </w:r>
      <w:r w:rsidR="00BD6E2E">
        <w:rPr>
          <w:rFonts w:ascii="Times New Roman" w:hAnsi="Times New Roman" w:cs="Times New Roman"/>
          <w:shd w:val="clear" w:color="auto" w:fill="FFFFFF"/>
        </w:rPr>
        <w:t> </w:t>
      </w:r>
      <w:r w:rsidR="00296645" w:rsidRPr="009A217D">
        <w:rPr>
          <w:rFonts w:ascii="Times New Roman" w:hAnsi="Times New Roman" w:cs="Times New Roman"/>
          <w:shd w:val="clear" w:color="auto" w:fill="FFFFFF"/>
        </w:rPr>
        <w:t>% de confianza, 0.0</w:t>
      </w:r>
      <w:r w:rsidR="009E7628" w:rsidRPr="009A217D">
        <w:rPr>
          <w:rFonts w:ascii="Times New Roman" w:hAnsi="Times New Roman" w:cs="Times New Roman"/>
          <w:shd w:val="clear" w:color="auto" w:fill="FFFFFF"/>
        </w:rPr>
        <w:t>2</w:t>
      </w:r>
      <w:r w:rsidR="00296645" w:rsidRPr="009A217D">
        <w:rPr>
          <w:rFonts w:ascii="Times New Roman" w:hAnsi="Times New Roman" w:cs="Times New Roman"/>
          <w:shd w:val="clear" w:color="auto" w:fill="FFFFFF"/>
        </w:rPr>
        <w:t xml:space="preserve"> de error de estimación, con probabilidad a favor (</w:t>
      </w:r>
      <w:r w:rsidR="00296645" w:rsidRPr="00421EB7">
        <w:rPr>
          <w:rFonts w:ascii="Times New Roman" w:hAnsi="Times New Roman" w:cs="Times New Roman"/>
          <w:i/>
          <w:shd w:val="clear" w:color="auto" w:fill="FFFFFF"/>
        </w:rPr>
        <w:t>p</w:t>
      </w:r>
      <w:r w:rsidR="00296645" w:rsidRPr="009A217D">
        <w:rPr>
          <w:rFonts w:ascii="Times New Roman" w:hAnsi="Times New Roman" w:cs="Times New Roman"/>
          <w:shd w:val="clear" w:color="auto" w:fill="FFFFFF"/>
        </w:rPr>
        <w:t>) y en contra (</w:t>
      </w:r>
      <w:r w:rsidR="00296645" w:rsidRPr="00421EB7">
        <w:rPr>
          <w:rFonts w:ascii="Times New Roman" w:hAnsi="Times New Roman" w:cs="Times New Roman"/>
          <w:i/>
          <w:shd w:val="clear" w:color="auto" w:fill="FFFFFF"/>
        </w:rPr>
        <w:t>q</w:t>
      </w:r>
      <w:r w:rsidR="00296645" w:rsidRPr="009A217D">
        <w:rPr>
          <w:rFonts w:ascii="Times New Roman" w:hAnsi="Times New Roman" w:cs="Times New Roman"/>
          <w:shd w:val="clear" w:color="auto" w:fill="FFFFFF"/>
        </w:rPr>
        <w:t>) de 0.5</w:t>
      </w:r>
      <w:r w:rsidR="00BD6E2E">
        <w:rPr>
          <w:rFonts w:ascii="Times New Roman" w:hAnsi="Times New Roman" w:cs="Times New Roman"/>
          <w:shd w:val="clear" w:color="auto" w:fill="FFFFFF"/>
        </w:rPr>
        <w:t>,</w:t>
      </w:r>
      <w:r w:rsidR="00296645" w:rsidRPr="009A217D">
        <w:rPr>
          <w:rFonts w:ascii="Times New Roman" w:hAnsi="Times New Roman" w:cs="Times New Roman"/>
          <w:shd w:val="clear" w:color="auto" w:fill="FFFFFF"/>
        </w:rPr>
        <w:t xml:space="preserve"> respectivamente</w:t>
      </w:r>
      <w:r w:rsidR="009E7628" w:rsidRPr="009A217D">
        <w:rPr>
          <w:rFonts w:ascii="Times New Roman" w:hAnsi="Times New Roman" w:cs="Times New Roman"/>
          <w:shd w:val="clear" w:color="auto" w:fill="FFFFFF"/>
        </w:rPr>
        <w:t xml:space="preserve">, </w:t>
      </w:r>
      <w:r w:rsidR="00BD6E2E">
        <w:rPr>
          <w:rFonts w:ascii="Times New Roman" w:hAnsi="Times New Roman" w:cs="Times New Roman"/>
          <w:shd w:val="clear" w:color="auto" w:fill="FFFFFF"/>
        </w:rPr>
        <w:t xml:space="preserve">y </w:t>
      </w:r>
      <w:r w:rsidR="009E7628" w:rsidRPr="009A217D">
        <w:rPr>
          <w:rFonts w:ascii="Times New Roman" w:hAnsi="Times New Roman" w:cs="Times New Roman"/>
          <w:shd w:val="clear" w:color="auto" w:fill="FFFFFF"/>
        </w:rPr>
        <w:t>una población de 63</w:t>
      </w:r>
      <w:r w:rsidR="00824082">
        <w:rPr>
          <w:rFonts w:ascii="Times New Roman" w:hAnsi="Times New Roman" w:cs="Times New Roman"/>
          <w:shd w:val="clear" w:color="auto" w:fill="FFFFFF"/>
        </w:rPr>
        <w:t> </w:t>
      </w:r>
      <w:r w:rsidR="009E7628" w:rsidRPr="009A217D">
        <w:rPr>
          <w:rFonts w:ascii="Times New Roman" w:hAnsi="Times New Roman" w:cs="Times New Roman"/>
          <w:shd w:val="clear" w:color="auto" w:fill="FFFFFF"/>
        </w:rPr>
        <w:t>828 alumnos de nivel superior (SEP, 2020)</w:t>
      </w:r>
      <w:r w:rsidR="00296645" w:rsidRPr="009A217D">
        <w:rPr>
          <w:rFonts w:ascii="Times New Roman" w:hAnsi="Times New Roman" w:cs="Times New Roman"/>
          <w:shd w:val="clear" w:color="auto" w:fill="FFFFFF"/>
        </w:rPr>
        <w:t>.</w:t>
      </w:r>
    </w:p>
    <w:p w14:paraId="75B43A26" w14:textId="6E7DEAB1" w:rsidR="009E7628" w:rsidRDefault="009E7628" w:rsidP="00FF6D96">
      <w:pPr>
        <w:tabs>
          <w:tab w:val="left" w:pos="709"/>
        </w:tabs>
        <w:spacing w:line="360" w:lineRule="auto"/>
        <w:jc w:val="center"/>
        <w:rPr>
          <w:rFonts w:ascii="Times New Roman" w:hAnsi="Times New Roman" w:cs="Times New Roman"/>
          <w:color w:val="000000" w:themeColor="text1"/>
        </w:rPr>
      </w:pPr>
      <m:oMath>
        <m:r>
          <w:rPr>
            <w:rFonts w:ascii="Cambria Math" w:hAnsi="Cambria Math" w:cs="Times New Roman"/>
            <w:color w:val="000000" w:themeColor="text1"/>
          </w:rPr>
          <m:t xml:space="preserve">n= </m:t>
        </m:r>
        <m:f>
          <m:fPr>
            <m:ctrlPr>
              <w:rPr>
                <w:rFonts w:ascii="Cambria Math" w:hAnsi="Cambria Math" w:cs="Times New Roman"/>
                <w:i/>
                <w:color w:val="000000" w:themeColor="text1"/>
              </w:rPr>
            </m:ctrlPr>
          </m:fPr>
          <m:num>
            <m:r>
              <w:rPr>
                <w:rFonts w:ascii="Cambria Math" w:hAnsi="Cambria Math" w:cs="Times New Roman"/>
                <w:color w:val="000000" w:themeColor="text1"/>
              </w:rPr>
              <m:t>N</m:t>
            </m:r>
            <m:sSup>
              <m:sSupPr>
                <m:ctrlPr>
                  <w:rPr>
                    <w:rFonts w:ascii="Cambria Math" w:hAnsi="Cambria Math" w:cs="Times New Roman"/>
                    <w:i/>
                    <w:color w:val="000000" w:themeColor="text1"/>
                  </w:rPr>
                </m:ctrlPr>
              </m:sSupPr>
              <m:e>
                <m:sSub>
                  <m:sSubPr>
                    <m:ctrlPr>
                      <w:rPr>
                        <w:rFonts w:ascii="Cambria Math" w:hAnsi="Cambria Math" w:cs="Times New Roman"/>
                        <w:i/>
                        <w:color w:val="000000" w:themeColor="text1"/>
                      </w:rPr>
                    </m:ctrlPr>
                  </m:sSubPr>
                  <m:e>
                    <m:r>
                      <w:rPr>
                        <w:rFonts w:ascii="Cambria Math" w:hAnsi="Cambria Math" w:cs="Times New Roman"/>
                        <w:color w:val="000000" w:themeColor="text1"/>
                      </w:rPr>
                      <m:t xml:space="preserve"> Z</m:t>
                    </m:r>
                  </m:e>
                  <m:sub>
                    <m:r>
                      <w:rPr>
                        <w:rFonts w:ascii="Cambria Math" w:hAnsi="Cambria Math" w:cs="Times New Roman"/>
                        <w:color w:val="000000" w:themeColor="text1"/>
                      </w:rPr>
                      <m:t>a</m:t>
                    </m:r>
                  </m:sub>
                </m:sSub>
              </m:e>
              <m:sup>
                <m:r>
                  <w:rPr>
                    <w:rFonts w:ascii="Cambria Math" w:hAnsi="Cambria Math" w:cs="Times New Roman"/>
                    <w:color w:val="000000" w:themeColor="text1"/>
                  </w:rPr>
                  <m:t>2</m:t>
                </m:r>
              </m:sup>
            </m:sSup>
            <m:r>
              <w:rPr>
                <w:rFonts w:ascii="Cambria Math" w:hAnsi="Cambria Math" w:cs="Times New Roman"/>
                <w:color w:val="000000" w:themeColor="text1"/>
              </w:rPr>
              <m:t xml:space="preserve"> p q</m:t>
            </m:r>
          </m:num>
          <m:den>
            <m:sSup>
              <m:sSupPr>
                <m:ctrlPr>
                  <w:rPr>
                    <w:rFonts w:ascii="Cambria Math" w:hAnsi="Cambria Math" w:cs="Times New Roman"/>
                    <w:i/>
                    <w:color w:val="000000" w:themeColor="text1"/>
                  </w:rPr>
                </m:ctrlPr>
              </m:sSupPr>
              <m:e>
                <m:r>
                  <w:rPr>
                    <w:rFonts w:ascii="Cambria Math" w:hAnsi="Cambria Math" w:cs="Times New Roman"/>
                    <w:color w:val="000000" w:themeColor="text1"/>
                  </w:rPr>
                  <m:t>e</m:t>
                </m:r>
              </m:e>
              <m:sup>
                <m:r>
                  <w:rPr>
                    <w:rFonts w:ascii="Cambria Math" w:hAnsi="Cambria Math" w:cs="Times New Roman"/>
                    <w:color w:val="000000" w:themeColor="text1"/>
                  </w:rPr>
                  <m:t>2</m:t>
                </m:r>
              </m:sup>
            </m:sSup>
            <m:r>
              <w:rPr>
                <w:rFonts w:ascii="Cambria Math" w:hAnsi="Cambria Math" w:cs="Times New Roman"/>
                <w:color w:val="000000" w:themeColor="text1"/>
              </w:rPr>
              <m:t xml:space="preserve"> </m:t>
            </m:r>
            <m:d>
              <m:dPr>
                <m:ctrlPr>
                  <w:rPr>
                    <w:rFonts w:ascii="Cambria Math" w:hAnsi="Cambria Math" w:cs="Times New Roman"/>
                    <w:i/>
                    <w:color w:val="000000" w:themeColor="text1"/>
                  </w:rPr>
                </m:ctrlPr>
              </m:dPr>
              <m:e>
                <m:r>
                  <w:rPr>
                    <w:rFonts w:ascii="Cambria Math" w:hAnsi="Cambria Math" w:cs="Times New Roman"/>
                    <w:color w:val="000000" w:themeColor="text1"/>
                  </w:rPr>
                  <m:t>N-1</m:t>
                </m:r>
              </m:e>
            </m:d>
            <m:r>
              <w:rPr>
                <w:rFonts w:ascii="Cambria Math" w:hAnsi="Cambria Math" w:cs="Times New Roman"/>
                <w:color w:val="000000" w:themeColor="text1"/>
              </w:rPr>
              <m:t>+</m:t>
            </m:r>
            <m:sSup>
              <m:sSupPr>
                <m:ctrlPr>
                  <w:rPr>
                    <w:rFonts w:ascii="Cambria Math" w:hAnsi="Cambria Math" w:cs="Times New Roman"/>
                    <w:i/>
                    <w:color w:val="000000" w:themeColor="text1"/>
                  </w:rPr>
                </m:ctrlPr>
              </m:sSupPr>
              <m:e>
                <m:sSub>
                  <m:sSubPr>
                    <m:ctrlPr>
                      <w:rPr>
                        <w:rFonts w:ascii="Cambria Math" w:hAnsi="Cambria Math" w:cs="Times New Roman"/>
                        <w:i/>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a</m:t>
                    </m:r>
                  </m:sub>
                </m:sSub>
              </m:e>
              <m:sup>
                <m:r>
                  <w:rPr>
                    <w:rFonts w:ascii="Cambria Math" w:hAnsi="Cambria Math" w:cs="Times New Roman"/>
                    <w:color w:val="000000" w:themeColor="text1"/>
                  </w:rPr>
                  <m:t>2</m:t>
                </m:r>
              </m:sup>
            </m:sSup>
            <m:r>
              <w:rPr>
                <w:rFonts w:ascii="Cambria Math" w:hAnsi="Cambria Math" w:cs="Times New Roman"/>
                <w:color w:val="000000" w:themeColor="text1"/>
              </w:rPr>
              <m:t xml:space="preserve"> p q</m:t>
            </m:r>
          </m:den>
        </m:f>
      </m:oMath>
      <w:r w:rsidRPr="009A217D">
        <w:rPr>
          <w:rFonts w:ascii="Times New Roman" w:hAnsi="Times New Roman" w:cs="Times New Roman"/>
          <w:color w:val="000000" w:themeColor="text1"/>
        </w:rPr>
        <w:t xml:space="preserve"> = 3196</w:t>
      </w:r>
    </w:p>
    <w:p w14:paraId="29197967" w14:textId="6FA1898D" w:rsidR="00C55C80" w:rsidRDefault="00F36CD8" w:rsidP="00FF6D96">
      <w:pPr>
        <w:spacing w:line="360" w:lineRule="auto"/>
        <w:ind w:firstLine="708"/>
        <w:jc w:val="both"/>
        <w:rPr>
          <w:rFonts w:ascii="Times New Roman" w:hAnsi="Times New Roman" w:cs="Times New Roman"/>
          <w:shd w:val="clear" w:color="auto" w:fill="FFFFFF"/>
        </w:rPr>
      </w:pPr>
      <w:r w:rsidRPr="009A217D">
        <w:rPr>
          <w:rFonts w:ascii="Times New Roman" w:hAnsi="Times New Roman" w:cs="Times New Roman"/>
          <w:shd w:val="clear" w:color="auto" w:fill="FFFFFF"/>
        </w:rPr>
        <w:t>Con el perfil establecido se obtuvo una muestra final de 3842 estudiantes</w:t>
      </w:r>
      <w:r w:rsidR="00054CD7" w:rsidRPr="009A217D">
        <w:rPr>
          <w:rFonts w:ascii="Times New Roman" w:hAnsi="Times New Roman" w:cs="Times New Roman"/>
          <w:shd w:val="clear" w:color="auto" w:fill="FFFFFF"/>
        </w:rPr>
        <w:t xml:space="preserve"> (de 15 a 29 años)</w:t>
      </w:r>
      <w:r w:rsidRPr="009A217D">
        <w:rPr>
          <w:rFonts w:ascii="Times New Roman" w:hAnsi="Times New Roman" w:cs="Times New Roman"/>
          <w:shd w:val="clear" w:color="auto" w:fill="FFFFFF"/>
        </w:rPr>
        <w:t xml:space="preserve"> que respondieron al instrumento aplicado</w:t>
      </w:r>
      <w:r w:rsidR="00DA11F9" w:rsidRPr="009A217D">
        <w:rPr>
          <w:rFonts w:ascii="Times New Roman" w:hAnsi="Times New Roman" w:cs="Times New Roman"/>
          <w:shd w:val="clear" w:color="auto" w:fill="FFFFFF"/>
        </w:rPr>
        <w:t>.</w:t>
      </w:r>
    </w:p>
    <w:p w14:paraId="433EDD19" w14:textId="77777777" w:rsidR="00873588" w:rsidRDefault="00873588" w:rsidP="00FF6D96">
      <w:pPr>
        <w:spacing w:line="360" w:lineRule="auto"/>
        <w:ind w:firstLine="708"/>
        <w:jc w:val="both"/>
        <w:rPr>
          <w:rFonts w:ascii="Times New Roman" w:hAnsi="Times New Roman" w:cs="Times New Roman"/>
          <w:shd w:val="clear" w:color="auto" w:fill="FFFFFF"/>
        </w:rPr>
      </w:pPr>
    </w:p>
    <w:p w14:paraId="464183CA" w14:textId="2C665885" w:rsidR="00196474" w:rsidRPr="009B4E5D" w:rsidRDefault="004B4E1F" w:rsidP="00421EB7">
      <w:pPr>
        <w:spacing w:line="360" w:lineRule="auto"/>
        <w:jc w:val="center"/>
        <w:rPr>
          <w:rFonts w:ascii="Times New Roman" w:hAnsi="Times New Roman" w:cs="Times New Roman"/>
          <w:b/>
          <w:bCs/>
          <w:sz w:val="32"/>
          <w:shd w:val="clear" w:color="auto" w:fill="FFFFFF"/>
        </w:rPr>
      </w:pPr>
      <w:r w:rsidRPr="009B4E5D">
        <w:rPr>
          <w:rFonts w:ascii="Times New Roman" w:hAnsi="Times New Roman" w:cs="Times New Roman"/>
          <w:b/>
          <w:bCs/>
          <w:sz w:val="32"/>
          <w:shd w:val="clear" w:color="auto" w:fill="FFFFFF"/>
        </w:rPr>
        <w:t>Resultados</w:t>
      </w:r>
    </w:p>
    <w:p w14:paraId="387F19FF" w14:textId="53B3B8EE" w:rsidR="00CF4068" w:rsidRPr="00DA11F9" w:rsidRDefault="00CF4068" w:rsidP="00421EB7">
      <w:pPr>
        <w:spacing w:line="360" w:lineRule="auto"/>
        <w:jc w:val="center"/>
        <w:rPr>
          <w:rFonts w:ascii="Times New Roman" w:hAnsi="Times New Roman" w:cs="Times New Roman"/>
          <w:b/>
          <w:bCs/>
          <w:sz w:val="28"/>
          <w:shd w:val="clear" w:color="auto" w:fill="FFFFFF"/>
        </w:rPr>
      </w:pPr>
      <w:r w:rsidRPr="00DA11F9">
        <w:rPr>
          <w:rFonts w:ascii="Times New Roman" w:hAnsi="Times New Roman" w:cs="Times New Roman"/>
          <w:b/>
          <w:bCs/>
          <w:sz w:val="28"/>
          <w:shd w:val="clear" w:color="auto" w:fill="FFFFFF"/>
        </w:rPr>
        <w:t>Primera etapa</w:t>
      </w:r>
      <w:r w:rsidR="00A979D1" w:rsidRPr="00DA11F9">
        <w:rPr>
          <w:rFonts w:ascii="Times New Roman" w:hAnsi="Times New Roman" w:cs="Times New Roman"/>
          <w:b/>
          <w:bCs/>
          <w:sz w:val="28"/>
          <w:shd w:val="clear" w:color="auto" w:fill="FFFFFF"/>
        </w:rPr>
        <w:t xml:space="preserve"> de los resultados</w:t>
      </w:r>
    </w:p>
    <w:p w14:paraId="3D0D2F2D" w14:textId="06256894" w:rsidR="00F03076" w:rsidRDefault="000354AC" w:rsidP="00FF6D96">
      <w:pPr>
        <w:spacing w:line="360" w:lineRule="auto"/>
        <w:ind w:firstLine="708"/>
        <w:jc w:val="both"/>
        <w:rPr>
          <w:rFonts w:ascii="Times New Roman" w:hAnsi="Times New Roman" w:cs="Times New Roman"/>
          <w:shd w:val="clear" w:color="auto" w:fill="FFFFFF"/>
        </w:rPr>
      </w:pPr>
      <w:r w:rsidRPr="009A217D">
        <w:rPr>
          <w:rFonts w:ascii="Times New Roman" w:hAnsi="Times New Roman" w:cs="Times New Roman"/>
          <w:shd w:val="clear" w:color="auto" w:fill="FFFFFF"/>
        </w:rPr>
        <w:t xml:space="preserve">En la primera etapa, se </w:t>
      </w:r>
      <w:r w:rsidR="00453C48">
        <w:rPr>
          <w:rFonts w:ascii="Times New Roman" w:hAnsi="Times New Roman" w:cs="Times New Roman"/>
          <w:shd w:val="clear" w:color="auto" w:fill="FFFFFF"/>
        </w:rPr>
        <w:t xml:space="preserve">obtuvo </w:t>
      </w:r>
      <w:r w:rsidR="00DB09BB">
        <w:rPr>
          <w:rFonts w:ascii="Times New Roman" w:hAnsi="Times New Roman" w:cs="Times New Roman"/>
          <w:shd w:val="clear" w:color="auto" w:fill="FFFFFF"/>
        </w:rPr>
        <w:t>respuesta de</w:t>
      </w:r>
      <w:r w:rsidRPr="009A217D">
        <w:rPr>
          <w:rFonts w:ascii="Times New Roman" w:hAnsi="Times New Roman" w:cs="Times New Roman"/>
          <w:shd w:val="clear" w:color="auto" w:fill="FFFFFF"/>
        </w:rPr>
        <w:t xml:space="preserve"> </w:t>
      </w:r>
      <w:r w:rsidR="0044304E" w:rsidRPr="009A217D">
        <w:rPr>
          <w:rFonts w:ascii="Times New Roman" w:hAnsi="Times New Roman" w:cs="Times New Roman"/>
          <w:shd w:val="clear" w:color="auto" w:fill="FFFFFF"/>
        </w:rPr>
        <w:t>1</w:t>
      </w:r>
      <w:r w:rsidR="003E75FF" w:rsidRPr="009A217D">
        <w:rPr>
          <w:rFonts w:ascii="Times New Roman" w:hAnsi="Times New Roman" w:cs="Times New Roman"/>
          <w:shd w:val="clear" w:color="auto" w:fill="FFFFFF"/>
        </w:rPr>
        <w:t>99</w:t>
      </w:r>
      <w:r w:rsidR="0044304E" w:rsidRPr="009A217D">
        <w:rPr>
          <w:rFonts w:ascii="Times New Roman" w:hAnsi="Times New Roman" w:cs="Times New Roman"/>
          <w:shd w:val="clear" w:color="auto" w:fill="FFFFFF"/>
        </w:rPr>
        <w:t xml:space="preserve"> estudiantes de nivel superior incorporados </w:t>
      </w:r>
      <w:r w:rsidR="00453C48">
        <w:rPr>
          <w:rFonts w:ascii="Times New Roman" w:hAnsi="Times New Roman" w:cs="Times New Roman"/>
          <w:shd w:val="clear" w:color="auto" w:fill="FFFFFF"/>
        </w:rPr>
        <w:t>en</w:t>
      </w:r>
      <w:r w:rsidR="0044304E" w:rsidRPr="009A217D">
        <w:rPr>
          <w:rFonts w:ascii="Times New Roman" w:hAnsi="Times New Roman" w:cs="Times New Roman"/>
          <w:shd w:val="clear" w:color="auto" w:fill="FFFFFF"/>
        </w:rPr>
        <w:t xml:space="preserve"> </w:t>
      </w:r>
      <w:r w:rsidR="00396144" w:rsidRPr="009A217D">
        <w:rPr>
          <w:rFonts w:ascii="Times New Roman" w:hAnsi="Times New Roman" w:cs="Times New Roman"/>
          <w:shd w:val="clear" w:color="auto" w:fill="FFFFFF"/>
        </w:rPr>
        <w:t xml:space="preserve">más de 20 instituciones académicas de </w:t>
      </w:r>
      <w:r w:rsidR="0044304E" w:rsidRPr="009A217D">
        <w:rPr>
          <w:rFonts w:ascii="Times New Roman" w:hAnsi="Times New Roman" w:cs="Times New Roman"/>
          <w:shd w:val="clear" w:color="auto" w:fill="FFFFFF"/>
        </w:rPr>
        <w:t xml:space="preserve">Yucatán. Las características </w:t>
      </w:r>
      <w:r w:rsidR="00453C48">
        <w:rPr>
          <w:rFonts w:ascii="Times New Roman" w:hAnsi="Times New Roman" w:cs="Times New Roman"/>
          <w:shd w:val="clear" w:color="auto" w:fill="FFFFFF"/>
        </w:rPr>
        <w:t xml:space="preserve">que estos poseen </w:t>
      </w:r>
      <w:r w:rsidR="0044304E" w:rsidRPr="009A217D">
        <w:rPr>
          <w:rFonts w:ascii="Times New Roman" w:hAnsi="Times New Roman" w:cs="Times New Roman"/>
          <w:shd w:val="clear" w:color="auto" w:fill="FFFFFF"/>
        </w:rPr>
        <w:t>son</w:t>
      </w:r>
      <w:r w:rsidR="00E934AF">
        <w:rPr>
          <w:rFonts w:ascii="Times New Roman" w:hAnsi="Times New Roman" w:cs="Times New Roman"/>
          <w:shd w:val="clear" w:color="auto" w:fill="FFFFFF"/>
        </w:rPr>
        <w:t>:</w:t>
      </w:r>
      <w:r w:rsidR="00E934AF" w:rsidRPr="009A217D">
        <w:rPr>
          <w:rFonts w:ascii="Times New Roman" w:hAnsi="Times New Roman" w:cs="Times New Roman"/>
          <w:shd w:val="clear" w:color="auto" w:fill="FFFFFF"/>
        </w:rPr>
        <w:t xml:space="preserve"> </w:t>
      </w:r>
      <w:r w:rsidR="00054CD7" w:rsidRPr="009A217D">
        <w:rPr>
          <w:rFonts w:ascii="Times New Roman" w:hAnsi="Times New Roman" w:cs="Times New Roman"/>
          <w:shd w:val="clear" w:color="auto" w:fill="FFFFFF"/>
        </w:rPr>
        <w:t>94.5</w:t>
      </w:r>
      <w:r w:rsidR="00E934AF">
        <w:rPr>
          <w:rFonts w:ascii="Times New Roman" w:hAnsi="Times New Roman" w:cs="Times New Roman"/>
          <w:shd w:val="clear" w:color="auto" w:fill="FFFFFF"/>
        </w:rPr>
        <w:t> </w:t>
      </w:r>
      <w:r w:rsidR="00054CD7" w:rsidRPr="009A217D">
        <w:rPr>
          <w:rFonts w:ascii="Times New Roman" w:hAnsi="Times New Roman" w:cs="Times New Roman"/>
          <w:shd w:val="clear" w:color="auto" w:fill="FFFFFF"/>
        </w:rPr>
        <w:t>% cuenta con</w:t>
      </w:r>
      <w:r w:rsidR="00E0707C" w:rsidRPr="009A217D">
        <w:rPr>
          <w:rFonts w:ascii="Times New Roman" w:hAnsi="Times New Roman" w:cs="Times New Roman"/>
          <w:shd w:val="clear" w:color="auto" w:fill="FFFFFF"/>
        </w:rPr>
        <w:t xml:space="preserve"> un estado civil de </w:t>
      </w:r>
      <w:r w:rsidR="00F36CD8" w:rsidRPr="009A217D">
        <w:rPr>
          <w:rFonts w:ascii="Times New Roman" w:hAnsi="Times New Roman" w:cs="Times New Roman"/>
          <w:shd w:val="clear" w:color="auto" w:fill="FFFFFF"/>
        </w:rPr>
        <w:t>solteros, la edad predominante</w:t>
      </w:r>
      <w:r w:rsidR="00F03076" w:rsidRPr="009A217D">
        <w:rPr>
          <w:rFonts w:ascii="Times New Roman" w:hAnsi="Times New Roman" w:cs="Times New Roman"/>
          <w:shd w:val="clear" w:color="auto" w:fill="FFFFFF"/>
        </w:rPr>
        <w:t xml:space="preserve"> fluctúa entre </w:t>
      </w:r>
      <w:r w:rsidR="00E934AF">
        <w:rPr>
          <w:rFonts w:ascii="Times New Roman" w:hAnsi="Times New Roman" w:cs="Times New Roman"/>
          <w:shd w:val="clear" w:color="auto" w:fill="FFFFFF"/>
        </w:rPr>
        <w:t xml:space="preserve">los </w:t>
      </w:r>
      <w:r w:rsidR="00F03076" w:rsidRPr="009A217D">
        <w:rPr>
          <w:rFonts w:ascii="Times New Roman" w:hAnsi="Times New Roman" w:cs="Times New Roman"/>
          <w:shd w:val="clear" w:color="auto" w:fill="FFFFFF"/>
        </w:rPr>
        <w:t xml:space="preserve">20 </w:t>
      </w:r>
      <w:r w:rsidR="00E934AF">
        <w:rPr>
          <w:rFonts w:ascii="Times New Roman" w:hAnsi="Times New Roman" w:cs="Times New Roman"/>
          <w:shd w:val="clear" w:color="auto" w:fill="FFFFFF"/>
        </w:rPr>
        <w:t>y</w:t>
      </w:r>
      <w:r w:rsidR="00E934AF" w:rsidRPr="009A217D">
        <w:rPr>
          <w:rFonts w:ascii="Times New Roman" w:hAnsi="Times New Roman" w:cs="Times New Roman"/>
          <w:shd w:val="clear" w:color="auto" w:fill="FFFFFF"/>
        </w:rPr>
        <w:t xml:space="preserve"> </w:t>
      </w:r>
      <w:r w:rsidR="00F03076" w:rsidRPr="009A217D">
        <w:rPr>
          <w:rFonts w:ascii="Times New Roman" w:hAnsi="Times New Roman" w:cs="Times New Roman"/>
          <w:shd w:val="clear" w:color="auto" w:fill="FFFFFF"/>
        </w:rPr>
        <w:t>24 años</w:t>
      </w:r>
      <w:r w:rsidR="00E934AF">
        <w:rPr>
          <w:rFonts w:ascii="Times New Roman" w:hAnsi="Times New Roman" w:cs="Times New Roman"/>
          <w:shd w:val="clear" w:color="auto" w:fill="FFFFFF"/>
        </w:rPr>
        <w:t>, bloque que</w:t>
      </w:r>
      <w:r w:rsidR="00F03076" w:rsidRPr="009A217D">
        <w:rPr>
          <w:rFonts w:ascii="Times New Roman" w:hAnsi="Times New Roman" w:cs="Times New Roman"/>
          <w:shd w:val="clear" w:color="auto" w:fill="FFFFFF"/>
        </w:rPr>
        <w:t xml:space="preserve"> </w:t>
      </w:r>
      <w:r w:rsidR="00E934AF">
        <w:rPr>
          <w:rFonts w:ascii="Times New Roman" w:hAnsi="Times New Roman" w:cs="Times New Roman"/>
          <w:shd w:val="clear" w:color="auto" w:fill="FFFFFF"/>
        </w:rPr>
        <w:t xml:space="preserve">representa </w:t>
      </w:r>
      <w:r w:rsidR="00F03076" w:rsidRPr="009A217D">
        <w:rPr>
          <w:rFonts w:ascii="Times New Roman" w:hAnsi="Times New Roman" w:cs="Times New Roman"/>
          <w:shd w:val="clear" w:color="auto" w:fill="FFFFFF"/>
        </w:rPr>
        <w:t>79.9</w:t>
      </w:r>
      <w:r w:rsidR="00E934AF">
        <w:rPr>
          <w:rFonts w:ascii="Times New Roman" w:hAnsi="Times New Roman" w:cs="Times New Roman"/>
          <w:shd w:val="clear" w:color="auto" w:fill="FFFFFF"/>
        </w:rPr>
        <w:t> </w:t>
      </w:r>
      <w:r w:rsidR="00F03076" w:rsidRPr="009A217D">
        <w:rPr>
          <w:rFonts w:ascii="Times New Roman" w:hAnsi="Times New Roman" w:cs="Times New Roman"/>
          <w:shd w:val="clear" w:color="auto" w:fill="FFFFFF"/>
        </w:rPr>
        <w:t>%</w:t>
      </w:r>
      <w:r w:rsidR="00E934AF">
        <w:rPr>
          <w:rFonts w:ascii="Times New Roman" w:hAnsi="Times New Roman" w:cs="Times New Roman"/>
          <w:shd w:val="clear" w:color="auto" w:fill="FFFFFF"/>
        </w:rPr>
        <w:t xml:space="preserve"> del total</w:t>
      </w:r>
      <w:r w:rsidR="00F03076" w:rsidRPr="009A217D">
        <w:rPr>
          <w:rFonts w:ascii="Times New Roman" w:hAnsi="Times New Roman" w:cs="Times New Roman"/>
          <w:shd w:val="clear" w:color="auto" w:fill="FFFFFF"/>
        </w:rPr>
        <w:t xml:space="preserve">, el grado educativo cursado </w:t>
      </w:r>
      <w:r w:rsidR="00054CD7" w:rsidRPr="009A217D">
        <w:rPr>
          <w:rFonts w:ascii="Times New Roman" w:hAnsi="Times New Roman" w:cs="Times New Roman"/>
          <w:shd w:val="clear" w:color="auto" w:fill="FFFFFF"/>
        </w:rPr>
        <w:t>de mayor representatividad</w:t>
      </w:r>
      <w:r w:rsidR="00E0707C" w:rsidRPr="009A217D">
        <w:rPr>
          <w:rFonts w:ascii="Times New Roman" w:hAnsi="Times New Roman" w:cs="Times New Roman"/>
          <w:shd w:val="clear" w:color="auto" w:fill="FFFFFF"/>
        </w:rPr>
        <w:t xml:space="preserve"> </w:t>
      </w:r>
      <w:r w:rsidR="00E934AF">
        <w:rPr>
          <w:rFonts w:ascii="Times New Roman" w:hAnsi="Times New Roman" w:cs="Times New Roman"/>
          <w:shd w:val="clear" w:color="auto" w:fill="FFFFFF"/>
        </w:rPr>
        <w:t xml:space="preserve">fue </w:t>
      </w:r>
      <w:r w:rsidR="00F03076" w:rsidRPr="009A217D">
        <w:rPr>
          <w:rFonts w:ascii="Times New Roman" w:hAnsi="Times New Roman" w:cs="Times New Roman"/>
          <w:shd w:val="clear" w:color="auto" w:fill="FFFFFF"/>
        </w:rPr>
        <w:t xml:space="preserve">el </w:t>
      </w:r>
      <w:r w:rsidR="0078345A" w:rsidRPr="009A217D">
        <w:rPr>
          <w:rFonts w:ascii="Times New Roman" w:hAnsi="Times New Roman" w:cs="Times New Roman"/>
          <w:shd w:val="clear" w:color="auto" w:fill="FFFFFF"/>
        </w:rPr>
        <w:t xml:space="preserve">sexto </w:t>
      </w:r>
      <w:r w:rsidR="00E0707C" w:rsidRPr="009A217D">
        <w:rPr>
          <w:rFonts w:ascii="Times New Roman" w:hAnsi="Times New Roman" w:cs="Times New Roman"/>
          <w:shd w:val="clear" w:color="auto" w:fill="FFFFFF"/>
        </w:rPr>
        <w:t>grado</w:t>
      </w:r>
      <w:r w:rsidR="00E934AF">
        <w:rPr>
          <w:rFonts w:ascii="Times New Roman" w:hAnsi="Times New Roman" w:cs="Times New Roman"/>
          <w:shd w:val="clear" w:color="auto" w:fill="FFFFFF"/>
        </w:rPr>
        <w:t>,</w:t>
      </w:r>
      <w:r w:rsidR="00F03076" w:rsidRPr="009A217D">
        <w:rPr>
          <w:rFonts w:ascii="Times New Roman" w:hAnsi="Times New Roman" w:cs="Times New Roman"/>
          <w:shd w:val="clear" w:color="auto" w:fill="FFFFFF"/>
        </w:rPr>
        <w:t xml:space="preserve"> </w:t>
      </w:r>
      <w:r w:rsidR="00E934AF">
        <w:rPr>
          <w:rFonts w:ascii="Times New Roman" w:hAnsi="Times New Roman" w:cs="Times New Roman"/>
          <w:shd w:val="clear" w:color="auto" w:fill="FFFFFF"/>
        </w:rPr>
        <w:t xml:space="preserve">con </w:t>
      </w:r>
      <w:r w:rsidR="00F03076" w:rsidRPr="009A217D">
        <w:rPr>
          <w:rFonts w:ascii="Times New Roman" w:hAnsi="Times New Roman" w:cs="Times New Roman"/>
          <w:shd w:val="clear" w:color="auto" w:fill="FFFFFF"/>
        </w:rPr>
        <w:t>26.</w:t>
      </w:r>
      <w:r w:rsidR="00406CB4" w:rsidRPr="009A217D">
        <w:rPr>
          <w:rFonts w:ascii="Times New Roman" w:hAnsi="Times New Roman" w:cs="Times New Roman"/>
          <w:shd w:val="clear" w:color="auto" w:fill="FFFFFF"/>
        </w:rPr>
        <w:t>5</w:t>
      </w:r>
      <w:r w:rsidR="00E934AF">
        <w:rPr>
          <w:rFonts w:ascii="Times New Roman" w:hAnsi="Times New Roman" w:cs="Times New Roman"/>
          <w:shd w:val="clear" w:color="auto" w:fill="FFFFFF"/>
        </w:rPr>
        <w:t> </w:t>
      </w:r>
      <w:r w:rsidR="00F03076" w:rsidRPr="009A217D">
        <w:rPr>
          <w:rFonts w:ascii="Times New Roman" w:hAnsi="Times New Roman" w:cs="Times New Roman"/>
          <w:shd w:val="clear" w:color="auto" w:fill="FFFFFF"/>
        </w:rPr>
        <w:t xml:space="preserve">%, </w:t>
      </w:r>
      <w:r w:rsidR="00453C48">
        <w:rPr>
          <w:rFonts w:ascii="Times New Roman" w:hAnsi="Times New Roman" w:cs="Times New Roman"/>
          <w:shd w:val="clear" w:color="auto" w:fill="FFFFFF"/>
        </w:rPr>
        <w:t>y</w:t>
      </w:r>
      <w:r w:rsidR="00E934AF">
        <w:rPr>
          <w:rFonts w:ascii="Times New Roman" w:hAnsi="Times New Roman" w:cs="Times New Roman"/>
          <w:shd w:val="clear" w:color="auto" w:fill="FFFFFF"/>
        </w:rPr>
        <w:t xml:space="preserve"> la mayoría estaban</w:t>
      </w:r>
      <w:r w:rsidR="00453C48">
        <w:rPr>
          <w:rFonts w:ascii="Times New Roman" w:hAnsi="Times New Roman" w:cs="Times New Roman"/>
          <w:shd w:val="clear" w:color="auto" w:fill="FFFFFF"/>
        </w:rPr>
        <w:t xml:space="preserve"> </w:t>
      </w:r>
      <w:r w:rsidR="00A419AC">
        <w:rPr>
          <w:rFonts w:ascii="Times New Roman" w:hAnsi="Times New Roman" w:cs="Times New Roman"/>
          <w:shd w:val="clear" w:color="auto" w:fill="FFFFFF"/>
        </w:rPr>
        <w:t xml:space="preserve">adscritos </w:t>
      </w:r>
      <w:r w:rsidR="00E934AF">
        <w:rPr>
          <w:rFonts w:ascii="Times New Roman" w:hAnsi="Times New Roman" w:cs="Times New Roman"/>
          <w:shd w:val="clear" w:color="auto" w:fill="FFFFFF"/>
        </w:rPr>
        <w:t xml:space="preserve">a </w:t>
      </w:r>
      <w:r w:rsidR="00453C48">
        <w:rPr>
          <w:rFonts w:ascii="Times New Roman" w:hAnsi="Times New Roman" w:cs="Times New Roman"/>
          <w:shd w:val="clear" w:color="auto" w:fill="FFFFFF"/>
        </w:rPr>
        <w:t>un</w:t>
      </w:r>
      <w:r w:rsidR="00F03076" w:rsidRPr="009A217D">
        <w:rPr>
          <w:rFonts w:ascii="Times New Roman" w:hAnsi="Times New Roman" w:cs="Times New Roman"/>
          <w:shd w:val="clear" w:color="auto" w:fill="FFFFFF"/>
        </w:rPr>
        <w:t xml:space="preserve"> sistema educativo cuatrimestral </w:t>
      </w:r>
      <w:r w:rsidR="00E934AF">
        <w:rPr>
          <w:rFonts w:ascii="Times New Roman" w:hAnsi="Times New Roman" w:cs="Times New Roman"/>
          <w:shd w:val="clear" w:color="auto" w:fill="FFFFFF"/>
        </w:rPr>
        <w:t>(</w:t>
      </w:r>
      <w:r w:rsidR="00F03076" w:rsidRPr="009A217D">
        <w:rPr>
          <w:rFonts w:ascii="Times New Roman" w:hAnsi="Times New Roman" w:cs="Times New Roman"/>
          <w:shd w:val="clear" w:color="auto" w:fill="FFFFFF"/>
        </w:rPr>
        <w:t>60.8</w:t>
      </w:r>
      <w:r w:rsidR="00E934AF">
        <w:rPr>
          <w:rFonts w:ascii="Times New Roman" w:hAnsi="Times New Roman" w:cs="Times New Roman"/>
          <w:shd w:val="clear" w:color="auto" w:fill="FFFFFF"/>
        </w:rPr>
        <w:t> </w:t>
      </w:r>
      <w:r w:rsidR="00F03076" w:rsidRPr="009A217D">
        <w:rPr>
          <w:rFonts w:ascii="Times New Roman" w:hAnsi="Times New Roman" w:cs="Times New Roman"/>
          <w:shd w:val="clear" w:color="auto" w:fill="FFFFFF"/>
        </w:rPr>
        <w:t>%</w:t>
      </w:r>
      <w:r w:rsidR="00E934AF">
        <w:rPr>
          <w:rFonts w:ascii="Times New Roman" w:hAnsi="Times New Roman" w:cs="Times New Roman"/>
          <w:shd w:val="clear" w:color="auto" w:fill="FFFFFF"/>
        </w:rPr>
        <w:t>)</w:t>
      </w:r>
      <w:r w:rsidR="00F03076" w:rsidRPr="009A217D">
        <w:rPr>
          <w:rFonts w:ascii="Times New Roman" w:hAnsi="Times New Roman" w:cs="Times New Roman"/>
          <w:shd w:val="clear" w:color="auto" w:fill="FFFFFF"/>
        </w:rPr>
        <w:t xml:space="preserve"> (tabla 3).</w:t>
      </w:r>
    </w:p>
    <w:p w14:paraId="08C9AA7A" w14:textId="6431D834" w:rsidR="00F36CD8" w:rsidRDefault="00F03076" w:rsidP="00FF6D96">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14:paraId="6740280B" w14:textId="234D1014" w:rsidR="00C23DC2" w:rsidRDefault="00C23DC2" w:rsidP="00FF6D96">
      <w:pPr>
        <w:spacing w:line="360" w:lineRule="auto"/>
        <w:jc w:val="both"/>
        <w:rPr>
          <w:rFonts w:ascii="Times New Roman" w:hAnsi="Times New Roman" w:cs="Times New Roman"/>
          <w:shd w:val="clear" w:color="auto" w:fill="FFFFFF"/>
        </w:rPr>
      </w:pPr>
    </w:p>
    <w:p w14:paraId="5E6EA030" w14:textId="550431DF" w:rsidR="00C23DC2" w:rsidRDefault="00C23DC2" w:rsidP="00FF6D96">
      <w:pPr>
        <w:spacing w:line="360" w:lineRule="auto"/>
        <w:jc w:val="both"/>
        <w:rPr>
          <w:rFonts w:ascii="Times New Roman" w:hAnsi="Times New Roman" w:cs="Times New Roman"/>
          <w:shd w:val="clear" w:color="auto" w:fill="FFFFFF"/>
        </w:rPr>
      </w:pPr>
    </w:p>
    <w:p w14:paraId="1CFA0916" w14:textId="3F3B5900" w:rsidR="00C23DC2" w:rsidRDefault="00C23DC2" w:rsidP="00FF6D96">
      <w:pPr>
        <w:spacing w:line="360" w:lineRule="auto"/>
        <w:jc w:val="both"/>
        <w:rPr>
          <w:rFonts w:ascii="Times New Roman" w:hAnsi="Times New Roman" w:cs="Times New Roman"/>
          <w:shd w:val="clear" w:color="auto" w:fill="FFFFFF"/>
        </w:rPr>
      </w:pPr>
    </w:p>
    <w:p w14:paraId="62D21DD4" w14:textId="31CF3D23" w:rsidR="00C23DC2" w:rsidRDefault="00C23DC2" w:rsidP="00FF6D96">
      <w:pPr>
        <w:spacing w:line="360" w:lineRule="auto"/>
        <w:jc w:val="both"/>
        <w:rPr>
          <w:rFonts w:ascii="Times New Roman" w:hAnsi="Times New Roman" w:cs="Times New Roman"/>
          <w:shd w:val="clear" w:color="auto" w:fill="FFFFFF"/>
        </w:rPr>
      </w:pPr>
    </w:p>
    <w:p w14:paraId="76692980" w14:textId="77777777" w:rsidR="00C23DC2" w:rsidRDefault="00C23DC2" w:rsidP="00FF6D96">
      <w:pPr>
        <w:spacing w:line="360" w:lineRule="auto"/>
        <w:jc w:val="both"/>
        <w:rPr>
          <w:rFonts w:ascii="Times New Roman" w:hAnsi="Times New Roman" w:cs="Times New Roman"/>
          <w:shd w:val="clear" w:color="auto" w:fill="FFFFFF"/>
        </w:rPr>
      </w:pPr>
    </w:p>
    <w:p w14:paraId="3B9DCA3C" w14:textId="77777777" w:rsidR="00F36CD8" w:rsidRPr="00C55C80" w:rsidRDefault="00F36CD8" w:rsidP="00FF6D96">
      <w:pPr>
        <w:autoSpaceDE w:val="0"/>
        <w:autoSpaceDN w:val="0"/>
        <w:adjustRightInd w:val="0"/>
        <w:spacing w:line="360" w:lineRule="auto"/>
        <w:jc w:val="center"/>
        <w:rPr>
          <w:rFonts w:ascii="Times New Roman" w:eastAsiaTheme="minorHAnsi" w:hAnsi="Times New Roman" w:cs="Times New Roman"/>
          <w:lang w:val="es-MX" w:eastAsia="en-US"/>
        </w:rPr>
      </w:pPr>
      <w:r w:rsidRPr="00523D04">
        <w:rPr>
          <w:rFonts w:ascii="Times New Roman" w:eastAsiaTheme="minorHAnsi" w:hAnsi="Times New Roman" w:cs="Times New Roman"/>
          <w:b/>
          <w:lang w:val="es-MX" w:eastAsia="en-US"/>
        </w:rPr>
        <w:lastRenderedPageBreak/>
        <w:t>Tabla 3</w:t>
      </w:r>
      <w:r>
        <w:rPr>
          <w:rFonts w:ascii="Times New Roman" w:eastAsiaTheme="minorHAnsi" w:hAnsi="Times New Roman" w:cs="Times New Roman"/>
          <w:lang w:val="es-MX" w:eastAsia="en-US"/>
        </w:rPr>
        <w:t>. Caracterización de los jóvenes sujetos de estudio</w:t>
      </w:r>
    </w:p>
    <w:tbl>
      <w:tblPr>
        <w:tblStyle w:val="Tablanormal2"/>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449"/>
        <w:gridCol w:w="1449"/>
        <w:gridCol w:w="1449"/>
        <w:gridCol w:w="1449"/>
        <w:gridCol w:w="1449"/>
      </w:tblGrid>
      <w:tr w:rsidR="00F36CD8" w:rsidRPr="00421EB7" w14:paraId="299CD461" w14:textId="77777777" w:rsidTr="00523D04">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095" w:type="dxa"/>
            <w:tcBorders>
              <w:bottom w:val="none" w:sz="0" w:space="0" w:color="auto"/>
            </w:tcBorders>
            <w:noWrap/>
            <w:hideMark/>
          </w:tcPr>
          <w:p w14:paraId="2F643751" w14:textId="77777777" w:rsidR="00F36CD8" w:rsidRPr="00421EB7" w:rsidRDefault="00F36CD8" w:rsidP="00FF6D96">
            <w:pPr>
              <w:spacing w:line="360" w:lineRule="auto"/>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 </w:t>
            </w:r>
          </w:p>
        </w:tc>
        <w:tc>
          <w:tcPr>
            <w:tcW w:w="1449" w:type="dxa"/>
            <w:tcBorders>
              <w:bottom w:val="none" w:sz="0" w:space="0" w:color="auto"/>
            </w:tcBorders>
            <w:hideMark/>
          </w:tcPr>
          <w:p w14:paraId="32AAD7E6" w14:textId="77777777" w:rsidR="00F36CD8" w:rsidRPr="00421EB7" w:rsidRDefault="00F36CD8"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Media</w:t>
            </w:r>
          </w:p>
        </w:tc>
        <w:tc>
          <w:tcPr>
            <w:tcW w:w="1449" w:type="dxa"/>
            <w:tcBorders>
              <w:bottom w:val="none" w:sz="0" w:space="0" w:color="auto"/>
            </w:tcBorders>
            <w:hideMark/>
          </w:tcPr>
          <w:p w14:paraId="5F29523E" w14:textId="77777777" w:rsidR="00F36CD8" w:rsidRPr="00421EB7" w:rsidRDefault="00F36CD8"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Desv. Estándar</w:t>
            </w:r>
          </w:p>
        </w:tc>
        <w:tc>
          <w:tcPr>
            <w:tcW w:w="1449" w:type="dxa"/>
            <w:tcBorders>
              <w:bottom w:val="none" w:sz="0" w:space="0" w:color="auto"/>
            </w:tcBorders>
            <w:hideMark/>
          </w:tcPr>
          <w:p w14:paraId="4F44FD7F" w14:textId="77777777" w:rsidR="00F36CD8" w:rsidRPr="00421EB7" w:rsidRDefault="00F36CD8"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Varianza</w:t>
            </w:r>
          </w:p>
        </w:tc>
        <w:tc>
          <w:tcPr>
            <w:tcW w:w="1449" w:type="dxa"/>
            <w:tcBorders>
              <w:bottom w:val="none" w:sz="0" w:space="0" w:color="auto"/>
            </w:tcBorders>
            <w:hideMark/>
          </w:tcPr>
          <w:p w14:paraId="24BDDD56" w14:textId="77777777" w:rsidR="00F36CD8" w:rsidRPr="00421EB7" w:rsidRDefault="00F36CD8"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Asimetría</w:t>
            </w:r>
          </w:p>
        </w:tc>
        <w:tc>
          <w:tcPr>
            <w:tcW w:w="1449" w:type="dxa"/>
            <w:tcBorders>
              <w:bottom w:val="none" w:sz="0" w:space="0" w:color="auto"/>
            </w:tcBorders>
            <w:hideMark/>
          </w:tcPr>
          <w:p w14:paraId="22E0EACF" w14:textId="77777777" w:rsidR="00F36CD8" w:rsidRPr="00421EB7" w:rsidRDefault="00F36CD8" w:rsidP="00FF6D9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Curtosis</w:t>
            </w:r>
          </w:p>
        </w:tc>
      </w:tr>
      <w:tr w:rsidR="00F36CD8" w:rsidRPr="00421EB7" w14:paraId="304FBD2A" w14:textId="77777777" w:rsidTr="00523D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Borders>
              <w:top w:val="none" w:sz="0" w:space="0" w:color="auto"/>
              <w:bottom w:val="none" w:sz="0" w:space="0" w:color="auto"/>
            </w:tcBorders>
            <w:hideMark/>
          </w:tcPr>
          <w:p w14:paraId="008C442A" w14:textId="6429A545" w:rsidR="00F36CD8" w:rsidRPr="00421EB7" w:rsidRDefault="00F36CD8" w:rsidP="00FF6D96">
            <w:pPr>
              <w:spacing w:line="360" w:lineRule="auto"/>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 xml:space="preserve">Estado </w:t>
            </w:r>
            <w:r w:rsidR="00E934AF" w:rsidRPr="00421EB7">
              <w:rPr>
                <w:rFonts w:ascii="Times New Roman" w:eastAsia="Times New Roman" w:hAnsi="Times New Roman" w:cs="Times New Roman"/>
                <w:b w:val="0"/>
                <w:bCs w:val="0"/>
                <w:szCs w:val="22"/>
                <w:lang w:val="es-MX" w:eastAsia="es-MX"/>
              </w:rPr>
              <w:t>c</w:t>
            </w:r>
            <w:r w:rsidR="00333753" w:rsidRPr="00421EB7">
              <w:rPr>
                <w:rFonts w:ascii="Times New Roman" w:eastAsia="Times New Roman" w:hAnsi="Times New Roman" w:cs="Times New Roman"/>
                <w:b w:val="0"/>
                <w:bCs w:val="0"/>
                <w:szCs w:val="22"/>
                <w:lang w:val="es-MX" w:eastAsia="es-MX"/>
              </w:rPr>
              <w:t>i</w:t>
            </w:r>
            <w:r w:rsidRPr="00421EB7">
              <w:rPr>
                <w:rFonts w:ascii="Times New Roman" w:eastAsia="Times New Roman" w:hAnsi="Times New Roman" w:cs="Times New Roman"/>
                <w:b w:val="0"/>
                <w:bCs w:val="0"/>
                <w:szCs w:val="22"/>
                <w:lang w:val="es-MX" w:eastAsia="es-MX"/>
              </w:rPr>
              <w:t>vil</w:t>
            </w:r>
          </w:p>
        </w:tc>
        <w:tc>
          <w:tcPr>
            <w:tcW w:w="1449" w:type="dxa"/>
            <w:tcBorders>
              <w:top w:val="none" w:sz="0" w:space="0" w:color="auto"/>
              <w:bottom w:val="none" w:sz="0" w:space="0" w:color="auto"/>
            </w:tcBorders>
            <w:noWrap/>
            <w:hideMark/>
          </w:tcPr>
          <w:p w14:paraId="201FB835"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1.09</w:t>
            </w:r>
          </w:p>
        </w:tc>
        <w:tc>
          <w:tcPr>
            <w:tcW w:w="1449" w:type="dxa"/>
            <w:tcBorders>
              <w:top w:val="none" w:sz="0" w:space="0" w:color="auto"/>
              <w:bottom w:val="none" w:sz="0" w:space="0" w:color="auto"/>
            </w:tcBorders>
            <w:noWrap/>
            <w:hideMark/>
          </w:tcPr>
          <w:p w14:paraId="7BEA7E87"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0.463</w:t>
            </w:r>
          </w:p>
        </w:tc>
        <w:tc>
          <w:tcPr>
            <w:tcW w:w="1449" w:type="dxa"/>
            <w:tcBorders>
              <w:top w:val="none" w:sz="0" w:space="0" w:color="auto"/>
              <w:bottom w:val="none" w:sz="0" w:space="0" w:color="auto"/>
            </w:tcBorders>
            <w:noWrap/>
            <w:hideMark/>
          </w:tcPr>
          <w:p w14:paraId="6E04EC00"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0.214</w:t>
            </w:r>
          </w:p>
        </w:tc>
        <w:tc>
          <w:tcPr>
            <w:tcW w:w="1449" w:type="dxa"/>
            <w:tcBorders>
              <w:top w:val="none" w:sz="0" w:space="0" w:color="auto"/>
              <w:bottom w:val="none" w:sz="0" w:space="0" w:color="auto"/>
            </w:tcBorders>
            <w:noWrap/>
            <w:hideMark/>
          </w:tcPr>
          <w:p w14:paraId="4DDEB442"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6.821</w:t>
            </w:r>
          </w:p>
        </w:tc>
        <w:tc>
          <w:tcPr>
            <w:tcW w:w="1449" w:type="dxa"/>
            <w:tcBorders>
              <w:top w:val="none" w:sz="0" w:space="0" w:color="auto"/>
              <w:bottom w:val="none" w:sz="0" w:space="0" w:color="auto"/>
            </w:tcBorders>
            <w:noWrap/>
            <w:hideMark/>
          </w:tcPr>
          <w:p w14:paraId="73B63658"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52.203</w:t>
            </w:r>
          </w:p>
        </w:tc>
      </w:tr>
      <w:tr w:rsidR="00F36CD8" w:rsidRPr="00421EB7" w14:paraId="11770436" w14:textId="77777777" w:rsidTr="00523D04">
        <w:trPr>
          <w:trHeight w:val="317"/>
        </w:trPr>
        <w:tc>
          <w:tcPr>
            <w:cnfStyle w:val="001000000000" w:firstRow="0" w:lastRow="0" w:firstColumn="1" w:lastColumn="0" w:oddVBand="0" w:evenVBand="0" w:oddHBand="0" w:evenHBand="0" w:firstRowFirstColumn="0" w:firstRowLastColumn="0" w:lastRowFirstColumn="0" w:lastRowLastColumn="0"/>
            <w:tcW w:w="2095" w:type="dxa"/>
            <w:hideMark/>
          </w:tcPr>
          <w:p w14:paraId="7E18BD02" w14:textId="77777777" w:rsidR="00F36CD8" w:rsidRPr="00421EB7" w:rsidRDefault="00F36CD8" w:rsidP="00FF6D96">
            <w:pPr>
              <w:spacing w:line="360" w:lineRule="auto"/>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Edad</w:t>
            </w:r>
          </w:p>
        </w:tc>
        <w:tc>
          <w:tcPr>
            <w:tcW w:w="1449" w:type="dxa"/>
            <w:noWrap/>
            <w:hideMark/>
          </w:tcPr>
          <w:p w14:paraId="1618043E"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1.91</w:t>
            </w:r>
          </w:p>
        </w:tc>
        <w:tc>
          <w:tcPr>
            <w:tcW w:w="1449" w:type="dxa"/>
            <w:noWrap/>
            <w:hideMark/>
          </w:tcPr>
          <w:p w14:paraId="32678495"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0.44</w:t>
            </w:r>
          </w:p>
        </w:tc>
        <w:tc>
          <w:tcPr>
            <w:tcW w:w="1449" w:type="dxa"/>
            <w:noWrap/>
            <w:hideMark/>
          </w:tcPr>
          <w:p w14:paraId="48561B99"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0.194</w:t>
            </w:r>
          </w:p>
        </w:tc>
        <w:tc>
          <w:tcPr>
            <w:tcW w:w="1449" w:type="dxa"/>
            <w:noWrap/>
            <w:hideMark/>
          </w:tcPr>
          <w:p w14:paraId="2A6DA3C3"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-0.445</w:t>
            </w:r>
          </w:p>
        </w:tc>
        <w:tc>
          <w:tcPr>
            <w:tcW w:w="1449" w:type="dxa"/>
            <w:noWrap/>
            <w:hideMark/>
          </w:tcPr>
          <w:p w14:paraId="4B3027E3"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1.862</w:t>
            </w:r>
          </w:p>
        </w:tc>
      </w:tr>
      <w:tr w:rsidR="00F36CD8" w:rsidRPr="00421EB7" w14:paraId="39691409" w14:textId="77777777" w:rsidTr="00523D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Borders>
              <w:top w:val="none" w:sz="0" w:space="0" w:color="auto"/>
              <w:bottom w:val="none" w:sz="0" w:space="0" w:color="auto"/>
            </w:tcBorders>
            <w:hideMark/>
          </w:tcPr>
          <w:p w14:paraId="1DE94FCE" w14:textId="77777777" w:rsidR="00F36CD8" w:rsidRPr="00421EB7" w:rsidRDefault="00F36CD8" w:rsidP="00FF6D96">
            <w:pPr>
              <w:spacing w:line="360" w:lineRule="auto"/>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Grado</w:t>
            </w:r>
          </w:p>
        </w:tc>
        <w:tc>
          <w:tcPr>
            <w:tcW w:w="1449" w:type="dxa"/>
            <w:tcBorders>
              <w:top w:val="none" w:sz="0" w:space="0" w:color="auto"/>
              <w:bottom w:val="none" w:sz="0" w:space="0" w:color="auto"/>
            </w:tcBorders>
            <w:noWrap/>
            <w:hideMark/>
          </w:tcPr>
          <w:p w14:paraId="1AA7508E"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5.71</w:t>
            </w:r>
          </w:p>
        </w:tc>
        <w:tc>
          <w:tcPr>
            <w:tcW w:w="1449" w:type="dxa"/>
            <w:tcBorders>
              <w:top w:val="none" w:sz="0" w:space="0" w:color="auto"/>
              <w:bottom w:val="none" w:sz="0" w:space="0" w:color="auto"/>
            </w:tcBorders>
            <w:noWrap/>
            <w:hideMark/>
          </w:tcPr>
          <w:p w14:paraId="1FCA0C56"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2.371</w:t>
            </w:r>
          </w:p>
        </w:tc>
        <w:tc>
          <w:tcPr>
            <w:tcW w:w="1449" w:type="dxa"/>
            <w:tcBorders>
              <w:top w:val="none" w:sz="0" w:space="0" w:color="auto"/>
              <w:bottom w:val="none" w:sz="0" w:space="0" w:color="auto"/>
            </w:tcBorders>
            <w:noWrap/>
            <w:hideMark/>
          </w:tcPr>
          <w:p w14:paraId="2548144A"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5.622</w:t>
            </w:r>
          </w:p>
        </w:tc>
        <w:tc>
          <w:tcPr>
            <w:tcW w:w="1449" w:type="dxa"/>
            <w:tcBorders>
              <w:top w:val="none" w:sz="0" w:space="0" w:color="auto"/>
              <w:bottom w:val="none" w:sz="0" w:space="0" w:color="auto"/>
            </w:tcBorders>
            <w:noWrap/>
            <w:hideMark/>
          </w:tcPr>
          <w:p w14:paraId="593F1494"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-0.084</w:t>
            </w:r>
          </w:p>
        </w:tc>
        <w:tc>
          <w:tcPr>
            <w:tcW w:w="1449" w:type="dxa"/>
            <w:tcBorders>
              <w:top w:val="none" w:sz="0" w:space="0" w:color="auto"/>
              <w:bottom w:val="none" w:sz="0" w:space="0" w:color="auto"/>
            </w:tcBorders>
            <w:noWrap/>
            <w:hideMark/>
          </w:tcPr>
          <w:p w14:paraId="6405465C" w14:textId="77777777" w:rsidR="00F36CD8" w:rsidRPr="00421EB7" w:rsidRDefault="00F36CD8" w:rsidP="00FF6D9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-0.893</w:t>
            </w:r>
          </w:p>
        </w:tc>
      </w:tr>
      <w:tr w:rsidR="00F36CD8" w:rsidRPr="00421EB7" w14:paraId="31A6430F" w14:textId="77777777" w:rsidTr="00523D04">
        <w:trPr>
          <w:trHeight w:val="317"/>
        </w:trPr>
        <w:tc>
          <w:tcPr>
            <w:cnfStyle w:val="001000000000" w:firstRow="0" w:lastRow="0" w:firstColumn="1" w:lastColumn="0" w:oddVBand="0" w:evenVBand="0" w:oddHBand="0" w:evenHBand="0" w:firstRowFirstColumn="0" w:firstRowLastColumn="0" w:lastRowFirstColumn="0" w:lastRowLastColumn="0"/>
            <w:tcW w:w="2095" w:type="dxa"/>
            <w:hideMark/>
          </w:tcPr>
          <w:p w14:paraId="0F32643B" w14:textId="2CB6280D" w:rsidR="00F36CD8" w:rsidRPr="00421EB7" w:rsidRDefault="00F36CD8" w:rsidP="00FF6D96">
            <w:pPr>
              <w:spacing w:line="360" w:lineRule="auto"/>
              <w:rPr>
                <w:rFonts w:ascii="Times New Roman" w:eastAsia="Times New Roman" w:hAnsi="Times New Roman" w:cs="Times New Roman"/>
                <w:b w:val="0"/>
                <w:bCs w:val="0"/>
                <w:szCs w:val="22"/>
                <w:lang w:val="es-MX" w:eastAsia="es-MX"/>
              </w:rPr>
            </w:pPr>
            <w:r w:rsidRPr="00421EB7">
              <w:rPr>
                <w:rFonts w:ascii="Times New Roman" w:eastAsia="Times New Roman" w:hAnsi="Times New Roman" w:cs="Times New Roman"/>
                <w:b w:val="0"/>
                <w:bCs w:val="0"/>
                <w:szCs w:val="22"/>
                <w:lang w:val="es-MX" w:eastAsia="es-MX"/>
              </w:rPr>
              <w:t xml:space="preserve">Sistema </w:t>
            </w:r>
            <w:r w:rsidR="00E934AF" w:rsidRPr="00421EB7">
              <w:rPr>
                <w:rFonts w:ascii="Times New Roman" w:eastAsia="Times New Roman" w:hAnsi="Times New Roman" w:cs="Times New Roman"/>
                <w:b w:val="0"/>
                <w:bCs w:val="0"/>
                <w:szCs w:val="22"/>
                <w:lang w:val="es-MX" w:eastAsia="es-MX"/>
              </w:rPr>
              <w:t>e</w:t>
            </w:r>
            <w:r w:rsidRPr="00421EB7">
              <w:rPr>
                <w:rFonts w:ascii="Times New Roman" w:eastAsia="Times New Roman" w:hAnsi="Times New Roman" w:cs="Times New Roman"/>
                <w:b w:val="0"/>
                <w:bCs w:val="0"/>
                <w:szCs w:val="22"/>
                <w:lang w:val="es-MX" w:eastAsia="es-MX"/>
              </w:rPr>
              <w:t>ducativo</w:t>
            </w:r>
          </w:p>
        </w:tc>
        <w:tc>
          <w:tcPr>
            <w:tcW w:w="1449" w:type="dxa"/>
            <w:noWrap/>
            <w:hideMark/>
          </w:tcPr>
          <w:p w14:paraId="1B3BDF70"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1.39</w:t>
            </w:r>
          </w:p>
        </w:tc>
        <w:tc>
          <w:tcPr>
            <w:tcW w:w="1449" w:type="dxa"/>
            <w:noWrap/>
            <w:hideMark/>
          </w:tcPr>
          <w:p w14:paraId="62F78169"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0.489</w:t>
            </w:r>
          </w:p>
        </w:tc>
        <w:tc>
          <w:tcPr>
            <w:tcW w:w="1449" w:type="dxa"/>
            <w:noWrap/>
            <w:hideMark/>
          </w:tcPr>
          <w:p w14:paraId="4C2C7C0D"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0.24</w:t>
            </w:r>
          </w:p>
        </w:tc>
        <w:tc>
          <w:tcPr>
            <w:tcW w:w="1449" w:type="dxa"/>
            <w:noWrap/>
            <w:hideMark/>
          </w:tcPr>
          <w:p w14:paraId="619FCF92"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0.446</w:t>
            </w:r>
          </w:p>
        </w:tc>
        <w:tc>
          <w:tcPr>
            <w:tcW w:w="1449" w:type="dxa"/>
            <w:noWrap/>
            <w:hideMark/>
          </w:tcPr>
          <w:p w14:paraId="4AEAED81" w14:textId="77777777" w:rsidR="00F36CD8" w:rsidRPr="00421EB7" w:rsidRDefault="00F36CD8" w:rsidP="00FF6D9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es-MX" w:eastAsia="es-MX"/>
              </w:rPr>
            </w:pPr>
            <w:r w:rsidRPr="00421EB7">
              <w:rPr>
                <w:rFonts w:ascii="Times New Roman" w:eastAsia="Times New Roman" w:hAnsi="Times New Roman" w:cs="Times New Roman"/>
                <w:szCs w:val="22"/>
                <w:lang w:val="es-MX" w:eastAsia="es-MX"/>
              </w:rPr>
              <w:t>-1.819</w:t>
            </w:r>
          </w:p>
        </w:tc>
      </w:tr>
    </w:tbl>
    <w:p w14:paraId="52675E14" w14:textId="32184DFB" w:rsidR="00F36CD8" w:rsidRDefault="00DE7832" w:rsidP="00FF6D96">
      <w:pPr>
        <w:autoSpaceDE w:val="0"/>
        <w:autoSpaceDN w:val="0"/>
        <w:adjustRightInd w:val="0"/>
        <w:spacing w:line="360" w:lineRule="auto"/>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Fuente: E</w:t>
      </w:r>
      <w:r w:rsidR="00F36CD8">
        <w:rPr>
          <w:rFonts w:ascii="Times New Roman" w:eastAsiaTheme="minorHAnsi" w:hAnsi="Times New Roman" w:cs="Times New Roman"/>
          <w:lang w:val="es-MX" w:eastAsia="en-US"/>
        </w:rPr>
        <w:t>laboración propia</w:t>
      </w:r>
    </w:p>
    <w:p w14:paraId="278C9E46" w14:textId="5C526EE0" w:rsidR="00CD0F95" w:rsidRDefault="00CD0F95"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Para responder al cuestionamiento inicial</w:t>
      </w:r>
      <w:r w:rsidR="000B3F5A">
        <w:rPr>
          <w:rFonts w:ascii="Times New Roman" w:hAnsi="Times New Roman" w:cs="Times New Roman"/>
          <w:shd w:val="clear" w:color="auto" w:fill="FFFFFF"/>
        </w:rPr>
        <w:t>, “</w:t>
      </w:r>
      <w:r w:rsidRPr="00CD0F95">
        <w:rPr>
          <w:rFonts w:ascii="Times New Roman" w:hAnsi="Times New Roman" w:cs="Times New Roman"/>
          <w:shd w:val="clear" w:color="auto" w:fill="FFFFFF"/>
        </w:rPr>
        <w:t>¿</w:t>
      </w:r>
      <w:r w:rsidR="000B3F5A">
        <w:rPr>
          <w:rFonts w:ascii="Times New Roman" w:hAnsi="Times New Roman" w:cs="Times New Roman"/>
          <w:shd w:val="clear" w:color="auto" w:fill="FFFFFF"/>
        </w:rPr>
        <w:t>C</w:t>
      </w:r>
      <w:r w:rsidR="000B3F5A" w:rsidRPr="00CD0F95">
        <w:rPr>
          <w:rFonts w:ascii="Times New Roman" w:hAnsi="Times New Roman" w:cs="Times New Roman"/>
          <w:shd w:val="clear" w:color="auto" w:fill="FFFFFF"/>
        </w:rPr>
        <w:t xml:space="preserve">uál </w:t>
      </w:r>
      <w:r w:rsidRPr="00CD0F95">
        <w:rPr>
          <w:rFonts w:ascii="Times New Roman" w:hAnsi="Times New Roman" w:cs="Times New Roman"/>
          <w:shd w:val="clear" w:color="auto" w:fill="FFFFFF"/>
        </w:rPr>
        <w:t>es el perfil de los estudiantes que consideran una continuidad educativa hacia los posgrados?</w:t>
      </w:r>
      <w:r w:rsidR="000B3F5A">
        <w:rPr>
          <w:rFonts w:ascii="Times New Roman" w:hAnsi="Times New Roman" w:cs="Times New Roman"/>
          <w:shd w:val="clear" w:color="auto" w:fill="FFFFFF"/>
        </w:rPr>
        <w:t>”</w:t>
      </w:r>
      <w:r>
        <w:rPr>
          <w:rFonts w:ascii="Times New Roman" w:hAnsi="Times New Roman" w:cs="Times New Roman"/>
          <w:shd w:val="clear" w:color="auto" w:fill="FFFFFF"/>
        </w:rPr>
        <w:t>, se analizaron los datos</w:t>
      </w:r>
      <w:r w:rsidR="000B3F5A">
        <w:rPr>
          <w:rFonts w:ascii="Times New Roman" w:hAnsi="Times New Roman" w:cs="Times New Roman"/>
          <w:shd w:val="clear" w:color="auto" w:fill="FFFFFF"/>
        </w:rPr>
        <w:t>,</w:t>
      </w:r>
      <w:r>
        <w:rPr>
          <w:rFonts w:ascii="Times New Roman" w:hAnsi="Times New Roman" w:cs="Times New Roman"/>
          <w:shd w:val="clear" w:color="auto" w:fill="FFFFFF"/>
        </w:rPr>
        <w:t xml:space="preserve"> los cuales arrojaron que 23</w:t>
      </w:r>
      <w:r w:rsidR="002715AA">
        <w:rPr>
          <w:rFonts w:ascii="Times New Roman" w:hAnsi="Times New Roman" w:cs="Times New Roman"/>
          <w:shd w:val="clear" w:color="auto" w:fill="FFFFFF"/>
        </w:rPr>
        <w:t>.0</w:t>
      </w:r>
      <w:r w:rsidR="000B3F5A">
        <w:rPr>
          <w:rFonts w:ascii="Times New Roman" w:hAnsi="Times New Roman" w:cs="Times New Roman"/>
          <w:shd w:val="clear" w:color="auto" w:fill="FFFFFF"/>
        </w:rPr>
        <w:t> </w:t>
      </w:r>
      <w:r>
        <w:rPr>
          <w:rFonts w:ascii="Times New Roman" w:hAnsi="Times New Roman" w:cs="Times New Roman"/>
          <w:shd w:val="clear" w:color="auto" w:fill="FFFFFF"/>
        </w:rPr>
        <w:t>% decide por un posgrado</w:t>
      </w:r>
      <w:r w:rsidR="000B3F5A">
        <w:rPr>
          <w:rFonts w:ascii="Times New Roman" w:hAnsi="Times New Roman" w:cs="Times New Roman"/>
          <w:shd w:val="clear" w:color="auto" w:fill="FFFFFF"/>
        </w:rPr>
        <w:t xml:space="preserve"> y</w:t>
      </w:r>
      <w:r>
        <w:rPr>
          <w:rFonts w:ascii="Times New Roman" w:hAnsi="Times New Roman" w:cs="Times New Roman"/>
          <w:shd w:val="clear" w:color="auto" w:fill="FFFFFF"/>
        </w:rPr>
        <w:t xml:space="preserve"> las edades se encuentran </w:t>
      </w:r>
      <w:r w:rsidR="000B3F5A">
        <w:rPr>
          <w:rFonts w:ascii="Times New Roman" w:hAnsi="Times New Roman" w:cs="Times New Roman"/>
          <w:shd w:val="clear" w:color="auto" w:fill="FFFFFF"/>
        </w:rPr>
        <w:t xml:space="preserve">en el rango de </w:t>
      </w:r>
      <w:r>
        <w:rPr>
          <w:rFonts w:ascii="Times New Roman" w:hAnsi="Times New Roman" w:cs="Times New Roman"/>
          <w:shd w:val="clear" w:color="auto" w:fill="FFFFFF"/>
        </w:rPr>
        <w:t>entre 20 a 24 años</w:t>
      </w:r>
      <w:r w:rsidR="000B3F5A">
        <w:rPr>
          <w:rFonts w:ascii="Times New Roman" w:hAnsi="Times New Roman" w:cs="Times New Roman"/>
          <w:shd w:val="clear" w:color="auto" w:fill="FFFFFF"/>
        </w:rPr>
        <w:t>,</w:t>
      </w:r>
      <w:r>
        <w:rPr>
          <w:rFonts w:ascii="Times New Roman" w:hAnsi="Times New Roman" w:cs="Times New Roman"/>
          <w:shd w:val="clear" w:color="auto" w:fill="FFFFFF"/>
        </w:rPr>
        <w:t xml:space="preserve"> con 52</w:t>
      </w:r>
      <w:r w:rsidR="002715AA">
        <w:rPr>
          <w:rFonts w:ascii="Times New Roman" w:hAnsi="Times New Roman" w:cs="Times New Roman"/>
          <w:shd w:val="clear" w:color="auto" w:fill="FFFFFF"/>
        </w:rPr>
        <w:t>.0</w:t>
      </w:r>
      <w:r w:rsidR="000B3F5A">
        <w:rPr>
          <w:rFonts w:ascii="Times New Roman" w:hAnsi="Times New Roman" w:cs="Times New Roman"/>
          <w:shd w:val="clear" w:color="auto" w:fill="FFFFFF"/>
        </w:rPr>
        <w:t xml:space="preserve"> %; </w:t>
      </w:r>
      <w:r>
        <w:rPr>
          <w:rFonts w:ascii="Times New Roman" w:hAnsi="Times New Roman" w:cs="Times New Roman"/>
          <w:shd w:val="clear" w:color="auto" w:fill="FFFFFF"/>
        </w:rPr>
        <w:t>también</w:t>
      </w:r>
      <w:r w:rsidR="000B3F5A">
        <w:rPr>
          <w:rFonts w:ascii="Times New Roman" w:hAnsi="Times New Roman" w:cs="Times New Roman"/>
          <w:shd w:val="clear" w:color="auto" w:fill="FFFFFF"/>
        </w:rPr>
        <w:t>,</w:t>
      </w:r>
      <w:r>
        <w:rPr>
          <w:rFonts w:ascii="Times New Roman" w:hAnsi="Times New Roman" w:cs="Times New Roman"/>
          <w:shd w:val="clear" w:color="auto" w:fill="FFFFFF"/>
        </w:rPr>
        <w:t xml:space="preserve"> 34</w:t>
      </w:r>
      <w:r w:rsidR="002715AA">
        <w:rPr>
          <w:rFonts w:ascii="Times New Roman" w:hAnsi="Times New Roman" w:cs="Times New Roman"/>
          <w:shd w:val="clear" w:color="auto" w:fill="FFFFFF"/>
        </w:rPr>
        <w:t>.0</w:t>
      </w:r>
      <w:r w:rsidR="000B3F5A">
        <w:rPr>
          <w:rFonts w:ascii="Times New Roman" w:hAnsi="Times New Roman" w:cs="Times New Roman"/>
          <w:shd w:val="clear" w:color="auto" w:fill="FFFFFF"/>
        </w:rPr>
        <w:t> </w:t>
      </w:r>
      <w:r>
        <w:rPr>
          <w:rFonts w:ascii="Times New Roman" w:hAnsi="Times New Roman" w:cs="Times New Roman"/>
          <w:shd w:val="clear" w:color="auto" w:fill="FFFFFF"/>
        </w:rPr>
        <w:t>%</w:t>
      </w:r>
      <w:r w:rsidR="00D04BF6">
        <w:rPr>
          <w:rFonts w:ascii="Times New Roman" w:hAnsi="Times New Roman" w:cs="Times New Roman"/>
          <w:shd w:val="clear" w:color="auto" w:fill="FFFFFF"/>
        </w:rPr>
        <w:t xml:space="preserve"> de los jóvenes tiene una edad de 15 a 19 años y</w:t>
      </w:r>
      <w:r w:rsidR="00366D4E">
        <w:rPr>
          <w:rFonts w:ascii="Times New Roman" w:hAnsi="Times New Roman" w:cs="Times New Roman"/>
          <w:shd w:val="clear" w:color="auto" w:fill="FFFFFF"/>
        </w:rPr>
        <w:t xml:space="preserve"> </w:t>
      </w:r>
      <w:r w:rsidR="00D04BF6">
        <w:rPr>
          <w:rFonts w:ascii="Times New Roman" w:hAnsi="Times New Roman" w:cs="Times New Roman"/>
          <w:shd w:val="clear" w:color="auto" w:fill="FFFFFF"/>
        </w:rPr>
        <w:t>14</w:t>
      </w:r>
      <w:r w:rsidR="002715AA">
        <w:rPr>
          <w:rFonts w:ascii="Times New Roman" w:hAnsi="Times New Roman" w:cs="Times New Roman"/>
          <w:shd w:val="clear" w:color="auto" w:fill="FFFFFF"/>
        </w:rPr>
        <w:t>.0</w:t>
      </w:r>
      <w:r w:rsidR="000B3F5A">
        <w:rPr>
          <w:rFonts w:ascii="Times New Roman" w:hAnsi="Times New Roman" w:cs="Times New Roman"/>
          <w:shd w:val="clear" w:color="auto" w:fill="FFFFFF"/>
        </w:rPr>
        <w:t> </w:t>
      </w:r>
      <w:r w:rsidR="00D04BF6">
        <w:rPr>
          <w:rFonts w:ascii="Times New Roman" w:hAnsi="Times New Roman" w:cs="Times New Roman"/>
          <w:shd w:val="clear" w:color="auto" w:fill="FFFFFF"/>
        </w:rPr>
        <w:t xml:space="preserve">% </w:t>
      </w:r>
      <w:r w:rsidR="000B3F5A">
        <w:rPr>
          <w:rFonts w:ascii="Times New Roman" w:hAnsi="Times New Roman" w:cs="Times New Roman"/>
          <w:shd w:val="clear" w:color="auto" w:fill="FFFFFF"/>
        </w:rPr>
        <w:t xml:space="preserve">entre los </w:t>
      </w:r>
      <w:r w:rsidR="00D04BF6">
        <w:rPr>
          <w:rFonts w:ascii="Times New Roman" w:hAnsi="Times New Roman" w:cs="Times New Roman"/>
          <w:shd w:val="clear" w:color="auto" w:fill="FFFFFF"/>
        </w:rPr>
        <w:t xml:space="preserve">25 </w:t>
      </w:r>
      <w:r w:rsidR="000B3F5A">
        <w:rPr>
          <w:rFonts w:ascii="Times New Roman" w:hAnsi="Times New Roman" w:cs="Times New Roman"/>
          <w:shd w:val="clear" w:color="auto" w:fill="FFFFFF"/>
        </w:rPr>
        <w:t xml:space="preserve">y </w:t>
      </w:r>
      <w:r w:rsidR="00D04BF6">
        <w:rPr>
          <w:rFonts w:ascii="Times New Roman" w:hAnsi="Times New Roman" w:cs="Times New Roman"/>
          <w:shd w:val="clear" w:color="auto" w:fill="FFFFFF"/>
        </w:rPr>
        <w:t>29 años no presentó interés en continuar estudiando.</w:t>
      </w:r>
      <w:r w:rsidR="00C208DB">
        <w:rPr>
          <w:rFonts w:ascii="Times New Roman" w:hAnsi="Times New Roman" w:cs="Times New Roman"/>
          <w:shd w:val="clear" w:color="auto" w:fill="FFFFFF"/>
        </w:rPr>
        <w:t xml:space="preserve"> </w:t>
      </w:r>
      <w:r w:rsidR="00406CB4">
        <w:rPr>
          <w:rFonts w:ascii="Times New Roman" w:hAnsi="Times New Roman" w:cs="Times New Roman"/>
          <w:shd w:val="clear" w:color="auto" w:fill="FFFFFF"/>
        </w:rPr>
        <w:t>E</w:t>
      </w:r>
      <w:r w:rsidR="00C208DB">
        <w:rPr>
          <w:rFonts w:ascii="Times New Roman" w:hAnsi="Times New Roman" w:cs="Times New Roman"/>
          <w:shd w:val="clear" w:color="auto" w:fill="FFFFFF"/>
        </w:rPr>
        <w:t xml:space="preserve">l grado educativo de estudios </w:t>
      </w:r>
      <w:r w:rsidR="00406CB4">
        <w:rPr>
          <w:rFonts w:ascii="Times New Roman" w:hAnsi="Times New Roman" w:cs="Times New Roman"/>
          <w:shd w:val="clear" w:color="auto" w:fill="FFFFFF"/>
        </w:rPr>
        <w:t xml:space="preserve">presentó variación </w:t>
      </w:r>
      <w:r w:rsidR="00C208DB">
        <w:rPr>
          <w:rFonts w:ascii="Times New Roman" w:hAnsi="Times New Roman" w:cs="Times New Roman"/>
          <w:shd w:val="clear" w:color="auto" w:fill="FFFFFF"/>
        </w:rPr>
        <w:t>(tabla 4).</w:t>
      </w:r>
    </w:p>
    <w:p w14:paraId="2D28BE74" w14:textId="77777777" w:rsidR="003D62E4" w:rsidRDefault="003D62E4" w:rsidP="00FF6D96">
      <w:pPr>
        <w:spacing w:line="360" w:lineRule="auto"/>
        <w:jc w:val="both"/>
        <w:rPr>
          <w:rFonts w:ascii="Times New Roman" w:hAnsi="Times New Roman" w:cs="Times New Roman"/>
          <w:shd w:val="clear" w:color="auto" w:fill="FFFFFF"/>
        </w:rPr>
      </w:pPr>
    </w:p>
    <w:p w14:paraId="0535CC0A" w14:textId="09867435" w:rsidR="00C208DB" w:rsidRDefault="00C208DB" w:rsidP="00FF6D96">
      <w:pPr>
        <w:spacing w:line="360" w:lineRule="auto"/>
        <w:jc w:val="center"/>
        <w:rPr>
          <w:rFonts w:ascii="Times New Roman" w:hAnsi="Times New Roman" w:cs="Times New Roman"/>
          <w:shd w:val="clear" w:color="auto" w:fill="FFFFFF"/>
        </w:rPr>
      </w:pPr>
      <w:r w:rsidRPr="00406CB4">
        <w:rPr>
          <w:rFonts w:ascii="Times New Roman" w:hAnsi="Times New Roman" w:cs="Times New Roman"/>
          <w:b/>
          <w:bCs/>
          <w:shd w:val="clear" w:color="auto" w:fill="FFFFFF"/>
        </w:rPr>
        <w:t>Tabla 4.</w:t>
      </w:r>
      <w:r>
        <w:rPr>
          <w:rFonts w:ascii="Times New Roman" w:hAnsi="Times New Roman" w:cs="Times New Roman"/>
          <w:shd w:val="clear" w:color="auto" w:fill="FFFFFF"/>
        </w:rPr>
        <w:t xml:space="preserve"> Grado educativo de los sujetos de estudio</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9"/>
        <w:gridCol w:w="2339"/>
        <w:gridCol w:w="2339"/>
        <w:gridCol w:w="2339"/>
      </w:tblGrid>
      <w:tr w:rsidR="00297497" w:rsidRPr="003D62E4" w14:paraId="4E7C3481" w14:textId="77777777" w:rsidTr="00406CB4">
        <w:trPr>
          <w:trHeight w:val="472"/>
        </w:trPr>
        <w:tc>
          <w:tcPr>
            <w:tcW w:w="2339" w:type="dxa"/>
            <w:shd w:val="clear" w:color="auto" w:fill="auto"/>
            <w:vAlign w:val="center"/>
            <w:hideMark/>
          </w:tcPr>
          <w:p w14:paraId="762D86BA"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Grado</w:t>
            </w:r>
          </w:p>
        </w:tc>
        <w:tc>
          <w:tcPr>
            <w:tcW w:w="2339" w:type="dxa"/>
            <w:shd w:val="clear" w:color="auto" w:fill="auto"/>
            <w:vAlign w:val="center"/>
            <w:hideMark/>
          </w:tcPr>
          <w:p w14:paraId="4B96895A"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Frecuencia</w:t>
            </w:r>
          </w:p>
        </w:tc>
        <w:tc>
          <w:tcPr>
            <w:tcW w:w="2339" w:type="dxa"/>
            <w:shd w:val="clear" w:color="auto" w:fill="auto"/>
            <w:vAlign w:val="center"/>
            <w:hideMark/>
          </w:tcPr>
          <w:p w14:paraId="69201E3B"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Porcentaje</w:t>
            </w:r>
          </w:p>
        </w:tc>
        <w:tc>
          <w:tcPr>
            <w:tcW w:w="2339" w:type="dxa"/>
            <w:shd w:val="clear" w:color="auto" w:fill="auto"/>
            <w:vAlign w:val="center"/>
            <w:hideMark/>
          </w:tcPr>
          <w:p w14:paraId="1034A3CA"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Porcentaje acumulado</w:t>
            </w:r>
          </w:p>
        </w:tc>
      </w:tr>
      <w:tr w:rsidR="00406CB4" w:rsidRPr="003D62E4" w14:paraId="25C607F4" w14:textId="77777777" w:rsidTr="00406CB4">
        <w:trPr>
          <w:trHeight w:val="235"/>
        </w:trPr>
        <w:tc>
          <w:tcPr>
            <w:tcW w:w="2339" w:type="dxa"/>
            <w:shd w:val="clear" w:color="auto" w:fill="auto"/>
            <w:noWrap/>
            <w:vAlign w:val="bottom"/>
            <w:hideMark/>
          </w:tcPr>
          <w:p w14:paraId="0DF71494" w14:textId="5DB4D721"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5ADD31D4"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7</w:t>
            </w:r>
          </w:p>
        </w:tc>
        <w:tc>
          <w:tcPr>
            <w:tcW w:w="2339" w:type="dxa"/>
            <w:shd w:val="clear" w:color="auto" w:fill="auto"/>
            <w:noWrap/>
            <w:vAlign w:val="center"/>
            <w:hideMark/>
          </w:tcPr>
          <w:p w14:paraId="72CD7777" w14:textId="58415AB1"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3.5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4F6D0E2F" w14:textId="03864CC0"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3.5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6476915B" w14:textId="77777777" w:rsidTr="00406CB4">
        <w:trPr>
          <w:trHeight w:val="235"/>
        </w:trPr>
        <w:tc>
          <w:tcPr>
            <w:tcW w:w="2339" w:type="dxa"/>
            <w:shd w:val="clear" w:color="auto" w:fill="auto"/>
            <w:noWrap/>
            <w:vAlign w:val="bottom"/>
            <w:hideMark/>
          </w:tcPr>
          <w:p w14:paraId="392BDE2D" w14:textId="7DADFF0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2</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62F74993"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10</w:t>
            </w:r>
          </w:p>
        </w:tc>
        <w:tc>
          <w:tcPr>
            <w:tcW w:w="2339" w:type="dxa"/>
            <w:shd w:val="clear" w:color="auto" w:fill="auto"/>
            <w:noWrap/>
            <w:vAlign w:val="center"/>
            <w:hideMark/>
          </w:tcPr>
          <w:p w14:paraId="43CE7574" w14:textId="61D9DED3"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5.0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627CAFF1" w14:textId="336E47C5"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8.5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2DDCB1C1" w14:textId="77777777" w:rsidTr="00406CB4">
        <w:trPr>
          <w:trHeight w:val="235"/>
        </w:trPr>
        <w:tc>
          <w:tcPr>
            <w:tcW w:w="2339" w:type="dxa"/>
            <w:shd w:val="clear" w:color="auto" w:fill="auto"/>
            <w:noWrap/>
            <w:vAlign w:val="bottom"/>
            <w:hideMark/>
          </w:tcPr>
          <w:p w14:paraId="33B343F9" w14:textId="171D9AEB"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3</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7F438138"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31</w:t>
            </w:r>
          </w:p>
        </w:tc>
        <w:tc>
          <w:tcPr>
            <w:tcW w:w="2339" w:type="dxa"/>
            <w:shd w:val="clear" w:color="auto" w:fill="auto"/>
            <w:noWrap/>
            <w:vAlign w:val="center"/>
            <w:hideMark/>
          </w:tcPr>
          <w:p w14:paraId="5BC13269" w14:textId="0AFBC7C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15.5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1DB7C3BB" w14:textId="442D14F8"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24.0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76BB0F93" w14:textId="77777777" w:rsidTr="00406CB4">
        <w:trPr>
          <w:trHeight w:val="235"/>
        </w:trPr>
        <w:tc>
          <w:tcPr>
            <w:tcW w:w="2339" w:type="dxa"/>
            <w:shd w:val="clear" w:color="auto" w:fill="auto"/>
            <w:noWrap/>
            <w:vAlign w:val="bottom"/>
            <w:hideMark/>
          </w:tcPr>
          <w:p w14:paraId="069C0445" w14:textId="65CCE816"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4</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2A5C85A9"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17</w:t>
            </w:r>
          </w:p>
        </w:tc>
        <w:tc>
          <w:tcPr>
            <w:tcW w:w="2339" w:type="dxa"/>
            <w:shd w:val="clear" w:color="auto" w:fill="auto"/>
            <w:noWrap/>
            <w:vAlign w:val="center"/>
            <w:hideMark/>
          </w:tcPr>
          <w:p w14:paraId="3A807FE2" w14:textId="25FDDB9C"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8.5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6EB6D29F" w14:textId="0823F30C"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32.5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066E4C5C" w14:textId="77777777" w:rsidTr="00406CB4">
        <w:trPr>
          <w:trHeight w:val="235"/>
        </w:trPr>
        <w:tc>
          <w:tcPr>
            <w:tcW w:w="2339" w:type="dxa"/>
            <w:shd w:val="clear" w:color="auto" w:fill="auto"/>
            <w:noWrap/>
            <w:vAlign w:val="bottom"/>
            <w:hideMark/>
          </w:tcPr>
          <w:p w14:paraId="01517750" w14:textId="00F06F1C"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5</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2D5AE3BF"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14</w:t>
            </w:r>
          </w:p>
        </w:tc>
        <w:tc>
          <w:tcPr>
            <w:tcW w:w="2339" w:type="dxa"/>
            <w:shd w:val="clear" w:color="auto" w:fill="auto"/>
            <w:noWrap/>
            <w:vAlign w:val="center"/>
            <w:hideMark/>
          </w:tcPr>
          <w:p w14:paraId="12DFEC42" w14:textId="6AE044F5"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7.0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33776519" w14:textId="39266E6D"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39.5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73FFFE00" w14:textId="77777777" w:rsidTr="00406CB4">
        <w:trPr>
          <w:trHeight w:val="235"/>
        </w:trPr>
        <w:tc>
          <w:tcPr>
            <w:tcW w:w="2339" w:type="dxa"/>
            <w:shd w:val="clear" w:color="auto" w:fill="auto"/>
            <w:noWrap/>
            <w:vAlign w:val="bottom"/>
            <w:hideMark/>
          </w:tcPr>
          <w:p w14:paraId="50742034" w14:textId="22E333DB"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6</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1204449F"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53</w:t>
            </w:r>
          </w:p>
        </w:tc>
        <w:tc>
          <w:tcPr>
            <w:tcW w:w="2339" w:type="dxa"/>
            <w:shd w:val="clear" w:color="auto" w:fill="auto"/>
            <w:noWrap/>
            <w:vAlign w:val="center"/>
            <w:hideMark/>
          </w:tcPr>
          <w:p w14:paraId="48C93BC3" w14:textId="423BE252"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26.5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6B0683ED" w14:textId="14813ABC"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66.0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5FF9A6D0" w14:textId="77777777" w:rsidTr="00406CB4">
        <w:trPr>
          <w:trHeight w:val="235"/>
        </w:trPr>
        <w:tc>
          <w:tcPr>
            <w:tcW w:w="2339" w:type="dxa"/>
            <w:shd w:val="clear" w:color="auto" w:fill="auto"/>
            <w:noWrap/>
            <w:vAlign w:val="bottom"/>
            <w:hideMark/>
          </w:tcPr>
          <w:p w14:paraId="3EC03D36" w14:textId="01491242"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7</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6FF91A27"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18</w:t>
            </w:r>
          </w:p>
        </w:tc>
        <w:tc>
          <w:tcPr>
            <w:tcW w:w="2339" w:type="dxa"/>
            <w:shd w:val="clear" w:color="auto" w:fill="auto"/>
            <w:noWrap/>
            <w:vAlign w:val="center"/>
            <w:hideMark/>
          </w:tcPr>
          <w:p w14:paraId="426D4CB1" w14:textId="2C9BAF24"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9.0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76240C52" w14:textId="0C1BD82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75.0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07ABB7DE" w14:textId="77777777" w:rsidTr="00406CB4">
        <w:trPr>
          <w:trHeight w:val="235"/>
        </w:trPr>
        <w:tc>
          <w:tcPr>
            <w:tcW w:w="2339" w:type="dxa"/>
            <w:shd w:val="clear" w:color="auto" w:fill="auto"/>
            <w:noWrap/>
            <w:vAlign w:val="bottom"/>
            <w:hideMark/>
          </w:tcPr>
          <w:p w14:paraId="078171AD" w14:textId="6B4E27B5"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8</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0BF2B3D8"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11</w:t>
            </w:r>
          </w:p>
        </w:tc>
        <w:tc>
          <w:tcPr>
            <w:tcW w:w="2339" w:type="dxa"/>
            <w:shd w:val="clear" w:color="auto" w:fill="auto"/>
            <w:noWrap/>
            <w:vAlign w:val="center"/>
            <w:hideMark/>
          </w:tcPr>
          <w:p w14:paraId="78EA2F92" w14:textId="06F3241D"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5.5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4B2FE687" w14:textId="4B9F4A8B"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80.5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4A54E609" w14:textId="77777777" w:rsidTr="00406CB4">
        <w:trPr>
          <w:trHeight w:val="235"/>
        </w:trPr>
        <w:tc>
          <w:tcPr>
            <w:tcW w:w="2339" w:type="dxa"/>
            <w:shd w:val="clear" w:color="auto" w:fill="auto"/>
            <w:noWrap/>
            <w:vAlign w:val="bottom"/>
            <w:hideMark/>
          </w:tcPr>
          <w:p w14:paraId="61B9658F" w14:textId="30563604"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9</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207A1BB5"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35</w:t>
            </w:r>
          </w:p>
        </w:tc>
        <w:tc>
          <w:tcPr>
            <w:tcW w:w="2339" w:type="dxa"/>
            <w:shd w:val="clear" w:color="auto" w:fill="auto"/>
            <w:noWrap/>
            <w:vAlign w:val="center"/>
            <w:hideMark/>
          </w:tcPr>
          <w:p w14:paraId="0785B2CB" w14:textId="64900085"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17.5</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2F28C687" w14:textId="57D4A52B"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98.0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11FEF941" w14:textId="77777777" w:rsidTr="00406CB4">
        <w:trPr>
          <w:trHeight w:val="235"/>
        </w:trPr>
        <w:tc>
          <w:tcPr>
            <w:tcW w:w="2339" w:type="dxa"/>
            <w:shd w:val="clear" w:color="auto" w:fill="auto"/>
            <w:noWrap/>
            <w:vAlign w:val="bottom"/>
            <w:hideMark/>
          </w:tcPr>
          <w:p w14:paraId="3609BB91" w14:textId="76630A65"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10</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2E6D6A6A"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2</w:t>
            </w:r>
          </w:p>
        </w:tc>
        <w:tc>
          <w:tcPr>
            <w:tcW w:w="2339" w:type="dxa"/>
            <w:shd w:val="clear" w:color="auto" w:fill="auto"/>
            <w:noWrap/>
            <w:vAlign w:val="center"/>
            <w:hideMark/>
          </w:tcPr>
          <w:p w14:paraId="36983BF3" w14:textId="17AE4D24"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1.0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0940B225" w14:textId="3A77FD4B"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99.0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406CB4" w:rsidRPr="003D62E4" w14:paraId="497E6DEE" w14:textId="77777777" w:rsidTr="00406CB4">
        <w:trPr>
          <w:trHeight w:val="235"/>
        </w:trPr>
        <w:tc>
          <w:tcPr>
            <w:tcW w:w="2339" w:type="dxa"/>
            <w:shd w:val="clear" w:color="auto" w:fill="auto"/>
            <w:noWrap/>
            <w:vAlign w:val="bottom"/>
            <w:hideMark/>
          </w:tcPr>
          <w:p w14:paraId="7DACF4D9" w14:textId="5092C7D1"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11</w:t>
            </w:r>
            <w:r w:rsidR="00873588" w:rsidRPr="003D62E4">
              <w:rPr>
                <w:rFonts w:ascii="Times New Roman" w:eastAsia="Times New Roman" w:hAnsi="Times New Roman" w:cs="Times New Roman"/>
                <w:bCs/>
                <w:color w:val="000000"/>
                <w:lang w:val="es-MX" w:eastAsia="es-MX"/>
              </w:rPr>
              <w:t>.</w:t>
            </w:r>
            <w:r w:rsidRPr="003D62E4">
              <w:rPr>
                <w:rFonts w:ascii="Times New Roman" w:eastAsia="Times New Roman" w:hAnsi="Times New Roman" w:cs="Times New Roman"/>
                <w:bCs/>
                <w:color w:val="000000"/>
                <w:lang w:val="es-MX" w:eastAsia="es-MX"/>
              </w:rPr>
              <w:t>º</w:t>
            </w:r>
          </w:p>
        </w:tc>
        <w:tc>
          <w:tcPr>
            <w:tcW w:w="2339" w:type="dxa"/>
            <w:shd w:val="clear" w:color="auto" w:fill="auto"/>
            <w:noWrap/>
            <w:vAlign w:val="bottom"/>
            <w:hideMark/>
          </w:tcPr>
          <w:p w14:paraId="6F3A188C" w14:textId="77777777"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2</w:t>
            </w:r>
          </w:p>
        </w:tc>
        <w:tc>
          <w:tcPr>
            <w:tcW w:w="2339" w:type="dxa"/>
            <w:shd w:val="clear" w:color="auto" w:fill="auto"/>
            <w:noWrap/>
            <w:vAlign w:val="center"/>
            <w:hideMark/>
          </w:tcPr>
          <w:p w14:paraId="22CCAC78" w14:textId="2FBF4F40"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1.0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c>
          <w:tcPr>
            <w:tcW w:w="2339" w:type="dxa"/>
            <w:shd w:val="clear" w:color="auto" w:fill="auto"/>
            <w:noWrap/>
            <w:vAlign w:val="bottom"/>
            <w:hideMark/>
          </w:tcPr>
          <w:p w14:paraId="210149F1" w14:textId="0F7C4F43" w:rsidR="00406CB4" w:rsidRPr="003D62E4" w:rsidRDefault="00406CB4"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hAnsi="Times New Roman" w:cs="Times New Roman"/>
                <w:bCs/>
                <w:color w:val="000000"/>
              </w:rPr>
              <w:t>100.0</w:t>
            </w:r>
            <w:r w:rsidR="00A206F3" w:rsidRPr="003D62E4">
              <w:rPr>
                <w:rFonts w:ascii="Times New Roman" w:hAnsi="Times New Roman" w:cs="Times New Roman"/>
                <w:bCs/>
                <w:color w:val="000000"/>
              </w:rPr>
              <w:t> </w:t>
            </w:r>
            <w:r w:rsidRPr="003D62E4">
              <w:rPr>
                <w:rFonts w:ascii="Times New Roman" w:hAnsi="Times New Roman" w:cs="Times New Roman"/>
                <w:bCs/>
                <w:color w:val="000000"/>
              </w:rPr>
              <w:t>%</w:t>
            </w:r>
          </w:p>
        </w:tc>
      </w:tr>
      <w:tr w:rsidR="00297497" w:rsidRPr="003D62E4" w14:paraId="25AE1CA4" w14:textId="77777777" w:rsidTr="00406CB4">
        <w:trPr>
          <w:trHeight w:val="235"/>
        </w:trPr>
        <w:tc>
          <w:tcPr>
            <w:tcW w:w="2339" w:type="dxa"/>
            <w:shd w:val="clear" w:color="auto" w:fill="auto"/>
            <w:noWrap/>
            <w:vAlign w:val="bottom"/>
            <w:hideMark/>
          </w:tcPr>
          <w:p w14:paraId="124C12F7"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p>
        </w:tc>
        <w:tc>
          <w:tcPr>
            <w:tcW w:w="2339" w:type="dxa"/>
            <w:shd w:val="clear" w:color="auto" w:fill="auto"/>
            <w:noWrap/>
            <w:vAlign w:val="bottom"/>
            <w:hideMark/>
          </w:tcPr>
          <w:p w14:paraId="0B80367F"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200</w:t>
            </w:r>
          </w:p>
        </w:tc>
        <w:tc>
          <w:tcPr>
            <w:tcW w:w="2339" w:type="dxa"/>
            <w:shd w:val="clear" w:color="auto" w:fill="auto"/>
            <w:noWrap/>
            <w:vAlign w:val="center"/>
            <w:hideMark/>
          </w:tcPr>
          <w:p w14:paraId="50B7526B" w14:textId="3C02257A"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r w:rsidRPr="003D62E4">
              <w:rPr>
                <w:rFonts w:ascii="Times New Roman" w:eastAsia="Times New Roman" w:hAnsi="Times New Roman" w:cs="Times New Roman"/>
                <w:bCs/>
                <w:color w:val="000000"/>
                <w:lang w:val="es-MX" w:eastAsia="es-MX"/>
              </w:rPr>
              <w:t>100</w:t>
            </w:r>
            <w:r w:rsidR="00A206F3" w:rsidRPr="003D62E4">
              <w:rPr>
                <w:rFonts w:ascii="Times New Roman" w:eastAsia="Times New Roman" w:hAnsi="Times New Roman" w:cs="Times New Roman"/>
                <w:bCs/>
                <w:color w:val="000000"/>
                <w:lang w:val="es-MX" w:eastAsia="es-MX"/>
              </w:rPr>
              <w:t> </w:t>
            </w:r>
            <w:r w:rsidRPr="003D62E4">
              <w:rPr>
                <w:rFonts w:ascii="Times New Roman" w:eastAsia="Times New Roman" w:hAnsi="Times New Roman" w:cs="Times New Roman"/>
                <w:bCs/>
                <w:color w:val="000000"/>
                <w:lang w:val="es-MX" w:eastAsia="es-MX"/>
              </w:rPr>
              <w:t>%</w:t>
            </w:r>
          </w:p>
        </w:tc>
        <w:tc>
          <w:tcPr>
            <w:tcW w:w="2339" w:type="dxa"/>
            <w:shd w:val="clear" w:color="auto" w:fill="auto"/>
            <w:noWrap/>
            <w:vAlign w:val="bottom"/>
            <w:hideMark/>
          </w:tcPr>
          <w:p w14:paraId="23E1BA20" w14:textId="77777777" w:rsidR="00297497" w:rsidRPr="003D62E4" w:rsidRDefault="00297497" w:rsidP="00FF6D96">
            <w:pPr>
              <w:spacing w:line="360" w:lineRule="auto"/>
              <w:jc w:val="center"/>
              <w:rPr>
                <w:rFonts w:ascii="Times New Roman" w:eastAsia="Times New Roman" w:hAnsi="Times New Roman" w:cs="Times New Roman"/>
                <w:bCs/>
                <w:color w:val="000000"/>
                <w:lang w:val="es-MX" w:eastAsia="es-MX"/>
              </w:rPr>
            </w:pPr>
          </w:p>
        </w:tc>
      </w:tr>
    </w:tbl>
    <w:p w14:paraId="04B8EAA2" w14:textId="77777777" w:rsidR="00406CB4" w:rsidRDefault="00406CB4" w:rsidP="00FF6D96">
      <w:pPr>
        <w:autoSpaceDE w:val="0"/>
        <w:autoSpaceDN w:val="0"/>
        <w:adjustRightInd w:val="0"/>
        <w:spacing w:line="360" w:lineRule="auto"/>
        <w:jc w:val="center"/>
        <w:rPr>
          <w:rFonts w:ascii="Times New Roman" w:eastAsiaTheme="minorHAnsi" w:hAnsi="Times New Roman" w:cs="Times New Roman"/>
          <w:lang w:val="es-MX" w:eastAsia="en-US"/>
        </w:rPr>
      </w:pPr>
      <w:r>
        <w:rPr>
          <w:rFonts w:ascii="Times New Roman" w:eastAsiaTheme="minorHAnsi" w:hAnsi="Times New Roman" w:cs="Times New Roman"/>
          <w:lang w:val="es-MX" w:eastAsia="en-US"/>
        </w:rPr>
        <w:t>Fuente: Elaboración propia</w:t>
      </w:r>
    </w:p>
    <w:p w14:paraId="3249BC7B" w14:textId="64446B26" w:rsidR="00D66F81" w:rsidRDefault="00935A8E"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Por otra parte,</w:t>
      </w:r>
      <w:r w:rsidR="00D32C18" w:rsidRPr="009A217D">
        <w:rPr>
          <w:rFonts w:ascii="Times New Roman" w:hAnsi="Times New Roman" w:cs="Times New Roman"/>
          <w:shd w:val="clear" w:color="auto" w:fill="FFFFFF"/>
        </w:rPr>
        <w:t xml:space="preserve"> en la hipótesis planteada</w:t>
      </w:r>
      <w:r w:rsidR="006E0107">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D32C18" w:rsidRPr="00421EB7">
        <w:rPr>
          <w:rFonts w:ascii="Times New Roman" w:hAnsi="Times New Roman" w:cs="Times New Roman"/>
          <w:shd w:val="clear" w:color="auto" w:fill="FFFFFF"/>
        </w:rPr>
        <w:t>H</w:t>
      </w:r>
      <w:r w:rsidR="006E0107" w:rsidRPr="00421EB7">
        <w:rPr>
          <w:rFonts w:ascii="Times New Roman" w:hAnsi="Times New Roman" w:cs="Times New Roman"/>
          <w:shd w:val="clear" w:color="auto" w:fill="FFFFFF"/>
          <w:vertAlign w:val="subscript"/>
        </w:rPr>
        <w:t>1</w:t>
      </w:r>
      <w:r w:rsidR="00D32C18" w:rsidRPr="009A217D">
        <w:rPr>
          <w:rFonts w:ascii="Times New Roman" w:hAnsi="Times New Roman" w:cs="Times New Roman"/>
          <w:i/>
          <w:iCs/>
          <w:shd w:val="clear" w:color="auto" w:fill="FFFFFF"/>
        </w:rPr>
        <w:t>:</w:t>
      </w:r>
      <w:r w:rsidR="00D32C18" w:rsidRPr="009A217D">
        <w:rPr>
          <w:rFonts w:ascii="Times New Roman" w:hAnsi="Times New Roman" w:cs="Times New Roman"/>
          <w:shd w:val="clear" w:color="auto" w:fill="FFFFFF"/>
        </w:rPr>
        <w:t xml:space="preserve"> Existe relación entre la edad y el grado educativo de los jóvenes de educación superior que deciden por una continuidad educativa </w:t>
      </w:r>
      <w:r w:rsidR="00D32C18" w:rsidRPr="009A217D">
        <w:rPr>
          <w:rFonts w:ascii="Times New Roman" w:hAnsi="Times New Roman" w:cs="Times New Roman"/>
          <w:shd w:val="clear" w:color="auto" w:fill="FFFFFF"/>
        </w:rPr>
        <w:lastRenderedPageBreak/>
        <w:t>hacia los posgrados</w:t>
      </w:r>
      <w:r w:rsidR="006E0107">
        <w:rPr>
          <w:rFonts w:ascii="Times New Roman" w:hAnsi="Times New Roman" w:cs="Times New Roman"/>
          <w:shd w:val="clear" w:color="auto" w:fill="FFFFFF"/>
        </w:rPr>
        <w:t>, e</w:t>
      </w:r>
      <w:r w:rsidR="00D9738D" w:rsidRPr="009A217D">
        <w:rPr>
          <w:rFonts w:ascii="Times New Roman" w:hAnsi="Times New Roman" w:cs="Times New Roman"/>
          <w:shd w:val="clear" w:color="auto" w:fill="FFFFFF"/>
        </w:rPr>
        <w:t xml:space="preserve">l resultado </w:t>
      </w:r>
      <w:r w:rsidR="00A419AC">
        <w:rPr>
          <w:rFonts w:ascii="Times New Roman" w:hAnsi="Times New Roman" w:cs="Times New Roman"/>
          <w:shd w:val="clear" w:color="auto" w:fill="FFFFFF"/>
        </w:rPr>
        <w:t>reveló que</w:t>
      </w:r>
      <w:r w:rsidR="00D9738D" w:rsidRPr="009A217D">
        <w:rPr>
          <w:rFonts w:ascii="Times New Roman" w:hAnsi="Times New Roman" w:cs="Times New Roman"/>
          <w:shd w:val="clear" w:color="auto" w:fill="FFFFFF"/>
        </w:rPr>
        <w:t xml:space="preserve"> </w:t>
      </w:r>
      <w:r w:rsidR="00D9738D" w:rsidRPr="009A217D">
        <w:rPr>
          <w:rFonts w:ascii="Times New Roman" w:hAnsi="Times New Roman" w:cs="Times New Roman"/>
          <w:i/>
          <w:iCs/>
          <w:shd w:val="clear" w:color="auto" w:fill="FFFFFF"/>
        </w:rPr>
        <w:t xml:space="preserve">r </w:t>
      </w:r>
      <w:r w:rsidR="00D9738D" w:rsidRPr="00421EB7">
        <w:rPr>
          <w:rFonts w:ascii="Times New Roman" w:hAnsi="Times New Roman" w:cs="Times New Roman"/>
          <w:shd w:val="clear" w:color="auto" w:fill="FFFFFF"/>
        </w:rPr>
        <w:t>= 0.3472</w:t>
      </w:r>
      <w:r w:rsidR="006E0107">
        <w:rPr>
          <w:rFonts w:ascii="Times New Roman" w:hAnsi="Times New Roman" w:cs="Times New Roman"/>
          <w:shd w:val="clear" w:color="auto" w:fill="FFFFFF"/>
        </w:rPr>
        <w:t>,</w:t>
      </w:r>
      <w:r w:rsidR="00D9738D" w:rsidRPr="009A217D">
        <w:rPr>
          <w:rFonts w:ascii="Times New Roman" w:hAnsi="Times New Roman" w:cs="Times New Roman"/>
          <w:shd w:val="clear" w:color="auto" w:fill="FFFFFF"/>
        </w:rPr>
        <w:t xml:space="preserve"> </w:t>
      </w:r>
      <w:r w:rsidR="006E0107">
        <w:rPr>
          <w:rFonts w:ascii="Times New Roman" w:hAnsi="Times New Roman" w:cs="Times New Roman"/>
          <w:shd w:val="clear" w:color="auto" w:fill="FFFFFF"/>
        </w:rPr>
        <w:t xml:space="preserve">esto es, </w:t>
      </w:r>
      <w:r w:rsidR="00A419AC">
        <w:rPr>
          <w:rFonts w:ascii="Times New Roman" w:hAnsi="Times New Roman" w:cs="Times New Roman"/>
          <w:shd w:val="clear" w:color="auto" w:fill="FFFFFF"/>
        </w:rPr>
        <w:t>tiene</w:t>
      </w:r>
      <w:r w:rsidR="00D9738D" w:rsidRPr="009A217D">
        <w:rPr>
          <w:rFonts w:ascii="Times New Roman" w:hAnsi="Times New Roman" w:cs="Times New Roman"/>
          <w:shd w:val="clear" w:color="auto" w:fill="FFFFFF"/>
        </w:rPr>
        <w:t xml:space="preserve"> una correlación</w:t>
      </w:r>
      <w:r w:rsidR="00C05D5D" w:rsidRPr="009A217D">
        <w:rPr>
          <w:rFonts w:ascii="Times New Roman" w:hAnsi="Times New Roman" w:cs="Times New Roman"/>
          <w:shd w:val="clear" w:color="auto" w:fill="FFFFFF"/>
        </w:rPr>
        <w:t xml:space="preserve"> baja, </w:t>
      </w:r>
      <w:r w:rsidR="00D76E8A" w:rsidRPr="009A217D">
        <w:rPr>
          <w:rFonts w:ascii="Times New Roman" w:hAnsi="Times New Roman" w:cs="Times New Roman"/>
          <w:shd w:val="clear" w:color="auto" w:fill="FFFFFF"/>
        </w:rPr>
        <w:t xml:space="preserve">por </w:t>
      </w:r>
      <w:r w:rsidR="00A419AC">
        <w:rPr>
          <w:rFonts w:ascii="Times New Roman" w:hAnsi="Times New Roman" w:cs="Times New Roman"/>
          <w:shd w:val="clear" w:color="auto" w:fill="FFFFFF"/>
        </w:rPr>
        <w:t xml:space="preserve">lo que se </w:t>
      </w:r>
      <w:r w:rsidR="00C05D5D" w:rsidRPr="009A217D">
        <w:rPr>
          <w:rFonts w:ascii="Times New Roman" w:hAnsi="Times New Roman" w:cs="Times New Roman"/>
          <w:shd w:val="clear" w:color="auto" w:fill="FFFFFF"/>
        </w:rPr>
        <w:t xml:space="preserve">rechaza la </w:t>
      </w:r>
      <w:r w:rsidR="00752A8C" w:rsidRPr="00421EB7">
        <w:rPr>
          <w:rFonts w:ascii="Times New Roman" w:hAnsi="Times New Roman" w:cs="Times New Roman"/>
          <w:shd w:val="clear" w:color="auto" w:fill="FFFFFF"/>
        </w:rPr>
        <w:t>H</w:t>
      </w:r>
      <w:r w:rsidR="00752A8C" w:rsidRPr="00421EB7">
        <w:rPr>
          <w:rFonts w:ascii="Times New Roman" w:hAnsi="Times New Roman" w:cs="Times New Roman"/>
          <w:shd w:val="clear" w:color="auto" w:fill="FFFFFF"/>
          <w:vertAlign w:val="subscript"/>
        </w:rPr>
        <w:t>1</w:t>
      </w:r>
      <w:r w:rsidR="00752A8C" w:rsidRPr="009A217D">
        <w:rPr>
          <w:rFonts w:ascii="Times New Roman" w:hAnsi="Times New Roman" w:cs="Times New Roman"/>
          <w:shd w:val="clear" w:color="auto" w:fill="FFFFFF"/>
        </w:rPr>
        <w:t xml:space="preserve"> </w:t>
      </w:r>
      <w:r w:rsidR="00C05D5D" w:rsidRPr="009A217D">
        <w:rPr>
          <w:rFonts w:ascii="Times New Roman" w:hAnsi="Times New Roman" w:cs="Times New Roman"/>
          <w:shd w:val="clear" w:color="auto" w:fill="FFFFFF"/>
        </w:rPr>
        <w:t xml:space="preserve">planteada, </w:t>
      </w:r>
      <w:r w:rsidR="00A419AC">
        <w:rPr>
          <w:rFonts w:ascii="Times New Roman" w:hAnsi="Times New Roman" w:cs="Times New Roman"/>
          <w:shd w:val="clear" w:color="auto" w:fill="FFFFFF"/>
        </w:rPr>
        <w:t xml:space="preserve">ya que </w:t>
      </w:r>
      <w:r w:rsidR="00C05D5D" w:rsidRPr="009A217D">
        <w:rPr>
          <w:rFonts w:ascii="Times New Roman" w:hAnsi="Times New Roman" w:cs="Times New Roman"/>
          <w:shd w:val="clear" w:color="auto" w:fill="FFFFFF"/>
        </w:rPr>
        <w:t xml:space="preserve">la edad no se asocia en </w:t>
      </w:r>
      <w:r w:rsidR="00673C43" w:rsidRPr="009A217D">
        <w:rPr>
          <w:rFonts w:ascii="Times New Roman" w:hAnsi="Times New Roman" w:cs="Times New Roman"/>
          <w:shd w:val="clear" w:color="auto" w:fill="FFFFFF"/>
        </w:rPr>
        <w:t>todos los casos</w:t>
      </w:r>
      <w:r w:rsidR="00C05D5D" w:rsidRPr="009A217D">
        <w:rPr>
          <w:rFonts w:ascii="Times New Roman" w:hAnsi="Times New Roman" w:cs="Times New Roman"/>
          <w:shd w:val="clear" w:color="auto" w:fill="FFFFFF"/>
        </w:rPr>
        <w:t xml:space="preserve"> con el grado educativo cursado</w:t>
      </w:r>
      <w:r w:rsidR="00D76E8A" w:rsidRPr="009A217D">
        <w:rPr>
          <w:rFonts w:ascii="Times New Roman" w:hAnsi="Times New Roman" w:cs="Times New Roman"/>
          <w:shd w:val="clear" w:color="auto" w:fill="FFFFFF"/>
        </w:rPr>
        <w:t xml:space="preserve"> en </w:t>
      </w:r>
      <w:r w:rsidR="00086BC1" w:rsidRPr="009A217D">
        <w:rPr>
          <w:rFonts w:ascii="Times New Roman" w:hAnsi="Times New Roman" w:cs="Times New Roman"/>
          <w:shd w:val="clear" w:color="auto" w:fill="FFFFFF"/>
        </w:rPr>
        <w:t>la elección</w:t>
      </w:r>
      <w:r w:rsidR="00D76E8A" w:rsidRPr="009A217D">
        <w:rPr>
          <w:rFonts w:ascii="Times New Roman" w:hAnsi="Times New Roman" w:cs="Times New Roman"/>
          <w:shd w:val="clear" w:color="auto" w:fill="FFFFFF"/>
        </w:rPr>
        <w:t xml:space="preserve"> de una continuidad educativa</w:t>
      </w:r>
      <w:r w:rsidR="00727704">
        <w:rPr>
          <w:rFonts w:ascii="Times New Roman" w:hAnsi="Times New Roman" w:cs="Times New Roman"/>
          <w:shd w:val="clear" w:color="auto" w:fill="FFFFFF"/>
        </w:rPr>
        <w:t xml:space="preserve"> (figura 1)</w:t>
      </w:r>
      <w:r w:rsidR="00F90D40" w:rsidRPr="009A217D">
        <w:rPr>
          <w:rFonts w:ascii="Times New Roman" w:hAnsi="Times New Roman" w:cs="Times New Roman"/>
          <w:shd w:val="clear" w:color="auto" w:fill="FFFFFF"/>
        </w:rPr>
        <w:t>.</w:t>
      </w:r>
      <w:r w:rsidR="00820C2A">
        <w:rPr>
          <w:rFonts w:ascii="Times New Roman" w:hAnsi="Times New Roman" w:cs="Times New Roman"/>
          <w:shd w:val="clear" w:color="auto" w:fill="FFFFFF"/>
        </w:rPr>
        <w:t xml:space="preserve"> </w:t>
      </w:r>
    </w:p>
    <w:p w14:paraId="04F1382F" w14:textId="45634A59" w:rsidR="003E75FF" w:rsidRPr="003E75FF" w:rsidRDefault="003E75FF" w:rsidP="00FF6D96">
      <w:pPr>
        <w:spacing w:line="360" w:lineRule="auto"/>
        <w:ind w:firstLine="360"/>
        <w:rPr>
          <w:rFonts w:ascii="Times New Roman" w:hAnsi="Times New Roman" w:cs="Times New Roman"/>
        </w:rPr>
      </w:pPr>
      <m:oMathPara>
        <m:oMath>
          <m:r>
            <w:rPr>
              <w:rFonts w:ascii="Cambria Math" w:hAnsi="Cambria Math" w:cs="Times New Roman"/>
            </w:rPr>
            <m:t>r=</m:t>
          </m:r>
          <m:f>
            <m:fPr>
              <m:ctrlPr>
                <w:rPr>
                  <w:rFonts w:ascii="Cambria Math" w:hAnsi="Cambria Math" w:cs="Times New Roman"/>
                </w:rPr>
              </m:ctrlPr>
            </m:fPr>
            <m:num>
              <m:r>
                <w:rPr>
                  <w:rFonts w:ascii="Cambria Math" w:hAnsi="Cambria Math" w:cs="Times New Roman"/>
                </w:rPr>
                <m:t>n</m:t>
              </m:r>
              <m:r>
                <m:rPr>
                  <m:sty m:val="p"/>
                </m:rPr>
                <w:rPr>
                  <w:rFonts w:ascii="Cambria Math" w:hAnsi="Cambria Math" w:cs="Times New Roman"/>
                </w:rPr>
                <m:t xml:space="preserve"> (</m:t>
              </m:r>
              <m:nary>
                <m:naryPr>
                  <m:chr m:val="∑"/>
                  <m:limLoc m:val="undOvr"/>
                  <m:subHide m:val="1"/>
                  <m:supHide m:val="1"/>
                  <m:ctrlPr>
                    <w:rPr>
                      <w:rFonts w:ascii="Cambria Math" w:hAnsi="Cambria Math" w:cs="Times New Roman"/>
                    </w:rPr>
                  </m:ctrlPr>
                </m:naryPr>
                <m:sub/>
                <m:sup/>
                <m:e>
                  <m:r>
                    <w:rPr>
                      <w:rFonts w:ascii="Cambria Math" w:hAnsi="Cambria Math" w:cs="Times New Roman"/>
                    </w:rPr>
                    <m:t xml:space="preserve">xy)- </m:t>
                  </m:r>
                </m:e>
              </m:nary>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x)</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y)</m:t>
                      </m:r>
                    </m:e>
                  </m:nary>
                  <m:r>
                    <w:rPr>
                      <w:rFonts w:ascii="Cambria Math" w:hAnsi="Cambria Math" w:cs="Times New Roman"/>
                    </w:rPr>
                    <m:t xml:space="preserve"> </m:t>
                  </m:r>
                </m:e>
              </m:nary>
            </m:num>
            <m:den>
              <m:rad>
                <m:radPr>
                  <m:degHide m:val="1"/>
                  <m:ctrlPr>
                    <w:rPr>
                      <w:rFonts w:ascii="Cambria Math" w:hAnsi="Cambria Math" w:cs="Times New Roman"/>
                      <w:i/>
                    </w:rPr>
                  </m:ctrlPr>
                </m:radPr>
                <m:deg/>
                <m:e>
                  <m:r>
                    <w:rPr>
                      <w:rFonts w:ascii="Cambria Math" w:hAnsi="Cambria Math" w:cs="Times New Roman"/>
                    </w:rPr>
                    <m:t>n</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e>
                          </m:d>
                        </m:e>
                        <m:sup>
                          <m:r>
                            <w:rPr>
                              <w:rFonts w:ascii="Cambria Math" w:hAnsi="Cambria Math" w:cs="Times New Roman"/>
                            </w:rPr>
                            <m:t>2</m:t>
                          </m:r>
                        </m:sup>
                      </m:sSup>
                      <m:r>
                        <w:rPr>
                          <w:rFonts w:ascii="Cambria Math" w:hAnsi="Cambria Math" w:cs="Times New Roman"/>
                        </w:rPr>
                        <m:t xml:space="preserve"> </m:t>
                      </m:r>
                    </m:e>
                  </m:nary>
                </m:e>
              </m:rad>
              <m:rad>
                <m:radPr>
                  <m:degHide m:val="1"/>
                  <m:ctrlPr>
                    <w:rPr>
                      <w:rFonts w:ascii="Cambria Math" w:hAnsi="Cambria Math" w:cs="Times New Roman"/>
                      <w:i/>
                    </w:rPr>
                  </m:ctrlPr>
                </m:radPr>
                <m:deg/>
                <m:e>
                  <m:r>
                    <w:rPr>
                      <w:rFonts w:ascii="Cambria Math" w:hAnsi="Cambria Math" w:cs="Times New Roman"/>
                    </w:rPr>
                    <m:t>n</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rPr>
                          </m:ctrlPr>
                        </m:sSupPr>
                        <m:e>
                          <m:d>
                            <m:dPr>
                              <m:ctrlPr>
                                <w:rPr>
                                  <w:rFonts w:ascii="Cambria Math" w:hAnsi="Cambria Math" w:cs="Times New Roman"/>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y</m:t>
                                  </m:r>
                                </m:e>
                              </m:nary>
                            </m:e>
                          </m:d>
                        </m:e>
                        <m:sup>
                          <m:r>
                            <w:rPr>
                              <w:rFonts w:ascii="Cambria Math" w:hAnsi="Cambria Math" w:cs="Times New Roman"/>
                            </w:rPr>
                            <m:t>2</m:t>
                          </m:r>
                        </m:sup>
                      </m:sSup>
                      <m:r>
                        <w:rPr>
                          <w:rFonts w:ascii="Cambria Math" w:hAnsi="Cambria Math" w:cs="Times New Roman"/>
                        </w:rPr>
                        <m:t xml:space="preserve"> </m:t>
                      </m:r>
                    </m:e>
                  </m:nary>
                </m:e>
              </m:rad>
            </m:den>
          </m:f>
          <m:r>
            <w:rPr>
              <w:rFonts w:ascii="Cambria Math" w:hAnsi="Cambria Math" w:cs="Times New Roman"/>
            </w:rPr>
            <m:t>=</m:t>
          </m:r>
        </m:oMath>
      </m:oMathPara>
    </w:p>
    <w:p w14:paraId="422B1852" w14:textId="60C2B9AC" w:rsidR="003E75FF" w:rsidRPr="003E75FF" w:rsidRDefault="003E75FF" w:rsidP="00FF6D96">
      <w:pPr>
        <w:spacing w:line="360" w:lineRule="auto"/>
        <w:ind w:firstLine="360"/>
        <w:rPr>
          <w:rFonts w:ascii="Times New Roman" w:hAnsi="Times New Roman" w:cs="Times New Roman"/>
        </w:rPr>
      </w:pPr>
      <m:oMathPara>
        <m:oMath>
          <m:r>
            <w:rPr>
              <w:rFonts w:ascii="Cambria Math" w:hAnsi="Cambria Math" w:cs="Times New Roman"/>
            </w:rPr>
            <m:t>r=</m:t>
          </m:r>
          <m:f>
            <m:fPr>
              <m:ctrlPr>
                <w:rPr>
                  <w:rFonts w:ascii="Cambria Math" w:hAnsi="Cambria Math" w:cs="Times New Roman"/>
                </w:rPr>
              </m:ctrlPr>
            </m:fPr>
            <m:num>
              <m:r>
                <w:rPr>
                  <w:rFonts w:ascii="Cambria Math" w:hAnsi="Cambria Math" w:cs="Times New Roman"/>
                </w:rPr>
                <m:t>199</m:t>
              </m:r>
              <m:r>
                <m:rPr>
                  <m:sty m:val="p"/>
                </m:rPr>
                <w:rPr>
                  <w:rFonts w:ascii="Cambria Math" w:hAnsi="Cambria Math" w:cs="Times New Roman"/>
                </w:rPr>
                <m:t xml:space="preserve"> (</m:t>
              </m:r>
              <m:nary>
                <m:naryPr>
                  <m:chr m:val="∑"/>
                  <m:limLoc m:val="undOvr"/>
                  <m:subHide m:val="1"/>
                  <m:supHide m:val="1"/>
                  <m:ctrlPr>
                    <w:rPr>
                      <w:rFonts w:ascii="Cambria Math" w:hAnsi="Cambria Math" w:cs="Times New Roman"/>
                    </w:rPr>
                  </m:ctrlPr>
                </m:naryPr>
                <m:sub/>
                <m:sup/>
                <m:e>
                  <m:r>
                    <w:rPr>
                      <w:rFonts w:ascii="Cambria Math" w:hAnsi="Cambria Math" w:cs="Times New Roman"/>
                    </w:rPr>
                    <m:t xml:space="preserve">2241)- </m:t>
                  </m:r>
                </m:e>
              </m:nary>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380)</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1136)</m:t>
                      </m:r>
                    </m:e>
                  </m:nary>
                  <m:r>
                    <w:rPr>
                      <w:rFonts w:ascii="Cambria Math" w:hAnsi="Cambria Math" w:cs="Times New Roman"/>
                    </w:rPr>
                    <m:t xml:space="preserve"> </m:t>
                  </m:r>
                </m:e>
              </m:nary>
            </m:num>
            <m:den>
              <m:rad>
                <m:radPr>
                  <m:degHide m:val="1"/>
                  <m:ctrlPr>
                    <w:rPr>
                      <w:rFonts w:ascii="Cambria Math" w:hAnsi="Cambria Math" w:cs="Times New Roman"/>
                      <w:i/>
                    </w:rPr>
                  </m:ctrlPr>
                </m:radPr>
                <m:deg/>
                <m:e>
                  <m:r>
                    <w:rPr>
                      <w:rFonts w:ascii="Cambria Math" w:hAnsi="Cambria Math" w:cs="Times New Roman"/>
                    </w:rPr>
                    <m:t>199</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764)-</m:t>
                      </m:r>
                      <m:sSup>
                        <m:sSupPr>
                          <m:ctrlPr>
                            <w:rPr>
                              <w:rFonts w:ascii="Cambria Math" w:hAnsi="Cambria Math" w:cs="Times New Roman"/>
                            </w:rPr>
                          </m:ctrlPr>
                        </m:sSupPr>
                        <m:e>
                          <m:d>
                            <m:dPr>
                              <m:ctrlPr>
                                <w:rPr>
                                  <w:rFonts w:ascii="Cambria Math" w:hAnsi="Cambria Math" w:cs="Times New Roman"/>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380</m:t>
                                  </m:r>
                                </m:e>
                              </m:nary>
                            </m:e>
                          </m:d>
                        </m:e>
                        <m:sup>
                          <m:r>
                            <w:rPr>
                              <w:rFonts w:ascii="Cambria Math" w:hAnsi="Cambria Math" w:cs="Times New Roman"/>
                            </w:rPr>
                            <m:t>2</m:t>
                          </m:r>
                        </m:sup>
                      </m:sSup>
                      <m:r>
                        <w:rPr>
                          <w:rFonts w:ascii="Cambria Math" w:hAnsi="Cambria Math" w:cs="Times New Roman"/>
                        </w:rPr>
                        <m:t xml:space="preserve"> </m:t>
                      </m:r>
                    </m:e>
                  </m:nary>
                </m:e>
              </m:rad>
              <m:rad>
                <m:radPr>
                  <m:degHide m:val="1"/>
                  <m:ctrlPr>
                    <w:rPr>
                      <w:rFonts w:ascii="Cambria Math" w:hAnsi="Cambria Math" w:cs="Times New Roman"/>
                      <w:i/>
                    </w:rPr>
                  </m:ctrlPr>
                </m:radPr>
                <m:deg/>
                <m:e>
                  <m:r>
                    <w:rPr>
                      <w:rFonts w:ascii="Cambria Math" w:hAnsi="Cambria Math" w:cs="Times New Roman"/>
                    </w:rPr>
                    <m:t>199</m:t>
                  </m:r>
                  <m:r>
                    <m:rPr>
                      <m:sty m:val="p"/>
                    </m:rPr>
                    <w:rPr>
                      <w:rFonts w:ascii="Cambria Math" w:hAnsi="Cambria Math" w:cs="Times New Roman"/>
                    </w:rPr>
                    <m:t>(</m:t>
                  </m:r>
                  <m:nary>
                    <m:naryPr>
                      <m:chr m:val="∑"/>
                      <m:limLoc m:val="undOvr"/>
                      <m:subHide m:val="1"/>
                      <m:supHide m:val="1"/>
                      <m:ctrlPr>
                        <w:rPr>
                          <w:rFonts w:ascii="Cambria Math" w:hAnsi="Cambria Math" w:cs="Times New Roman"/>
                        </w:rPr>
                      </m:ctrlPr>
                    </m:naryPr>
                    <m:sub/>
                    <m:sup/>
                    <m:e>
                      <m:r>
                        <w:rPr>
                          <w:rFonts w:ascii="Cambria Math" w:hAnsi="Cambria Math" w:cs="Times New Roman"/>
                        </w:rPr>
                        <m:t>7598)-</m:t>
                      </m:r>
                      <m:sSup>
                        <m:sSupPr>
                          <m:ctrlPr>
                            <w:rPr>
                              <w:rFonts w:ascii="Cambria Math" w:hAnsi="Cambria Math" w:cs="Times New Roman"/>
                            </w:rPr>
                          </m:ctrlPr>
                        </m:sSupPr>
                        <m:e>
                          <m:d>
                            <m:dPr>
                              <m:ctrlPr>
                                <w:rPr>
                                  <w:rFonts w:ascii="Cambria Math" w:hAnsi="Cambria Math" w:cs="Times New Roman"/>
                                </w:rPr>
                              </m:ctrlPr>
                            </m:dPr>
                            <m:e>
                              <m:nary>
                                <m:naryPr>
                                  <m:chr m:val="∑"/>
                                  <m:limLoc m:val="undOvr"/>
                                  <m:subHide m:val="1"/>
                                  <m:supHide m:val="1"/>
                                  <m:ctrlPr>
                                    <w:rPr>
                                      <w:rFonts w:ascii="Cambria Math" w:hAnsi="Cambria Math" w:cs="Times New Roman"/>
                                      <w:i/>
                                    </w:rPr>
                                  </m:ctrlPr>
                                </m:naryPr>
                                <m:sub/>
                                <m:sup/>
                                <m:e>
                                  <m:r>
                                    <w:rPr>
                                      <w:rFonts w:ascii="Cambria Math" w:hAnsi="Cambria Math" w:cs="Times New Roman"/>
                                    </w:rPr>
                                    <m:t>1136</m:t>
                                  </m:r>
                                </m:e>
                              </m:nary>
                            </m:e>
                          </m:d>
                        </m:e>
                        <m:sup>
                          <m:r>
                            <w:rPr>
                              <w:rFonts w:ascii="Cambria Math" w:hAnsi="Cambria Math" w:cs="Times New Roman"/>
                            </w:rPr>
                            <m:t>2</m:t>
                          </m:r>
                        </m:sup>
                      </m:sSup>
                      <m:r>
                        <w:rPr>
                          <w:rFonts w:ascii="Cambria Math" w:hAnsi="Cambria Math" w:cs="Times New Roman"/>
                        </w:rPr>
                        <m:t xml:space="preserve"> </m:t>
                      </m:r>
                    </m:e>
                  </m:nary>
                </m:e>
              </m:rad>
            </m:den>
          </m:f>
          <m:r>
            <w:rPr>
              <w:rFonts w:ascii="Cambria Math" w:hAnsi="Cambria Math" w:cs="Times New Roman"/>
            </w:rPr>
            <m:t>=</m:t>
          </m:r>
        </m:oMath>
      </m:oMathPara>
    </w:p>
    <w:p w14:paraId="1FBF5D84" w14:textId="05AAE222" w:rsidR="003E75FF" w:rsidRPr="00873588" w:rsidRDefault="003E75FF" w:rsidP="00FF6D96">
      <w:pPr>
        <w:spacing w:line="360" w:lineRule="auto"/>
        <w:ind w:firstLine="360"/>
        <w:rPr>
          <w:rFonts w:ascii="Times New Roman" w:hAnsi="Times New Roman" w:cs="Times New Roman"/>
        </w:rPr>
      </w:pPr>
      <m:oMathPara>
        <m:oMath>
          <m:r>
            <w:rPr>
              <w:rFonts w:ascii="Cambria Math" w:hAnsi="Cambria Math" w:cs="Times New Roman"/>
            </w:rPr>
            <m:t>r=</m:t>
          </m:r>
          <m:f>
            <m:fPr>
              <m:ctrlPr>
                <w:rPr>
                  <w:rFonts w:ascii="Cambria Math" w:hAnsi="Cambria Math" w:cs="Times New Roman"/>
                </w:rPr>
              </m:ctrlPr>
            </m:fPr>
            <m:num>
              <m:r>
                <m:rPr>
                  <m:sty m:val="p"/>
                </m:rPr>
                <w:rPr>
                  <w:rFonts w:ascii="Cambria Math" w:hAnsi="Cambria Math" w:cs="Times New Roman"/>
                </w:rPr>
                <m:t>445959-431680</m:t>
              </m:r>
            </m:num>
            <m:den>
              <m:rad>
                <m:radPr>
                  <m:degHide m:val="1"/>
                  <m:ctrlPr>
                    <w:rPr>
                      <w:rFonts w:ascii="Cambria Math" w:hAnsi="Cambria Math" w:cs="Times New Roman"/>
                      <w:i/>
                    </w:rPr>
                  </m:ctrlPr>
                </m:radPr>
                <m:deg/>
                <m:e>
                  <m:r>
                    <w:rPr>
                      <w:rFonts w:ascii="Cambria Math" w:hAnsi="Cambria Math" w:cs="Times New Roman"/>
                    </w:rPr>
                    <m:t>7636</m:t>
                  </m:r>
                </m:e>
              </m:rad>
              <m:rad>
                <m:radPr>
                  <m:degHide m:val="1"/>
                  <m:ctrlPr>
                    <w:rPr>
                      <w:rFonts w:ascii="Cambria Math" w:hAnsi="Cambria Math" w:cs="Times New Roman"/>
                      <w:i/>
                    </w:rPr>
                  </m:ctrlPr>
                </m:radPr>
                <m:deg/>
                <m:e>
                  <m:r>
                    <w:rPr>
                      <w:rFonts w:ascii="Cambria Math" w:hAnsi="Cambria Math" w:cs="Times New Roman"/>
                    </w:rPr>
                    <m:t>221506</m:t>
                  </m:r>
                </m:e>
              </m:rad>
            </m:den>
          </m:f>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14279</m:t>
              </m:r>
            </m:num>
            <m:den>
              <m:r>
                <w:rPr>
                  <w:rFonts w:ascii="Cambria Math" w:hAnsi="Cambria Math" w:cs="Times New Roman"/>
                </w:rPr>
                <m:t>(87.38)(470.64)</m:t>
              </m:r>
            </m:den>
          </m:f>
          <m: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14279</m:t>
              </m:r>
            </m:num>
            <m:den>
              <m:r>
                <w:rPr>
                  <w:rFonts w:ascii="Cambria Math" w:hAnsi="Cambria Math" w:cs="Times New Roman"/>
                </w:rPr>
                <m:t>41124.52</m:t>
              </m:r>
            </m:den>
          </m:f>
          <m:r>
            <w:rPr>
              <w:rFonts w:ascii="Cambria Math" w:hAnsi="Cambria Math" w:cs="Times New Roman"/>
            </w:rPr>
            <m:t>=0.3472</m:t>
          </m:r>
        </m:oMath>
      </m:oMathPara>
    </w:p>
    <w:p w14:paraId="6E93EA78" w14:textId="77777777" w:rsidR="00873588" w:rsidRPr="003E75FF" w:rsidRDefault="00873588" w:rsidP="00FF6D96">
      <w:pPr>
        <w:spacing w:line="360" w:lineRule="auto"/>
        <w:ind w:firstLine="360"/>
        <w:rPr>
          <w:rFonts w:ascii="Times New Roman" w:hAnsi="Times New Roman" w:cs="Times New Roman"/>
        </w:rPr>
      </w:pPr>
    </w:p>
    <w:p w14:paraId="0BDA12FD" w14:textId="77777777" w:rsidR="00873588" w:rsidRDefault="00FE3874" w:rsidP="00FF6D96">
      <w:pPr>
        <w:spacing w:line="360" w:lineRule="auto"/>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DE7832">
        <w:rPr>
          <w:rFonts w:ascii="Times New Roman" w:hAnsi="Times New Roman" w:cs="Times New Roman"/>
          <w:b/>
        </w:rPr>
        <w:t>Figura 1.</w:t>
      </w:r>
      <w:r>
        <w:rPr>
          <w:rFonts w:ascii="Times New Roman" w:hAnsi="Times New Roman" w:cs="Times New Roman"/>
        </w:rPr>
        <w:t xml:space="preserve"> Relación grado educativo y edad de los sujetos de estudio</w:t>
      </w:r>
      <w:r w:rsidR="00333753" w:rsidRPr="0033375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F9F2B68" w14:textId="3DDABEE4" w:rsidR="00FE3874" w:rsidRDefault="00333753" w:rsidP="00FF6D96">
      <w:pPr>
        <w:spacing w:line="360" w:lineRule="auto"/>
        <w:jc w:val="center"/>
        <w:rPr>
          <w:rFonts w:ascii="Times New Roman" w:hAnsi="Times New Roman" w:cs="Times New Roman"/>
        </w:rPr>
      </w:pPr>
      <w:r w:rsidRPr="00333753">
        <w:rPr>
          <w:rFonts w:ascii="Times New Roman" w:hAnsi="Times New Roman" w:cs="Times New Roman"/>
          <w:noProof/>
          <w:lang w:val="es-MX" w:eastAsia="es-MX"/>
        </w:rPr>
        <w:drawing>
          <wp:inline distT="0" distB="0" distL="0" distR="0" wp14:anchorId="52EFD168" wp14:editId="0AC8ECB3">
            <wp:extent cx="5817870" cy="1959610"/>
            <wp:effectExtent l="0" t="0" r="0" b="2540"/>
            <wp:docPr id="22" name="Imagen 22" descr="C:\Users\Usuario\Documents\PAPER\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APER\Fig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7870" cy="1959610"/>
                    </a:xfrm>
                    <a:prstGeom prst="rect">
                      <a:avLst/>
                    </a:prstGeom>
                    <a:noFill/>
                    <a:ln>
                      <a:noFill/>
                    </a:ln>
                  </pic:spPr>
                </pic:pic>
              </a:graphicData>
            </a:graphic>
          </wp:inline>
        </w:drawing>
      </w:r>
    </w:p>
    <w:p w14:paraId="0993F986" w14:textId="654639DE" w:rsidR="00FE3874" w:rsidRDefault="00DE7832" w:rsidP="00FF6D96">
      <w:pPr>
        <w:spacing w:line="360" w:lineRule="auto"/>
        <w:jc w:val="center"/>
        <w:rPr>
          <w:rFonts w:ascii="Times New Roman" w:hAnsi="Times New Roman" w:cs="Times New Roman"/>
        </w:rPr>
      </w:pPr>
      <w:r>
        <w:rPr>
          <w:rFonts w:ascii="Times New Roman" w:hAnsi="Times New Roman" w:cs="Times New Roman"/>
        </w:rPr>
        <w:t>Fuente: E</w:t>
      </w:r>
      <w:r w:rsidR="00FE3874">
        <w:rPr>
          <w:rFonts w:ascii="Times New Roman" w:hAnsi="Times New Roman" w:cs="Times New Roman"/>
        </w:rPr>
        <w:t>laboración propia</w:t>
      </w:r>
    </w:p>
    <w:p w14:paraId="35051594" w14:textId="10653025" w:rsidR="003E75FF" w:rsidRPr="00873588" w:rsidRDefault="003E75FF" w:rsidP="00FF6D96">
      <w:pPr>
        <w:spacing w:line="360" w:lineRule="auto"/>
        <w:ind w:firstLine="360"/>
        <w:rPr>
          <w:rFonts w:ascii="Times New Roman" w:hAnsi="Times New Roman" w:cs="Times New Roman"/>
        </w:rPr>
      </w:pPr>
      <m:oMathPara>
        <m:oMath>
          <m:r>
            <w:rPr>
              <w:rFonts w:ascii="Cambria Math" w:hAnsi="Cambria Math" w:cs="Times New Roman"/>
            </w:rPr>
            <m:t>t</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r</m:t>
              </m:r>
            </m:num>
            <m:den>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1-</m:t>
                      </m:r>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num>
                    <m:den>
                      <m:r>
                        <w:rPr>
                          <w:rFonts w:ascii="Cambria Math" w:hAnsi="Cambria Math" w:cs="Times New Roman"/>
                        </w:rPr>
                        <m:t>n-2</m:t>
                      </m:r>
                    </m:den>
                  </m:f>
                </m:e>
              </m:rad>
            </m:den>
          </m:f>
          <m:r>
            <w:rPr>
              <w:rFonts w:ascii="Cambria Math" w:hAnsi="Cambria Math" w:cs="Times New Roman"/>
            </w:rPr>
            <m:t xml:space="preserve">= </m:t>
          </m:r>
          <m:f>
            <m:fPr>
              <m:ctrlPr>
                <w:rPr>
                  <w:rFonts w:ascii="Cambria Math" w:hAnsi="Cambria Math" w:cs="Times New Roman"/>
                </w:rPr>
              </m:ctrlPr>
            </m:fPr>
            <m:num>
              <m:r>
                <w:rPr>
                  <w:rFonts w:ascii="Cambria Math" w:hAnsi="Cambria Math" w:cs="Times New Roman"/>
                </w:rPr>
                <m:t>0.3472</m:t>
              </m:r>
            </m:num>
            <m:den>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1-0.1205</m:t>
                      </m:r>
                    </m:num>
                    <m:den>
                      <m:r>
                        <w:rPr>
                          <w:rFonts w:ascii="Cambria Math" w:hAnsi="Cambria Math" w:cs="Times New Roman"/>
                        </w:rPr>
                        <m:t>199-2</m:t>
                      </m:r>
                    </m:den>
                  </m:f>
                </m:e>
              </m:rad>
            </m:den>
          </m:f>
          <m:r>
            <w:rPr>
              <w:rFonts w:ascii="Cambria Math" w:hAnsi="Cambria Math" w:cs="Times New Roman"/>
            </w:rPr>
            <m:t>=</m:t>
          </m:r>
          <m:f>
            <m:fPr>
              <m:ctrlPr>
                <w:rPr>
                  <w:rFonts w:ascii="Cambria Math" w:hAnsi="Cambria Math" w:cs="Times New Roman"/>
                </w:rPr>
              </m:ctrlPr>
            </m:fPr>
            <m:num>
              <m:r>
                <w:rPr>
                  <w:rFonts w:ascii="Cambria Math" w:hAnsi="Cambria Math" w:cs="Times New Roman"/>
                </w:rPr>
                <m:t>0.3472</m:t>
              </m:r>
            </m:num>
            <m:den>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0.8795</m:t>
                      </m:r>
                    </m:num>
                    <m:den>
                      <m:r>
                        <w:rPr>
                          <w:rFonts w:ascii="Cambria Math" w:hAnsi="Cambria Math" w:cs="Times New Roman"/>
                        </w:rPr>
                        <m:t>177</m:t>
                      </m:r>
                    </m:den>
                  </m:f>
                </m:e>
              </m:rad>
            </m:den>
          </m:f>
          <m:r>
            <w:rPr>
              <w:rFonts w:ascii="Cambria Math" w:hAnsi="Cambria Math" w:cs="Times New Roman"/>
            </w:rPr>
            <m:t>=</m:t>
          </m:r>
          <m:f>
            <m:fPr>
              <m:ctrlPr>
                <w:rPr>
                  <w:rFonts w:ascii="Cambria Math" w:hAnsi="Cambria Math" w:cs="Times New Roman"/>
                </w:rPr>
              </m:ctrlPr>
            </m:fPr>
            <m:num>
              <m:r>
                <w:rPr>
                  <w:rFonts w:ascii="Cambria Math" w:hAnsi="Cambria Math" w:cs="Times New Roman"/>
                </w:rPr>
                <m:t>0.3472</m:t>
              </m:r>
            </m:num>
            <m:den>
              <m:rad>
                <m:radPr>
                  <m:degHide m:val="1"/>
                  <m:ctrlPr>
                    <w:rPr>
                      <w:rFonts w:ascii="Cambria Math" w:hAnsi="Cambria Math" w:cs="Times New Roman"/>
                    </w:rPr>
                  </m:ctrlPr>
                </m:radPr>
                <m:deg/>
                <m:e>
                  <m:r>
                    <w:rPr>
                      <w:rFonts w:ascii="Cambria Math" w:hAnsi="Cambria Math" w:cs="Times New Roman"/>
                    </w:rPr>
                    <m:t>.0045</m:t>
                  </m:r>
                </m:e>
              </m:rad>
            </m:den>
          </m:f>
          <m:r>
            <w:rPr>
              <w:rFonts w:ascii="Cambria Math" w:hAnsi="Cambria Math" w:cs="Times New Roman"/>
            </w:rPr>
            <m:t>=</m:t>
          </m:r>
          <m:f>
            <m:fPr>
              <m:ctrlPr>
                <w:rPr>
                  <w:rFonts w:ascii="Cambria Math" w:hAnsi="Cambria Math" w:cs="Times New Roman"/>
                </w:rPr>
              </m:ctrlPr>
            </m:fPr>
            <m:num>
              <m:r>
                <w:rPr>
                  <w:rFonts w:ascii="Cambria Math" w:hAnsi="Cambria Math" w:cs="Times New Roman"/>
                </w:rPr>
                <m:t>0.3472</m:t>
              </m:r>
            </m:num>
            <m:den>
              <m:r>
                <m:rPr>
                  <m:sty m:val="p"/>
                </m:rPr>
                <w:rPr>
                  <w:rFonts w:ascii="Cambria Math" w:hAnsi="Cambria Math" w:cs="Times New Roman"/>
                </w:rPr>
                <m:t>0.0668</m:t>
              </m:r>
            </m:den>
          </m:f>
          <m:r>
            <w:rPr>
              <w:rFonts w:ascii="Cambria Math" w:hAnsi="Cambria Math" w:cs="Times New Roman"/>
            </w:rPr>
            <m:t>=5.2</m:t>
          </m:r>
        </m:oMath>
      </m:oMathPara>
    </w:p>
    <w:p w14:paraId="4A2605E3" w14:textId="40366915" w:rsidR="007B6EB5" w:rsidRDefault="007B6EB5" w:rsidP="00FF6D96">
      <w:pPr>
        <w:spacing w:line="360" w:lineRule="auto"/>
        <w:ind w:firstLine="708"/>
        <w:jc w:val="both"/>
        <w:rPr>
          <w:rFonts w:ascii="Times New Roman" w:hAnsi="Times New Roman" w:cs="Times New Roman"/>
          <w:shd w:val="clear" w:color="auto" w:fill="FFFFFF"/>
        </w:rPr>
      </w:pPr>
      <w:r w:rsidRPr="00793F60">
        <w:rPr>
          <w:rFonts w:ascii="Times New Roman" w:hAnsi="Times New Roman" w:cs="Times New Roman"/>
          <w:shd w:val="clear" w:color="auto" w:fill="FFFFFF"/>
        </w:rPr>
        <w:t xml:space="preserve">Con respecto </w:t>
      </w:r>
      <w:r w:rsidR="00763B04">
        <w:rPr>
          <w:rFonts w:ascii="Times New Roman" w:hAnsi="Times New Roman" w:cs="Times New Roman"/>
          <w:shd w:val="clear" w:color="auto" w:fill="FFFFFF"/>
        </w:rPr>
        <w:t xml:space="preserve">a las fuentes </w:t>
      </w:r>
      <w:r w:rsidR="00D76E8A">
        <w:rPr>
          <w:rFonts w:ascii="Times New Roman" w:hAnsi="Times New Roman" w:cs="Times New Roman"/>
          <w:shd w:val="clear" w:color="auto" w:fill="FFFFFF"/>
        </w:rPr>
        <w:t xml:space="preserve">en donde se obtiene información para las tareas, prácticas y ejercicios, </w:t>
      </w:r>
      <w:r w:rsidR="00A419AC">
        <w:rPr>
          <w:rFonts w:ascii="Times New Roman" w:hAnsi="Times New Roman" w:cs="Times New Roman"/>
          <w:shd w:val="clear" w:color="auto" w:fill="FFFFFF"/>
        </w:rPr>
        <w:t>75.4</w:t>
      </w:r>
      <w:r w:rsidR="006F0021">
        <w:rPr>
          <w:rFonts w:ascii="Times New Roman" w:hAnsi="Times New Roman" w:cs="Times New Roman"/>
          <w:shd w:val="clear" w:color="auto" w:fill="FFFFFF"/>
        </w:rPr>
        <w:t> </w:t>
      </w:r>
      <w:r w:rsidR="00A419AC">
        <w:rPr>
          <w:rFonts w:ascii="Times New Roman" w:hAnsi="Times New Roman" w:cs="Times New Roman"/>
          <w:shd w:val="clear" w:color="auto" w:fill="FFFFFF"/>
        </w:rPr>
        <w:t xml:space="preserve">% de </w:t>
      </w:r>
      <w:r w:rsidR="00D76E8A">
        <w:rPr>
          <w:rFonts w:ascii="Times New Roman" w:hAnsi="Times New Roman" w:cs="Times New Roman"/>
          <w:shd w:val="clear" w:color="auto" w:fill="FFFFFF"/>
        </w:rPr>
        <w:t xml:space="preserve">los estudiantes consideraron que son </w:t>
      </w:r>
      <w:r w:rsidR="00763B04">
        <w:rPr>
          <w:rFonts w:ascii="Times New Roman" w:hAnsi="Times New Roman" w:cs="Times New Roman"/>
          <w:shd w:val="clear" w:color="auto" w:fill="FFFFFF"/>
        </w:rPr>
        <w:t>confiables</w:t>
      </w:r>
      <w:r w:rsidR="006F0021">
        <w:rPr>
          <w:rFonts w:ascii="Times New Roman" w:hAnsi="Times New Roman" w:cs="Times New Roman"/>
          <w:shd w:val="clear" w:color="auto" w:fill="FFFFFF"/>
        </w:rPr>
        <w:t xml:space="preserve">; </w:t>
      </w:r>
      <w:r w:rsidR="00FE10EA">
        <w:rPr>
          <w:rFonts w:ascii="Times New Roman" w:hAnsi="Times New Roman" w:cs="Times New Roman"/>
          <w:shd w:val="clear" w:color="auto" w:fill="FFFFFF"/>
        </w:rPr>
        <w:t xml:space="preserve">pero </w:t>
      </w:r>
      <w:r w:rsidR="006F0021">
        <w:rPr>
          <w:rFonts w:ascii="Times New Roman" w:hAnsi="Times New Roman" w:cs="Times New Roman"/>
          <w:shd w:val="clear" w:color="auto" w:fill="FFFFFF"/>
        </w:rPr>
        <w:t xml:space="preserve">en cuanto a </w:t>
      </w:r>
      <w:r w:rsidR="00763B04">
        <w:rPr>
          <w:rFonts w:ascii="Times New Roman" w:hAnsi="Times New Roman" w:cs="Times New Roman"/>
          <w:shd w:val="clear" w:color="auto" w:fill="FFFFFF"/>
        </w:rPr>
        <w:t xml:space="preserve">la motivación </w:t>
      </w:r>
      <w:r w:rsidR="00BC1B50">
        <w:rPr>
          <w:rFonts w:ascii="Times New Roman" w:hAnsi="Times New Roman" w:cs="Times New Roman"/>
          <w:shd w:val="clear" w:color="auto" w:fill="FFFFFF"/>
        </w:rPr>
        <w:t>para investigar</w:t>
      </w:r>
      <w:r w:rsidR="006F0021">
        <w:rPr>
          <w:rFonts w:ascii="Times New Roman" w:hAnsi="Times New Roman" w:cs="Times New Roman"/>
          <w:shd w:val="clear" w:color="auto" w:fill="FFFFFF"/>
        </w:rPr>
        <w:t>,</w:t>
      </w:r>
      <w:r w:rsidR="00BC1B50">
        <w:rPr>
          <w:rFonts w:ascii="Times New Roman" w:hAnsi="Times New Roman" w:cs="Times New Roman"/>
          <w:shd w:val="clear" w:color="auto" w:fill="FFFFFF"/>
        </w:rPr>
        <w:t xml:space="preserve"> esta presenta un resultado de </w:t>
      </w:r>
      <w:r w:rsidR="00763B04">
        <w:rPr>
          <w:rFonts w:ascii="Times New Roman" w:hAnsi="Times New Roman" w:cs="Times New Roman"/>
          <w:shd w:val="clear" w:color="auto" w:fill="FFFFFF"/>
        </w:rPr>
        <w:t>52.3</w:t>
      </w:r>
      <w:r w:rsidR="006F0021">
        <w:rPr>
          <w:rFonts w:ascii="Times New Roman" w:hAnsi="Times New Roman" w:cs="Times New Roman"/>
          <w:shd w:val="clear" w:color="auto" w:fill="FFFFFF"/>
        </w:rPr>
        <w:t> </w:t>
      </w:r>
      <w:r w:rsidR="00763B04">
        <w:rPr>
          <w:rFonts w:ascii="Times New Roman" w:hAnsi="Times New Roman" w:cs="Times New Roman"/>
          <w:shd w:val="clear" w:color="auto" w:fill="FFFFFF"/>
        </w:rPr>
        <w:t xml:space="preserve">% </w:t>
      </w:r>
      <w:r w:rsidR="00BC1B50">
        <w:rPr>
          <w:rFonts w:ascii="Times New Roman" w:hAnsi="Times New Roman" w:cs="Times New Roman"/>
          <w:shd w:val="clear" w:color="auto" w:fill="FFFFFF"/>
        </w:rPr>
        <w:t xml:space="preserve">en su realización </w:t>
      </w:r>
      <w:r w:rsidR="00EB0F19">
        <w:rPr>
          <w:rFonts w:ascii="Times New Roman" w:hAnsi="Times New Roman" w:cs="Times New Roman"/>
          <w:shd w:val="clear" w:color="auto" w:fill="FFFFFF"/>
        </w:rPr>
        <w:t>(figura 2).</w:t>
      </w:r>
    </w:p>
    <w:p w14:paraId="00BCD001" w14:textId="3B69FFC6" w:rsidR="00CC76B1" w:rsidRDefault="00CC76B1" w:rsidP="00FF6D96">
      <w:pPr>
        <w:spacing w:line="360" w:lineRule="auto"/>
        <w:jc w:val="both"/>
        <w:rPr>
          <w:rFonts w:ascii="Times New Roman" w:hAnsi="Times New Roman" w:cs="Times New Roman"/>
          <w:shd w:val="clear" w:color="auto" w:fill="FFFFFF"/>
        </w:rPr>
      </w:pPr>
    </w:p>
    <w:p w14:paraId="6C861489" w14:textId="6ECEC227" w:rsidR="00C23DC2" w:rsidRDefault="00C23DC2" w:rsidP="00FF6D96">
      <w:pPr>
        <w:spacing w:line="360" w:lineRule="auto"/>
        <w:jc w:val="both"/>
        <w:rPr>
          <w:rFonts w:ascii="Times New Roman" w:hAnsi="Times New Roman" w:cs="Times New Roman"/>
          <w:shd w:val="clear" w:color="auto" w:fill="FFFFFF"/>
        </w:rPr>
      </w:pPr>
    </w:p>
    <w:p w14:paraId="0CFB5213" w14:textId="208858C7" w:rsidR="00C23DC2" w:rsidRDefault="00C23DC2" w:rsidP="00FF6D96">
      <w:pPr>
        <w:spacing w:line="360" w:lineRule="auto"/>
        <w:jc w:val="both"/>
        <w:rPr>
          <w:rFonts w:ascii="Times New Roman" w:hAnsi="Times New Roman" w:cs="Times New Roman"/>
          <w:shd w:val="clear" w:color="auto" w:fill="FFFFFF"/>
        </w:rPr>
      </w:pPr>
    </w:p>
    <w:p w14:paraId="29C294C6" w14:textId="28D23889" w:rsidR="00C23DC2" w:rsidRDefault="00C23DC2" w:rsidP="00FF6D96">
      <w:pPr>
        <w:spacing w:line="360" w:lineRule="auto"/>
        <w:jc w:val="both"/>
        <w:rPr>
          <w:rFonts w:ascii="Times New Roman" w:hAnsi="Times New Roman" w:cs="Times New Roman"/>
          <w:shd w:val="clear" w:color="auto" w:fill="FFFFFF"/>
        </w:rPr>
      </w:pPr>
    </w:p>
    <w:p w14:paraId="23CFB9FC" w14:textId="731EC6B2" w:rsidR="00C23DC2" w:rsidRDefault="00C23DC2" w:rsidP="00FF6D96">
      <w:pPr>
        <w:spacing w:line="360" w:lineRule="auto"/>
        <w:jc w:val="both"/>
        <w:rPr>
          <w:rFonts w:ascii="Times New Roman" w:hAnsi="Times New Roman" w:cs="Times New Roman"/>
          <w:shd w:val="clear" w:color="auto" w:fill="FFFFFF"/>
        </w:rPr>
      </w:pPr>
    </w:p>
    <w:p w14:paraId="7EB985CF" w14:textId="2E4F4CD0" w:rsidR="00C23DC2" w:rsidRDefault="00C23DC2" w:rsidP="00FF6D96">
      <w:pPr>
        <w:spacing w:line="360" w:lineRule="auto"/>
        <w:jc w:val="both"/>
        <w:rPr>
          <w:rFonts w:ascii="Times New Roman" w:hAnsi="Times New Roman" w:cs="Times New Roman"/>
          <w:shd w:val="clear" w:color="auto" w:fill="FFFFFF"/>
        </w:rPr>
      </w:pPr>
    </w:p>
    <w:p w14:paraId="33428FB8" w14:textId="77777777" w:rsidR="00C23DC2" w:rsidRDefault="00C23DC2" w:rsidP="00FF6D96">
      <w:pPr>
        <w:spacing w:line="360" w:lineRule="auto"/>
        <w:jc w:val="both"/>
        <w:rPr>
          <w:rFonts w:ascii="Times New Roman" w:hAnsi="Times New Roman" w:cs="Times New Roman"/>
          <w:shd w:val="clear" w:color="auto" w:fill="FFFFFF"/>
        </w:rPr>
      </w:pPr>
    </w:p>
    <w:p w14:paraId="3ED8413C" w14:textId="0C6D4A9E" w:rsidR="00EB0F19" w:rsidRDefault="00EB0F19" w:rsidP="00421EB7">
      <w:pPr>
        <w:spacing w:line="360" w:lineRule="auto"/>
        <w:jc w:val="center"/>
        <w:rPr>
          <w:rFonts w:ascii="Times New Roman" w:hAnsi="Times New Roman" w:cs="Times New Roman"/>
          <w:shd w:val="clear" w:color="auto" w:fill="FFFFFF"/>
        </w:rPr>
      </w:pPr>
      <w:r w:rsidRPr="00DE7832">
        <w:rPr>
          <w:rFonts w:ascii="Times New Roman" w:hAnsi="Times New Roman" w:cs="Times New Roman"/>
          <w:b/>
          <w:shd w:val="clear" w:color="auto" w:fill="FFFFFF"/>
        </w:rPr>
        <w:lastRenderedPageBreak/>
        <w:t>Figura 2.</w:t>
      </w:r>
      <w:r>
        <w:rPr>
          <w:rFonts w:ascii="Times New Roman" w:hAnsi="Times New Roman" w:cs="Times New Roman"/>
          <w:shd w:val="clear" w:color="auto" w:fill="FFFFFF"/>
        </w:rPr>
        <w:t xml:space="preserve"> Frecuencia en la consulta de fuentes confiables y motivación hacia la investigación</w:t>
      </w:r>
    </w:p>
    <w:p w14:paraId="6427B00C" w14:textId="57E07A88" w:rsidR="007B6EB5" w:rsidRDefault="00333753" w:rsidP="00FF6D96">
      <w:pPr>
        <w:spacing w:line="360" w:lineRule="auto"/>
        <w:jc w:val="both"/>
        <w:rPr>
          <w:rFonts w:ascii="Times New Roman" w:hAnsi="Times New Roman" w:cs="Times New Roman"/>
          <w:shd w:val="clear" w:color="auto" w:fill="FFFFFF"/>
        </w:rPr>
      </w:pPr>
      <w:r w:rsidRPr="00333753">
        <w:rPr>
          <w:rFonts w:ascii="Times New Roman" w:hAnsi="Times New Roman" w:cs="Times New Roman"/>
          <w:noProof/>
          <w:shd w:val="clear" w:color="auto" w:fill="FFFFFF"/>
          <w:lang w:val="es-MX" w:eastAsia="es-MX"/>
        </w:rPr>
        <w:drawing>
          <wp:inline distT="0" distB="0" distL="0" distR="0" wp14:anchorId="6D05D41A" wp14:editId="0EC5DDF3">
            <wp:extent cx="5918200" cy="2592705"/>
            <wp:effectExtent l="0" t="0" r="6350" b="0"/>
            <wp:docPr id="23" name="Imagen 23" descr="C:\Users\Usuario\Documents\PAPER\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PAPER\Figur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8200" cy="2592705"/>
                    </a:xfrm>
                    <a:prstGeom prst="rect">
                      <a:avLst/>
                    </a:prstGeom>
                    <a:noFill/>
                    <a:ln>
                      <a:noFill/>
                    </a:ln>
                  </pic:spPr>
                </pic:pic>
              </a:graphicData>
            </a:graphic>
          </wp:inline>
        </w:drawing>
      </w:r>
    </w:p>
    <w:p w14:paraId="1A134CD0" w14:textId="19CE3533" w:rsidR="00EB0F19" w:rsidRDefault="00EB0F19" w:rsidP="00FF6D96">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Fuente: </w:t>
      </w:r>
      <w:r w:rsidR="00B945C0">
        <w:rPr>
          <w:rFonts w:ascii="Times New Roman" w:hAnsi="Times New Roman" w:cs="Times New Roman"/>
          <w:shd w:val="clear" w:color="auto" w:fill="FFFFFF"/>
        </w:rPr>
        <w:t>E</w:t>
      </w:r>
      <w:r>
        <w:rPr>
          <w:rFonts w:ascii="Times New Roman" w:hAnsi="Times New Roman" w:cs="Times New Roman"/>
          <w:shd w:val="clear" w:color="auto" w:fill="FFFFFF"/>
        </w:rPr>
        <w:t>laboración propia</w:t>
      </w:r>
    </w:p>
    <w:p w14:paraId="7DABAF91" w14:textId="6A57C376" w:rsidR="00EB0F19" w:rsidRDefault="008B533A"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En respuesta a la pregunta planteada </w:t>
      </w:r>
      <w:r w:rsidR="00FE10EA">
        <w:rPr>
          <w:rFonts w:ascii="Times New Roman" w:hAnsi="Times New Roman" w:cs="Times New Roman"/>
          <w:shd w:val="clear" w:color="auto" w:fill="FFFFFF"/>
        </w:rPr>
        <w:t>que indaga sobre c</w:t>
      </w:r>
      <w:r w:rsidRPr="008B533A">
        <w:rPr>
          <w:rFonts w:ascii="Times New Roman" w:hAnsi="Times New Roman" w:cs="Times New Roman"/>
          <w:shd w:val="clear" w:color="auto" w:fill="FFFFFF"/>
        </w:rPr>
        <w:t>uáles son las asignaturas que fomentan la investigación en los estudiantes de nivel superior</w:t>
      </w:r>
      <w:r>
        <w:rPr>
          <w:rFonts w:ascii="Times New Roman" w:hAnsi="Times New Roman" w:cs="Times New Roman"/>
          <w:shd w:val="clear" w:color="auto" w:fill="FFFFFF"/>
        </w:rPr>
        <w:t>, se obtuvo que</w:t>
      </w:r>
      <w:r w:rsidR="006F0021">
        <w:rPr>
          <w:rFonts w:ascii="Times New Roman" w:hAnsi="Times New Roman" w:cs="Times New Roman"/>
          <w:shd w:val="clear" w:color="auto" w:fill="FFFFFF"/>
        </w:rPr>
        <w:t>,</w:t>
      </w:r>
      <w:r>
        <w:rPr>
          <w:rFonts w:ascii="Times New Roman" w:hAnsi="Times New Roman" w:cs="Times New Roman"/>
          <w:shd w:val="clear" w:color="auto" w:fill="FFFFFF"/>
        </w:rPr>
        <w:t xml:space="preserve"> a</w:t>
      </w:r>
      <w:r w:rsidR="00820C2A">
        <w:rPr>
          <w:rFonts w:ascii="Times New Roman" w:hAnsi="Times New Roman" w:cs="Times New Roman"/>
          <w:shd w:val="clear" w:color="auto" w:fill="FFFFFF"/>
        </w:rPr>
        <w:t xml:space="preserve"> partir de la información recabada de los sujetos de estudio, </w:t>
      </w:r>
      <w:r w:rsidR="00EB0F19">
        <w:rPr>
          <w:rFonts w:ascii="Times New Roman" w:hAnsi="Times New Roman" w:cs="Times New Roman"/>
          <w:shd w:val="clear" w:color="auto" w:fill="FFFFFF"/>
        </w:rPr>
        <w:t>las asignaturas que impulsan la investigación</w:t>
      </w:r>
      <w:r w:rsidR="006F0021">
        <w:rPr>
          <w:rFonts w:ascii="Times New Roman" w:hAnsi="Times New Roman" w:cs="Times New Roman"/>
          <w:shd w:val="clear" w:color="auto" w:fill="FFFFFF"/>
        </w:rPr>
        <w:t>,</w:t>
      </w:r>
      <w:r w:rsidR="00EB0F19">
        <w:rPr>
          <w:rFonts w:ascii="Times New Roman" w:hAnsi="Times New Roman" w:cs="Times New Roman"/>
          <w:shd w:val="clear" w:color="auto" w:fill="FFFFFF"/>
        </w:rPr>
        <w:t xml:space="preserve"> en primera instancia</w:t>
      </w:r>
      <w:r w:rsidR="006F0021">
        <w:rPr>
          <w:rFonts w:ascii="Times New Roman" w:hAnsi="Times New Roman" w:cs="Times New Roman"/>
          <w:shd w:val="clear" w:color="auto" w:fill="FFFFFF"/>
        </w:rPr>
        <w:t>,</w:t>
      </w:r>
      <w:r w:rsidR="00EB0F19">
        <w:rPr>
          <w:rFonts w:ascii="Times New Roman" w:hAnsi="Times New Roman" w:cs="Times New Roman"/>
          <w:shd w:val="clear" w:color="auto" w:fill="FFFFFF"/>
        </w:rPr>
        <w:t xml:space="preserve"> </w:t>
      </w:r>
      <w:r w:rsidR="006C295E">
        <w:rPr>
          <w:rFonts w:ascii="Times New Roman" w:hAnsi="Times New Roman" w:cs="Times New Roman"/>
          <w:shd w:val="clear" w:color="auto" w:fill="FFFFFF"/>
        </w:rPr>
        <w:t xml:space="preserve">son </w:t>
      </w:r>
      <w:r w:rsidR="006F0021">
        <w:rPr>
          <w:rFonts w:ascii="Times New Roman" w:hAnsi="Times New Roman" w:cs="Times New Roman"/>
          <w:shd w:val="clear" w:color="auto" w:fill="FFFFFF"/>
        </w:rPr>
        <w:t xml:space="preserve">“Metodología </w:t>
      </w:r>
      <w:r w:rsidR="00EB0F19">
        <w:rPr>
          <w:rFonts w:ascii="Times New Roman" w:hAnsi="Times New Roman" w:cs="Times New Roman"/>
          <w:shd w:val="clear" w:color="auto" w:fill="FFFFFF"/>
        </w:rPr>
        <w:t xml:space="preserve">de la </w:t>
      </w:r>
      <w:r w:rsidR="006F0021">
        <w:rPr>
          <w:rFonts w:ascii="Times New Roman" w:hAnsi="Times New Roman" w:cs="Times New Roman"/>
          <w:shd w:val="clear" w:color="auto" w:fill="FFFFFF"/>
        </w:rPr>
        <w:t xml:space="preserve">investigación” </w:t>
      </w:r>
      <w:r w:rsidR="009C0324">
        <w:rPr>
          <w:rFonts w:ascii="Times New Roman" w:hAnsi="Times New Roman" w:cs="Times New Roman"/>
          <w:shd w:val="clear" w:color="auto" w:fill="FFFFFF"/>
        </w:rPr>
        <w:t xml:space="preserve">y </w:t>
      </w:r>
      <w:r w:rsidR="006F0021">
        <w:rPr>
          <w:rFonts w:ascii="Times New Roman" w:hAnsi="Times New Roman" w:cs="Times New Roman"/>
          <w:shd w:val="clear" w:color="auto" w:fill="FFFFFF"/>
        </w:rPr>
        <w:t xml:space="preserve">“Expresión </w:t>
      </w:r>
      <w:r w:rsidR="009C0324">
        <w:rPr>
          <w:rFonts w:ascii="Times New Roman" w:hAnsi="Times New Roman" w:cs="Times New Roman"/>
          <w:shd w:val="clear" w:color="auto" w:fill="FFFFFF"/>
        </w:rPr>
        <w:t>oral y escrita</w:t>
      </w:r>
      <w:r w:rsidR="006858A7">
        <w:rPr>
          <w:rFonts w:ascii="Times New Roman" w:hAnsi="Times New Roman" w:cs="Times New Roman"/>
          <w:shd w:val="clear" w:color="auto" w:fill="FFFFFF"/>
        </w:rPr>
        <w:t>”</w:t>
      </w:r>
      <w:r w:rsidR="006C295E">
        <w:rPr>
          <w:rFonts w:ascii="Times New Roman" w:hAnsi="Times New Roman" w:cs="Times New Roman"/>
          <w:shd w:val="clear" w:color="auto" w:fill="FFFFFF"/>
        </w:rPr>
        <w:t xml:space="preserve">, lo anterior expresado por </w:t>
      </w:r>
      <w:r w:rsidR="00A41A37">
        <w:rPr>
          <w:rFonts w:ascii="Times New Roman" w:hAnsi="Times New Roman" w:cs="Times New Roman"/>
          <w:shd w:val="clear" w:color="auto" w:fill="FFFFFF"/>
        </w:rPr>
        <w:t>65</w:t>
      </w:r>
      <w:r w:rsidR="002715AA">
        <w:rPr>
          <w:rFonts w:ascii="Times New Roman" w:hAnsi="Times New Roman" w:cs="Times New Roman"/>
          <w:shd w:val="clear" w:color="auto" w:fill="FFFFFF"/>
        </w:rPr>
        <w:t>.0</w:t>
      </w:r>
      <w:r w:rsidR="006F0021">
        <w:rPr>
          <w:rFonts w:ascii="Times New Roman" w:hAnsi="Times New Roman" w:cs="Times New Roman"/>
          <w:shd w:val="clear" w:color="auto" w:fill="FFFFFF"/>
        </w:rPr>
        <w:t> </w:t>
      </w:r>
      <w:r w:rsidR="00A41A37">
        <w:rPr>
          <w:rFonts w:ascii="Times New Roman" w:hAnsi="Times New Roman" w:cs="Times New Roman"/>
          <w:shd w:val="clear" w:color="auto" w:fill="FFFFFF"/>
        </w:rPr>
        <w:t>% y 15</w:t>
      </w:r>
      <w:r w:rsidR="002715AA">
        <w:rPr>
          <w:rFonts w:ascii="Times New Roman" w:hAnsi="Times New Roman" w:cs="Times New Roman"/>
          <w:shd w:val="clear" w:color="auto" w:fill="FFFFFF"/>
        </w:rPr>
        <w:t>.0</w:t>
      </w:r>
      <w:r w:rsidR="006F0021">
        <w:rPr>
          <w:rFonts w:ascii="Times New Roman" w:hAnsi="Times New Roman" w:cs="Times New Roman"/>
          <w:shd w:val="clear" w:color="auto" w:fill="FFFFFF"/>
        </w:rPr>
        <w:t> </w:t>
      </w:r>
      <w:r w:rsidR="00A41A37">
        <w:rPr>
          <w:rFonts w:ascii="Times New Roman" w:hAnsi="Times New Roman" w:cs="Times New Roman"/>
          <w:shd w:val="clear" w:color="auto" w:fill="FFFFFF"/>
        </w:rPr>
        <w:t>%</w:t>
      </w:r>
      <w:r w:rsidR="006F0021">
        <w:rPr>
          <w:rFonts w:ascii="Times New Roman" w:hAnsi="Times New Roman" w:cs="Times New Roman"/>
          <w:shd w:val="clear" w:color="auto" w:fill="FFFFFF"/>
        </w:rPr>
        <w:t>,</w:t>
      </w:r>
      <w:r w:rsidR="00A41A37">
        <w:rPr>
          <w:rFonts w:ascii="Times New Roman" w:hAnsi="Times New Roman" w:cs="Times New Roman"/>
          <w:shd w:val="clear" w:color="auto" w:fill="FFFFFF"/>
        </w:rPr>
        <w:t xml:space="preserve"> respectivamente</w:t>
      </w:r>
      <w:r w:rsidR="006F0021">
        <w:rPr>
          <w:rFonts w:ascii="Times New Roman" w:hAnsi="Times New Roman" w:cs="Times New Roman"/>
          <w:shd w:val="clear" w:color="auto" w:fill="FFFFFF"/>
        </w:rPr>
        <w:t xml:space="preserve">. Respecto a </w:t>
      </w:r>
      <w:r w:rsidR="00793F60">
        <w:rPr>
          <w:rFonts w:ascii="Times New Roman" w:hAnsi="Times New Roman" w:cs="Times New Roman"/>
          <w:shd w:val="clear" w:color="auto" w:fill="FFFFFF"/>
        </w:rPr>
        <w:t>las actividades en donde se incentiva la investigación en el aula, se detectó que es a través de los proyectos que los estudiantes de nivel superior desarrollan y por medio de las actividades de exposiciones que los jóvenes realizan</w:t>
      </w:r>
      <w:r w:rsidR="006F0021">
        <w:rPr>
          <w:rFonts w:ascii="Times New Roman" w:hAnsi="Times New Roman" w:cs="Times New Roman"/>
          <w:shd w:val="clear" w:color="auto" w:fill="FFFFFF"/>
        </w:rPr>
        <w:t>,</w:t>
      </w:r>
      <w:r w:rsidR="00A41A37">
        <w:rPr>
          <w:rFonts w:ascii="Times New Roman" w:hAnsi="Times New Roman" w:cs="Times New Roman"/>
          <w:shd w:val="clear" w:color="auto" w:fill="FFFFFF"/>
        </w:rPr>
        <w:t xml:space="preserve"> principalmente</w:t>
      </w:r>
      <w:r w:rsidR="00793F60">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p w14:paraId="7C449506" w14:textId="77777777" w:rsidR="00873588" w:rsidRDefault="00873588" w:rsidP="00FF6D96">
      <w:pPr>
        <w:spacing w:line="360" w:lineRule="auto"/>
        <w:ind w:firstLine="708"/>
        <w:jc w:val="both"/>
        <w:rPr>
          <w:rFonts w:ascii="Times New Roman" w:hAnsi="Times New Roman" w:cs="Times New Roman"/>
          <w:shd w:val="clear" w:color="auto" w:fill="FFFFFF"/>
        </w:rPr>
      </w:pPr>
    </w:p>
    <w:p w14:paraId="6095E498" w14:textId="43F275BC" w:rsidR="0044304E" w:rsidRPr="009B4E5D" w:rsidRDefault="00CF4068" w:rsidP="003D62E4">
      <w:pPr>
        <w:spacing w:line="360" w:lineRule="auto"/>
        <w:jc w:val="center"/>
        <w:rPr>
          <w:rFonts w:ascii="Times New Roman" w:hAnsi="Times New Roman" w:cs="Times New Roman"/>
          <w:b/>
          <w:bCs/>
          <w:sz w:val="28"/>
          <w:shd w:val="clear" w:color="auto" w:fill="FFFFFF"/>
        </w:rPr>
      </w:pPr>
      <w:r w:rsidRPr="00B35C3C">
        <w:rPr>
          <w:rFonts w:ascii="Times New Roman" w:hAnsi="Times New Roman" w:cs="Times New Roman"/>
          <w:b/>
          <w:bCs/>
          <w:sz w:val="28"/>
          <w:shd w:val="clear" w:color="auto" w:fill="FFFFFF"/>
        </w:rPr>
        <w:t>Segunda etapa</w:t>
      </w:r>
      <w:r w:rsidR="00A979D1" w:rsidRPr="00B35C3C">
        <w:rPr>
          <w:rFonts w:ascii="Times New Roman" w:hAnsi="Times New Roman" w:cs="Times New Roman"/>
          <w:b/>
          <w:bCs/>
          <w:sz w:val="28"/>
          <w:shd w:val="clear" w:color="auto" w:fill="FFFFFF"/>
        </w:rPr>
        <w:t xml:space="preserve"> de los resultados</w:t>
      </w:r>
    </w:p>
    <w:p w14:paraId="57F2EB5E" w14:textId="43DB79A5" w:rsidR="0061380D" w:rsidRDefault="00086BC1"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En respuesta a la pregunta </w:t>
      </w:r>
      <w:r w:rsidR="000955CD">
        <w:rPr>
          <w:rFonts w:ascii="Times New Roman" w:hAnsi="Times New Roman" w:cs="Times New Roman"/>
          <w:shd w:val="clear" w:color="auto" w:fill="FFFFFF"/>
        </w:rPr>
        <w:t>“</w:t>
      </w:r>
      <w:r w:rsidRPr="00086BC1">
        <w:rPr>
          <w:rFonts w:ascii="Times New Roman" w:hAnsi="Times New Roman" w:cs="Times New Roman"/>
          <w:shd w:val="clear" w:color="auto" w:fill="FFFFFF"/>
        </w:rPr>
        <w:t>¿</w:t>
      </w:r>
      <w:r w:rsidR="000955CD">
        <w:rPr>
          <w:rFonts w:ascii="Times New Roman" w:hAnsi="Times New Roman" w:cs="Times New Roman"/>
          <w:shd w:val="clear" w:color="auto" w:fill="FFFFFF"/>
        </w:rPr>
        <w:t>C</w:t>
      </w:r>
      <w:r w:rsidR="000955CD" w:rsidRPr="00086BC1">
        <w:rPr>
          <w:rFonts w:ascii="Times New Roman" w:hAnsi="Times New Roman" w:cs="Times New Roman"/>
          <w:shd w:val="clear" w:color="auto" w:fill="FFFFFF"/>
        </w:rPr>
        <w:t xml:space="preserve">uáles </w:t>
      </w:r>
      <w:r w:rsidRPr="00086BC1">
        <w:rPr>
          <w:rFonts w:ascii="Times New Roman" w:hAnsi="Times New Roman" w:cs="Times New Roman"/>
          <w:shd w:val="clear" w:color="auto" w:fill="FFFFFF"/>
        </w:rPr>
        <w:t>son los espacios de búsqueda de información utilizados para la realización de las actividades de investigación?</w:t>
      </w:r>
      <w:r w:rsidR="000955CD">
        <w:rPr>
          <w:rFonts w:ascii="Times New Roman" w:hAnsi="Times New Roman" w:cs="Times New Roman"/>
          <w:shd w:val="clear" w:color="auto" w:fill="FFFFFF"/>
        </w:rPr>
        <w:t>”</w:t>
      </w:r>
      <w:r>
        <w:rPr>
          <w:rFonts w:ascii="Times New Roman" w:hAnsi="Times New Roman" w:cs="Times New Roman"/>
          <w:shd w:val="clear" w:color="auto" w:fill="FFFFFF"/>
        </w:rPr>
        <w:t>, s</w:t>
      </w:r>
      <w:r w:rsidR="007B7396">
        <w:rPr>
          <w:rFonts w:ascii="Times New Roman" w:hAnsi="Times New Roman" w:cs="Times New Roman"/>
          <w:shd w:val="clear" w:color="auto" w:fill="FFFFFF"/>
        </w:rPr>
        <w:t>e pudo detectar que 31.4</w:t>
      </w:r>
      <w:r w:rsidR="00E90995">
        <w:rPr>
          <w:rFonts w:ascii="Times New Roman" w:hAnsi="Times New Roman" w:cs="Times New Roman"/>
          <w:shd w:val="clear" w:color="auto" w:fill="FFFFFF"/>
        </w:rPr>
        <w:t> </w:t>
      </w:r>
      <w:r w:rsidR="007B7396">
        <w:rPr>
          <w:rFonts w:ascii="Times New Roman" w:hAnsi="Times New Roman" w:cs="Times New Roman"/>
          <w:shd w:val="clear" w:color="auto" w:fill="FFFFFF"/>
        </w:rPr>
        <w:t xml:space="preserve">% de los jóvenes no </w:t>
      </w:r>
      <w:r>
        <w:rPr>
          <w:rFonts w:ascii="Times New Roman" w:hAnsi="Times New Roman" w:cs="Times New Roman"/>
          <w:shd w:val="clear" w:color="auto" w:fill="FFFFFF"/>
        </w:rPr>
        <w:t>posee</w:t>
      </w:r>
      <w:r w:rsidR="007B7396">
        <w:rPr>
          <w:rFonts w:ascii="Times New Roman" w:hAnsi="Times New Roman" w:cs="Times New Roman"/>
          <w:shd w:val="clear" w:color="auto" w:fill="FFFFFF"/>
        </w:rPr>
        <w:t xml:space="preserve"> conocimiento de l</w:t>
      </w:r>
      <w:r>
        <w:rPr>
          <w:rFonts w:ascii="Times New Roman" w:hAnsi="Times New Roman" w:cs="Times New Roman"/>
          <w:shd w:val="clear" w:color="auto" w:fill="FFFFFF"/>
        </w:rPr>
        <w:t xml:space="preserve">os espacios denominados </w:t>
      </w:r>
      <w:r w:rsidRPr="00086BC1">
        <w:rPr>
          <w:rFonts w:ascii="Times New Roman" w:hAnsi="Times New Roman" w:cs="Times New Roman"/>
          <w:i/>
          <w:iCs/>
          <w:shd w:val="clear" w:color="auto" w:fill="FFFFFF"/>
        </w:rPr>
        <w:t>bases de datos académicas</w:t>
      </w:r>
      <w:r w:rsidR="007B7396">
        <w:rPr>
          <w:rFonts w:ascii="Times New Roman" w:hAnsi="Times New Roman" w:cs="Times New Roman"/>
          <w:shd w:val="clear" w:color="auto" w:fill="FFFFFF"/>
        </w:rPr>
        <w:t xml:space="preserve"> </w:t>
      </w:r>
      <w:r>
        <w:rPr>
          <w:rFonts w:ascii="Times New Roman" w:hAnsi="Times New Roman" w:cs="Times New Roman"/>
          <w:shd w:val="clear" w:color="auto" w:fill="FFFFFF"/>
        </w:rPr>
        <w:t>como Elsevier, Redalyc, Scielo, Eric, entre otros</w:t>
      </w:r>
      <w:r w:rsidR="004B2174">
        <w:rPr>
          <w:rFonts w:ascii="Times New Roman" w:hAnsi="Times New Roman" w:cs="Times New Roman"/>
          <w:shd w:val="clear" w:color="auto" w:fill="FFFFFF"/>
        </w:rPr>
        <w:t>,</w:t>
      </w:r>
      <w:r>
        <w:rPr>
          <w:rFonts w:ascii="Times New Roman" w:hAnsi="Times New Roman" w:cs="Times New Roman"/>
          <w:shd w:val="clear" w:color="auto" w:fill="FFFFFF"/>
        </w:rPr>
        <w:t xml:space="preserve"> para la </w:t>
      </w:r>
      <w:r w:rsidR="007B7396">
        <w:rPr>
          <w:rFonts w:ascii="Times New Roman" w:hAnsi="Times New Roman" w:cs="Times New Roman"/>
          <w:shd w:val="clear" w:color="auto" w:fill="FFFFFF"/>
        </w:rPr>
        <w:t>búsqueda de información</w:t>
      </w:r>
      <w:r w:rsidR="00120BF1">
        <w:rPr>
          <w:rFonts w:ascii="Times New Roman" w:hAnsi="Times New Roman" w:cs="Times New Roman"/>
          <w:shd w:val="clear" w:color="auto" w:fill="FFFFFF"/>
        </w:rPr>
        <w:t>;</w:t>
      </w:r>
      <w:r w:rsidR="00BE4F5C">
        <w:rPr>
          <w:rFonts w:ascii="Times New Roman" w:hAnsi="Times New Roman" w:cs="Times New Roman"/>
          <w:shd w:val="clear" w:color="auto" w:fill="FFFFFF"/>
        </w:rPr>
        <w:t xml:space="preserve"> </w:t>
      </w:r>
      <w:r w:rsidR="00120BF1">
        <w:rPr>
          <w:rFonts w:ascii="Times New Roman" w:hAnsi="Times New Roman" w:cs="Times New Roman"/>
          <w:shd w:val="clear" w:color="auto" w:fill="FFFFFF"/>
        </w:rPr>
        <w:t>también se obtuvo</w:t>
      </w:r>
      <w:r w:rsidR="00BE4F5C">
        <w:rPr>
          <w:rFonts w:ascii="Times New Roman" w:hAnsi="Times New Roman" w:cs="Times New Roman"/>
          <w:shd w:val="clear" w:color="auto" w:fill="FFFFFF"/>
        </w:rPr>
        <w:t xml:space="preserve"> que los espacios de búsqueda de información que </w:t>
      </w:r>
      <w:r w:rsidR="00120BF1">
        <w:rPr>
          <w:rFonts w:ascii="Times New Roman" w:hAnsi="Times New Roman" w:cs="Times New Roman"/>
          <w:shd w:val="clear" w:color="auto" w:fill="FFFFFF"/>
        </w:rPr>
        <w:t xml:space="preserve">son </w:t>
      </w:r>
      <w:r w:rsidR="00BE4F5C">
        <w:rPr>
          <w:rFonts w:ascii="Times New Roman" w:hAnsi="Times New Roman" w:cs="Times New Roman"/>
          <w:shd w:val="clear" w:color="auto" w:fill="FFFFFF"/>
        </w:rPr>
        <w:t>utiliza</w:t>
      </w:r>
      <w:r w:rsidR="00120BF1">
        <w:rPr>
          <w:rFonts w:ascii="Times New Roman" w:hAnsi="Times New Roman" w:cs="Times New Roman"/>
          <w:shd w:val="clear" w:color="auto" w:fill="FFFFFF"/>
        </w:rPr>
        <w:t>dos en mayor proporción</w:t>
      </w:r>
      <w:r w:rsidR="00BE4F5C">
        <w:rPr>
          <w:rFonts w:ascii="Times New Roman" w:hAnsi="Times New Roman" w:cs="Times New Roman"/>
          <w:shd w:val="clear" w:color="auto" w:fill="FFFFFF"/>
        </w:rPr>
        <w:t xml:space="preserve"> para las actividades académicas son los espacios abiertos de búsqueda del Google y Academia.edu. </w:t>
      </w:r>
      <w:r w:rsidR="00B904BE">
        <w:rPr>
          <w:rFonts w:ascii="Times New Roman" w:hAnsi="Times New Roman" w:cs="Times New Roman"/>
          <w:shd w:val="clear" w:color="auto" w:fill="FFFFFF"/>
        </w:rPr>
        <w:t xml:space="preserve">Por </w:t>
      </w:r>
      <w:r w:rsidR="00120BF1">
        <w:rPr>
          <w:rFonts w:ascii="Times New Roman" w:hAnsi="Times New Roman" w:cs="Times New Roman"/>
          <w:shd w:val="clear" w:color="auto" w:fill="FFFFFF"/>
        </w:rPr>
        <w:t>otra parte</w:t>
      </w:r>
      <w:r w:rsidR="00B904BE">
        <w:rPr>
          <w:rFonts w:ascii="Times New Roman" w:hAnsi="Times New Roman" w:cs="Times New Roman"/>
          <w:shd w:val="clear" w:color="auto" w:fill="FFFFFF"/>
        </w:rPr>
        <w:t>,</w:t>
      </w:r>
      <w:r w:rsidR="00120BF1">
        <w:rPr>
          <w:rFonts w:ascii="Times New Roman" w:hAnsi="Times New Roman" w:cs="Times New Roman"/>
          <w:shd w:val="clear" w:color="auto" w:fill="FFFFFF"/>
        </w:rPr>
        <w:t xml:space="preserve"> s</w:t>
      </w:r>
      <w:r w:rsidR="00BE4F5C">
        <w:rPr>
          <w:rFonts w:ascii="Times New Roman" w:hAnsi="Times New Roman" w:cs="Times New Roman"/>
          <w:shd w:val="clear" w:color="auto" w:fill="FFFFFF"/>
        </w:rPr>
        <w:t xml:space="preserve">e detectó que los profesores </w:t>
      </w:r>
      <w:r w:rsidR="00120BF1">
        <w:rPr>
          <w:rFonts w:ascii="Times New Roman" w:hAnsi="Times New Roman" w:cs="Times New Roman"/>
          <w:shd w:val="clear" w:color="auto" w:fill="FFFFFF"/>
        </w:rPr>
        <w:t>utilizan los nombre</w:t>
      </w:r>
      <w:r w:rsidR="00073085">
        <w:rPr>
          <w:rFonts w:ascii="Times New Roman" w:hAnsi="Times New Roman" w:cs="Times New Roman"/>
          <w:shd w:val="clear" w:color="auto" w:fill="FFFFFF"/>
        </w:rPr>
        <w:t>s</w:t>
      </w:r>
      <w:r w:rsidR="00120BF1">
        <w:rPr>
          <w:rFonts w:ascii="Times New Roman" w:hAnsi="Times New Roman" w:cs="Times New Roman"/>
          <w:shd w:val="clear" w:color="auto" w:fill="FFFFFF"/>
        </w:rPr>
        <w:t xml:space="preserve"> de las </w:t>
      </w:r>
      <w:r w:rsidR="00120BF1" w:rsidRPr="00421EB7">
        <w:rPr>
          <w:rFonts w:ascii="Times New Roman" w:hAnsi="Times New Roman" w:cs="Times New Roman"/>
          <w:shd w:val="clear" w:color="auto" w:fill="FFFFFF"/>
        </w:rPr>
        <w:t>bases de datos académicas</w:t>
      </w:r>
      <w:r w:rsidR="00120BF1">
        <w:rPr>
          <w:rFonts w:ascii="Times New Roman" w:hAnsi="Times New Roman" w:cs="Times New Roman"/>
          <w:shd w:val="clear" w:color="auto" w:fill="FFFFFF"/>
        </w:rPr>
        <w:t xml:space="preserve"> </w:t>
      </w:r>
      <w:r w:rsidR="00073085">
        <w:rPr>
          <w:rFonts w:ascii="Times New Roman" w:hAnsi="Times New Roman" w:cs="Times New Roman"/>
          <w:shd w:val="clear" w:color="auto" w:fill="FFFFFF"/>
        </w:rPr>
        <w:t xml:space="preserve">para sugerir los espacios de búsqueda de la </w:t>
      </w:r>
      <w:r w:rsidR="00073085">
        <w:rPr>
          <w:rFonts w:ascii="Times New Roman" w:hAnsi="Times New Roman" w:cs="Times New Roman"/>
          <w:shd w:val="clear" w:color="auto" w:fill="FFFFFF"/>
        </w:rPr>
        <w:lastRenderedPageBreak/>
        <w:t xml:space="preserve">información requerida en sus materias, sin embargo, no precisan la forma de obtener </w:t>
      </w:r>
      <w:r w:rsidR="00245543">
        <w:rPr>
          <w:rFonts w:ascii="Times New Roman" w:hAnsi="Times New Roman" w:cs="Times New Roman"/>
          <w:shd w:val="clear" w:color="auto" w:fill="FFFFFF"/>
        </w:rPr>
        <w:t>esa</w:t>
      </w:r>
      <w:r w:rsidR="00073085">
        <w:rPr>
          <w:rFonts w:ascii="Times New Roman" w:hAnsi="Times New Roman" w:cs="Times New Roman"/>
          <w:shd w:val="clear" w:color="auto" w:fill="FFFFFF"/>
        </w:rPr>
        <w:t xml:space="preserve"> información y acceder a esta.</w:t>
      </w:r>
      <w:r w:rsidR="007B7396">
        <w:rPr>
          <w:rFonts w:ascii="Times New Roman" w:hAnsi="Times New Roman" w:cs="Times New Roman"/>
          <w:shd w:val="clear" w:color="auto" w:fill="FFFFFF"/>
        </w:rPr>
        <w:t xml:space="preserve"> </w:t>
      </w:r>
    </w:p>
    <w:p w14:paraId="05567104" w14:textId="243E5BD4" w:rsidR="00523D04" w:rsidRDefault="0016202E"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 partir </w:t>
      </w:r>
      <w:r w:rsidR="00523D04">
        <w:rPr>
          <w:rFonts w:ascii="Times New Roman" w:hAnsi="Times New Roman" w:cs="Times New Roman"/>
          <w:shd w:val="clear" w:color="auto" w:fill="FFFFFF"/>
        </w:rPr>
        <w:t>de lo anterior</w:t>
      </w:r>
      <w:r w:rsidR="0078345A">
        <w:rPr>
          <w:rFonts w:ascii="Times New Roman" w:hAnsi="Times New Roman" w:cs="Times New Roman"/>
          <w:shd w:val="clear" w:color="auto" w:fill="FFFFFF"/>
        </w:rPr>
        <w:t>,</w:t>
      </w:r>
      <w:r>
        <w:rPr>
          <w:rFonts w:ascii="Times New Roman" w:hAnsi="Times New Roman" w:cs="Times New Roman"/>
          <w:shd w:val="clear" w:color="auto" w:fill="FFFFFF"/>
        </w:rPr>
        <w:t xml:space="preserve"> se </w:t>
      </w:r>
      <w:r w:rsidR="0078345A" w:rsidRPr="00F90D40">
        <w:rPr>
          <w:rFonts w:ascii="Times New Roman" w:hAnsi="Times New Roman" w:cs="Times New Roman"/>
          <w:shd w:val="clear" w:color="auto" w:fill="FFFFFF"/>
        </w:rPr>
        <w:t>planteó</w:t>
      </w:r>
      <w:r>
        <w:rPr>
          <w:rFonts w:ascii="Times New Roman" w:hAnsi="Times New Roman" w:cs="Times New Roman"/>
          <w:shd w:val="clear" w:color="auto" w:fill="FFFFFF"/>
        </w:rPr>
        <w:t xml:space="preserve"> fortalecer esos escenarios con los siguientes esquemas para el fomento de las vocaciones científicas</w:t>
      </w:r>
      <w:r w:rsidR="009B55B3">
        <w:rPr>
          <w:rFonts w:ascii="Times New Roman" w:hAnsi="Times New Roman" w:cs="Times New Roman"/>
          <w:shd w:val="clear" w:color="auto" w:fill="FFFFFF"/>
        </w:rPr>
        <w:t>:</w:t>
      </w:r>
      <w:r w:rsidR="00863088">
        <w:rPr>
          <w:rFonts w:ascii="Times New Roman" w:hAnsi="Times New Roman" w:cs="Times New Roman"/>
          <w:shd w:val="clear" w:color="auto" w:fill="FFFFFF"/>
        </w:rPr>
        <w:t xml:space="preserve"> a través de talleres, conferencias y ponencias para la divulgación científica de los resultados de investigaciones.</w:t>
      </w:r>
      <w:r w:rsidR="00523D04">
        <w:rPr>
          <w:rFonts w:ascii="Times New Roman" w:hAnsi="Times New Roman" w:cs="Times New Roman"/>
          <w:shd w:val="clear" w:color="auto" w:fill="FFFFFF"/>
        </w:rPr>
        <w:t xml:space="preserve"> </w:t>
      </w:r>
    </w:p>
    <w:p w14:paraId="30C86DE4" w14:textId="74EE5E85" w:rsidR="0061380D" w:rsidRPr="00F90D40" w:rsidRDefault="0061380D" w:rsidP="00FF6D96">
      <w:pPr>
        <w:spacing w:line="360" w:lineRule="auto"/>
        <w:ind w:firstLine="708"/>
        <w:jc w:val="both"/>
        <w:rPr>
          <w:rFonts w:ascii="Times New Roman" w:hAnsi="Times New Roman" w:cs="Times New Roman"/>
          <w:shd w:val="clear" w:color="auto" w:fill="FFFFFF"/>
        </w:rPr>
      </w:pPr>
      <w:r w:rsidRPr="00F90D40">
        <w:rPr>
          <w:rFonts w:ascii="Times New Roman" w:hAnsi="Times New Roman" w:cs="Times New Roman"/>
          <w:shd w:val="clear" w:color="auto" w:fill="FFFFFF"/>
        </w:rPr>
        <w:t xml:space="preserve">La comunicación científica fue realizada a través </w:t>
      </w:r>
      <w:r w:rsidR="00EE7640" w:rsidRPr="00F90D40">
        <w:rPr>
          <w:rFonts w:ascii="Times New Roman" w:hAnsi="Times New Roman" w:cs="Times New Roman"/>
          <w:shd w:val="clear" w:color="auto" w:fill="FFFFFF"/>
        </w:rPr>
        <w:t xml:space="preserve">conferencias, talleres y ponencias, utilizando </w:t>
      </w:r>
      <w:r w:rsidRPr="00F90D40">
        <w:rPr>
          <w:rFonts w:ascii="Times New Roman" w:hAnsi="Times New Roman" w:cs="Times New Roman"/>
          <w:shd w:val="clear" w:color="auto" w:fill="FFFFFF"/>
        </w:rPr>
        <w:t xml:space="preserve">espacios virtuales, transmisiones </w:t>
      </w:r>
      <w:r w:rsidR="00EE7640" w:rsidRPr="00F90D40">
        <w:rPr>
          <w:rFonts w:ascii="Times New Roman" w:hAnsi="Times New Roman" w:cs="Times New Roman"/>
          <w:shd w:val="clear" w:color="auto" w:fill="FFFFFF"/>
        </w:rPr>
        <w:t xml:space="preserve">en vivo </w:t>
      </w:r>
      <w:r w:rsidRPr="00F90D40">
        <w:rPr>
          <w:rFonts w:ascii="Times New Roman" w:hAnsi="Times New Roman" w:cs="Times New Roman"/>
          <w:shd w:val="clear" w:color="auto" w:fill="FFFFFF"/>
        </w:rPr>
        <w:t xml:space="preserve">a través de </w:t>
      </w:r>
      <w:r w:rsidR="00EE7640" w:rsidRPr="00F90D40">
        <w:rPr>
          <w:rFonts w:ascii="Times New Roman" w:hAnsi="Times New Roman" w:cs="Times New Roman"/>
          <w:shd w:val="clear" w:color="auto" w:fill="FFFFFF"/>
        </w:rPr>
        <w:t xml:space="preserve">YouTube y Facebook, </w:t>
      </w:r>
      <w:r w:rsidR="00091A07" w:rsidRPr="00421EB7">
        <w:rPr>
          <w:rFonts w:ascii="Times New Roman" w:hAnsi="Times New Roman" w:cs="Times New Roman"/>
          <w:i/>
          <w:iCs/>
          <w:shd w:val="clear" w:color="auto" w:fill="FFFFFF"/>
        </w:rPr>
        <w:t>flyers</w:t>
      </w:r>
      <w:r w:rsidR="00091A07" w:rsidRPr="00F90D40">
        <w:rPr>
          <w:rFonts w:ascii="Times New Roman" w:hAnsi="Times New Roman" w:cs="Times New Roman"/>
          <w:shd w:val="clear" w:color="auto" w:fill="FFFFFF"/>
        </w:rPr>
        <w:t xml:space="preserve"> digitales como documentos </w:t>
      </w:r>
      <w:r w:rsidR="00EE7640" w:rsidRPr="00F90D40">
        <w:rPr>
          <w:rFonts w:ascii="Times New Roman" w:hAnsi="Times New Roman" w:cs="Times New Roman"/>
          <w:shd w:val="clear" w:color="auto" w:fill="FFFFFF"/>
        </w:rPr>
        <w:t>de difusión</w:t>
      </w:r>
      <w:r w:rsidR="00091A07" w:rsidRPr="00F90D40">
        <w:rPr>
          <w:rFonts w:ascii="Times New Roman" w:hAnsi="Times New Roman" w:cs="Times New Roman"/>
          <w:shd w:val="clear" w:color="auto" w:fill="FFFFFF"/>
        </w:rPr>
        <w:t>,</w:t>
      </w:r>
      <w:r w:rsidR="00EE7640" w:rsidRPr="00F90D40">
        <w:rPr>
          <w:rFonts w:ascii="Times New Roman" w:hAnsi="Times New Roman" w:cs="Times New Roman"/>
          <w:shd w:val="clear" w:color="auto" w:fill="FFFFFF"/>
        </w:rPr>
        <w:t xml:space="preserve"> las redes sociales como Facebook e Instagram, espacios en donde se presenta mayor socialización de los sujetos de estudio. </w:t>
      </w:r>
    </w:p>
    <w:p w14:paraId="655BB867" w14:textId="4631EB79" w:rsidR="007339DD" w:rsidRDefault="003D384C" w:rsidP="00FF6D96">
      <w:pPr>
        <w:spacing w:line="360" w:lineRule="auto"/>
        <w:ind w:firstLine="708"/>
        <w:jc w:val="both"/>
        <w:rPr>
          <w:rFonts w:ascii="Times New Roman" w:hAnsi="Times New Roman" w:cs="Times New Roman"/>
        </w:rPr>
      </w:pPr>
      <w:r w:rsidRPr="00F90D40">
        <w:rPr>
          <w:rFonts w:ascii="Times New Roman" w:hAnsi="Times New Roman" w:cs="Times New Roman"/>
        </w:rPr>
        <w:t>En</w:t>
      </w:r>
      <w:r w:rsidR="0050434E" w:rsidRPr="00F90D40">
        <w:rPr>
          <w:rFonts w:ascii="Times New Roman" w:hAnsi="Times New Roman" w:cs="Times New Roman"/>
        </w:rPr>
        <w:t xml:space="preserve"> el desarrollo de las actividades para el fomento de las vocaciones científicas se diseñaron estrategias </w:t>
      </w:r>
      <w:r w:rsidR="00952885" w:rsidRPr="00F90D40">
        <w:rPr>
          <w:rFonts w:ascii="Times New Roman" w:hAnsi="Times New Roman" w:cs="Times New Roman"/>
        </w:rPr>
        <w:t xml:space="preserve">(tabla </w:t>
      </w:r>
      <w:r w:rsidR="00727704">
        <w:rPr>
          <w:rFonts w:ascii="Times New Roman" w:hAnsi="Times New Roman" w:cs="Times New Roman"/>
        </w:rPr>
        <w:t>5</w:t>
      </w:r>
      <w:r w:rsidR="00952885" w:rsidRPr="00F90D40">
        <w:rPr>
          <w:rFonts w:ascii="Times New Roman" w:hAnsi="Times New Roman" w:cs="Times New Roman"/>
        </w:rPr>
        <w:t xml:space="preserve">) </w:t>
      </w:r>
      <w:r w:rsidR="0050434E" w:rsidRPr="00F90D40">
        <w:rPr>
          <w:rFonts w:ascii="Times New Roman" w:hAnsi="Times New Roman" w:cs="Times New Roman"/>
        </w:rPr>
        <w:t>internas en la organización líder del evento, así como</w:t>
      </w:r>
      <w:r w:rsidR="00454ED2">
        <w:rPr>
          <w:rFonts w:ascii="Times New Roman" w:hAnsi="Times New Roman" w:cs="Times New Roman"/>
        </w:rPr>
        <w:t xml:space="preserve"> para</w:t>
      </w:r>
      <w:r w:rsidR="0050434E" w:rsidRPr="00F90D40">
        <w:rPr>
          <w:rFonts w:ascii="Times New Roman" w:hAnsi="Times New Roman" w:cs="Times New Roman"/>
        </w:rPr>
        <w:t xml:space="preserve"> fortalecer las acciones en colaboración de </w:t>
      </w:r>
      <w:r w:rsidR="00952885" w:rsidRPr="00F90D40">
        <w:rPr>
          <w:rFonts w:ascii="Times New Roman" w:hAnsi="Times New Roman" w:cs="Times New Roman"/>
        </w:rPr>
        <w:t>las aliadas estratégicas</w:t>
      </w:r>
      <w:r w:rsidR="0050434E" w:rsidRPr="00F90D40">
        <w:rPr>
          <w:rFonts w:ascii="Times New Roman" w:hAnsi="Times New Roman" w:cs="Times New Roman"/>
        </w:rPr>
        <w:t xml:space="preserve"> (instituciones académicas</w:t>
      </w:r>
      <w:r w:rsidRPr="00F90D40">
        <w:rPr>
          <w:rFonts w:ascii="Times New Roman" w:hAnsi="Times New Roman" w:cs="Times New Roman"/>
        </w:rPr>
        <w:t xml:space="preserve"> [Universidad Autónoma de Yucatán, Tecnológico Nacional de México-Instituto Tecnológico de Motul, Universidad Politécnica de </w:t>
      </w:r>
      <w:r w:rsidR="00952885" w:rsidRPr="00F90D40">
        <w:rPr>
          <w:rFonts w:ascii="Times New Roman" w:hAnsi="Times New Roman" w:cs="Times New Roman"/>
        </w:rPr>
        <w:t>Yucatán</w:t>
      </w:r>
      <w:r w:rsidRPr="00F90D40">
        <w:rPr>
          <w:rFonts w:ascii="Times New Roman" w:hAnsi="Times New Roman" w:cs="Times New Roman"/>
        </w:rPr>
        <w:t>-BIS, Secretaría de Investigación Innovación y Educación Superior</w:t>
      </w:r>
      <w:r w:rsidR="00E930C3" w:rsidRPr="00F90D40">
        <w:rPr>
          <w:rFonts w:ascii="Times New Roman" w:hAnsi="Times New Roman" w:cs="Times New Roman"/>
        </w:rPr>
        <w:t xml:space="preserve"> del estado de Yucatán</w:t>
      </w:r>
      <w:r w:rsidRPr="00F90D40">
        <w:rPr>
          <w:rFonts w:ascii="Times New Roman" w:hAnsi="Times New Roman" w:cs="Times New Roman"/>
        </w:rPr>
        <w:t>]).</w:t>
      </w:r>
      <w:r>
        <w:rPr>
          <w:rFonts w:ascii="Times New Roman" w:hAnsi="Times New Roman" w:cs="Times New Roman"/>
        </w:rPr>
        <w:t xml:space="preserve"> </w:t>
      </w:r>
    </w:p>
    <w:p w14:paraId="5B7EE9F8" w14:textId="1B905C9D" w:rsidR="00873588" w:rsidRDefault="00873588" w:rsidP="00FF6D96">
      <w:pPr>
        <w:spacing w:line="360" w:lineRule="auto"/>
        <w:ind w:firstLine="708"/>
        <w:jc w:val="both"/>
        <w:rPr>
          <w:rFonts w:ascii="Times New Roman" w:hAnsi="Times New Roman" w:cs="Times New Roman"/>
        </w:rPr>
      </w:pPr>
    </w:p>
    <w:p w14:paraId="0C3DB38D" w14:textId="361DEAC3" w:rsidR="00C23DC2" w:rsidRDefault="00C23DC2" w:rsidP="00FF6D96">
      <w:pPr>
        <w:spacing w:line="360" w:lineRule="auto"/>
        <w:ind w:firstLine="708"/>
        <w:jc w:val="both"/>
        <w:rPr>
          <w:rFonts w:ascii="Times New Roman" w:hAnsi="Times New Roman" w:cs="Times New Roman"/>
        </w:rPr>
      </w:pPr>
    </w:p>
    <w:p w14:paraId="34C3F9B5" w14:textId="5D4F5770" w:rsidR="00C23DC2" w:rsidRDefault="00C23DC2" w:rsidP="00FF6D96">
      <w:pPr>
        <w:spacing w:line="360" w:lineRule="auto"/>
        <w:ind w:firstLine="708"/>
        <w:jc w:val="both"/>
        <w:rPr>
          <w:rFonts w:ascii="Times New Roman" w:hAnsi="Times New Roman" w:cs="Times New Roman"/>
        </w:rPr>
      </w:pPr>
    </w:p>
    <w:p w14:paraId="47DA56DA" w14:textId="1E42CA01" w:rsidR="00C23DC2" w:rsidRDefault="00C23DC2" w:rsidP="00FF6D96">
      <w:pPr>
        <w:spacing w:line="360" w:lineRule="auto"/>
        <w:ind w:firstLine="708"/>
        <w:jc w:val="both"/>
        <w:rPr>
          <w:rFonts w:ascii="Times New Roman" w:hAnsi="Times New Roman" w:cs="Times New Roman"/>
        </w:rPr>
      </w:pPr>
    </w:p>
    <w:p w14:paraId="034C55EB" w14:textId="2288CBC6" w:rsidR="00C23DC2" w:rsidRDefault="00C23DC2" w:rsidP="00FF6D96">
      <w:pPr>
        <w:spacing w:line="360" w:lineRule="auto"/>
        <w:ind w:firstLine="708"/>
        <w:jc w:val="both"/>
        <w:rPr>
          <w:rFonts w:ascii="Times New Roman" w:hAnsi="Times New Roman" w:cs="Times New Roman"/>
        </w:rPr>
      </w:pPr>
    </w:p>
    <w:p w14:paraId="74FE35A2" w14:textId="575C7C5D" w:rsidR="00C23DC2" w:rsidRDefault="00C23DC2" w:rsidP="00FF6D96">
      <w:pPr>
        <w:spacing w:line="360" w:lineRule="auto"/>
        <w:ind w:firstLine="708"/>
        <w:jc w:val="both"/>
        <w:rPr>
          <w:rFonts w:ascii="Times New Roman" w:hAnsi="Times New Roman" w:cs="Times New Roman"/>
        </w:rPr>
      </w:pPr>
    </w:p>
    <w:p w14:paraId="121BE703" w14:textId="537A0ECB" w:rsidR="00C23DC2" w:rsidRDefault="00C23DC2" w:rsidP="00FF6D96">
      <w:pPr>
        <w:spacing w:line="360" w:lineRule="auto"/>
        <w:ind w:firstLine="708"/>
        <w:jc w:val="both"/>
        <w:rPr>
          <w:rFonts w:ascii="Times New Roman" w:hAnsi="Times New Roman" w:cs="Times New Roman"/>
        </w:rPr>
      </w:pPr>
    </w:p>
    <w:p w14:paraId="0C965E23" w14:textId="7FA616C3" w:rsidR="00C23DC2" w:rsidRDefault="00C23DC2" w:rsidP="00FF6D96">
      <w:pPr>
        <w:spacing w:line="360" w:lineRule="auto"/>
        <w:ind w:firstLine="708"/>
        <w:jc w:val="both"/>
        <w:rPr>
          <w:rFonts w:ascii="Times New Roman" w:hAnsi="Times New Roman" w:cs="Times New Roman"/>
        </w:rPr>
      </w:pPr>
    </w:p>
    <w:p w14:paraId="21C443EF" w14:textId="016EDC81" w:rsidR="00C23DC2" w:rsidRDefault="00C23DC2" w:rsidP="00FF6D96">
      <w:pPr>
        <w:spacing w:line="360" w:lineRule="auto"/>
        <w:ind w:firstLine="708"/>
        <w:jc w:val="both"/>
        <w:rPr>
          <w:rFonts w:ascii="Times New Roman" w:hAnsi="Times New Roman" w:cs="Times New Roman"/>
        </w:rPr>
      </w:pPr>
    </w:p>
    <w:p w14:paraId="150DE894" w14:textId="51A03395" w:rsidR="00C23DC2" w:rsidRDefault="00C23DC2" w:rsidP="00FF6D96">
      <w:pPr>
        <w:spacing w:line="360" w:lineRule="auto"/>
        <w:ind w:firstLine="708"/>
        <w:jc w:val="both"/>
        <w:rPr>
          <w:rFonts w:ascii="Times New Roman" w:hAnsi="Times New Roman" w:cs="Times New Roman"/>
        </w:rPr>
      </w:pPr>
    </w:p>
    <w:p w14:paraId="09E7BADA" w14:textId="19F80594" w:rsidR="00C23DC2" w:rsidRDefault="00C23DC2" w:rsidP="00FF6D96">
      <w:pPr>
        <w:spacing w:line="360" w:lineRule="auto"/>
        <w:ind w:firstLine="708"/>
        <w:jc w:val="both"/>
        <w:rPr>
          <w:rFonts w:ascii="Times New Roman" w:hAnsi="Times New Roman" w:cs="Times New Roman"/>
        </w:rPr>
      </w:pPr>
    </w:p>
    <w:p w14:paraId="5AFAC413" w14:textId="6140E76A" w:rsidR="00C23DC2" w:rsidRDefault="00C23DC2" w:rsidP="00FF6D96">
      <w:pPr>
        <w:spacing w:line="360" w:lineRule="auto"/>
        <w:ind w:firstLine="708"/>
        <w:jc w:val="both"/>
        <w:rPr>
          <w:rFonts w:ascii="Times New Roman" w:hAnsi="Times New Roman" w:cs="Times New Roman"/>
        </w:rPr>
      </w:pPr>
    </w:p>
    <w:p w14:paraId="11FAB789" w14:textId="5A5FB711" w:rsidR="00C23DC2" w:rsidRDefault="00C23DC2" w:rsidP="00FF6D96">
      <w:pPr>
        <w:spacing w:line="360" w:lineRule="auto"/>
        <w:ind w:firstLine="708"/>
        <w:jc w:val="both"/>
        <w:rPr>
          <w:rFonts w:ascii="Times New Roman" w:hAnsi="Times New Roman" w:cs="Times New Roman"/>
        </w:rPr>
      </w:pPr>
    </w:p>
    <w:p w14:paraId="24FEFF23" w14:textId="658EB422" w:rsidR="00C23DC2" w:rsidRDefault="00C23DC2" w:rsidP="00FF6D96">
      <w:pPr>
        <w:spacing w:line="360" w:lineRule="auto"/>
        <w:ind w:firstLine="708"/>
        <w:jc w:val="both"/>
        <w:rPr>
          <w:rFonts w:ascii="Times New Roman" w:hAnsi="Times New Roman" w:cs="Times New Roman"/>
        </w:rPr>
      </w:pPr>
    </w:p>
    <w:p w14:paraId="2EA17510" w14:textId="0314B232" w:rsidR="00C23DC2" w:rsidRDefault="00C23DC2" w:rsidP="00FF6D96">
      <w:pPr>
        <w:spacing w:line="360" w:lineRule="auto"/>
        <w:ind w:firstLine="708"/>
        <w:jc w:val="both"/>
        <w:rPr>
          <w:rFonts w:ascii="Times New Roman" w:hAnsi="Times New Roman" w:cs="Times New Roman"/>
        </w:rPr>
      </w:pPr>
    </w:p>
    <w:p w14:paraId="4C04D14D" w14:textId="6FDE4619" w:rsidR="00C23DC2" w:rsidRDefault="00C23DC2" w:rsidP="00FF6D96">
      <w:pPr>
        <w:spacing w:line="360" w:lineRule="auto"/>
        <w:ind w:firstLine="708"/>
        <w:jc w:val="both"/>
        <w:rPr>
          <w:rFonts w:ascii="Times New Roman" w:hAnsi="Times New Roman" w:cs="Times New Roman"/>
        </w:rPr>
      </w:pPr>
    </w:p>
    <w:p w14:paraId="3D3416BB" w14:textId="1258E245" w:rsidR="00C23DC2" w:rsidRDefault="00C23DC2" w:rsidP="00FF6D96">
      <w:pPr>
        <w:spacing w:line="360" w:lineRule="auto"/>
        <w:ind w:firstLine="708"/>
        <w:jc w:val="both"/>
        <w:rPr>
          <w:rFonts w:ascii="Times New Roman" w:hAnsi="Times New Roman" w:cs="Times New Roman"/>
        </w:rPr>
      </w:pPr>
    </w:p>
    <w:p w14:paraId="77410CB5" w14:textId="77777777" w:rsidR="00C23DC2" w:rsidRPr="007339DD" w:rsidRDefault="00C23DC2" w:rsidP="00FF6D96">
      <w:pPr>
        <w:spacing w:line="360" w:lineRule="auto"/>
        <w:ind w:firstLine="708"/>
        <w:jc w:val="both"/>
        <w:rPr>
          <w:rFonts w:ascii="Times New Roman" w:hAnsi="Times New Roman" w:cs="Times New Roman"/>
        </w:rPr>
      </w:pPr>
    </w:p>
    <w:p w14:paraId="3ABD396E" w14:textId="7370A3B9" w:rsidR="00070042" w:rsidRDefault="005759A6" w:rsidP="00421EB7">
      <w:pPr>
        <w:spacing w:line="360" w:lineRule="auto"/>
        <w:jc w:val="center"/>
        <w:rPr>
          <w:rFonts w:ascii="Times New Roman" w:hAnsi="Times New Roman" w:cs="Times New Roman"/>
          <w:shd w:val="clear" w:color="auto" w:fill="FFFFFF"/>
        </w:rPr>
      </w:pPr>
      <w:r w:rsidRPr="00075DC5">
        <w:rPr>
          <w:rFonts w:ascii="Times New Roman" w:hAnsi="Times New Roman" w:cs="Times New Roman"/>
          <w:b/>
          <w:shd w:val="clear" w:color="auto" w:fill="FFFFFF"/>
        </w:rPr>
        <w:lastRenderedPageBreak/>
        <w:t xml:space="preserve">Tabla </w:t>
      </w:r>
      <w:r w:rsidR="00245543">
        <w:rPr>
          <w:rFonts w:ascii="Times New Roman" w:hAnsi="Times New Roman" w:cs="Times New Roman"/>
          <w:b/>
          <w:shd w:val="clear" w:color="auto" w:fill="FFFFFF"/>
        </w:rPr>
        <w:t>5</w:t>
      </w:r>
      <w:r w:rsidRPr="00075DC5">
        <w:rPr>
          <w:rFonts w:ascii="Times New Roman" w:hAnsi="Times New Roman" w:cs="Times New Roman"/>
          <w:b/>
          <w:shd w:val="clear" w:color="auto" w:fill="FFFFFF"/>
        </w:rPr>
        <w:t>.</w:t>
      </w:r>
      <w:r>
        <w:rPr>
          <w:rFonts w:ascii="Times New Roman" w:hAnsi="Times New Roman" w:cs="Times New Roman"/>
          <w:shd w:val="clear" w:color="auto" w:fill="FFFFFF"/>
        </w:rPr>
        <w:t xml:space="preserve"> Estrategias para el fomento de las vocaciones científicas </w:t>
      </w:r>
      <w:r w:rsidR="00261F93">
        <w:rPr>
          <w:rFonts w:ascii="Times New Roman" w:hAnsi="Times New Roman" w:cs="Times New Roman"/>
          <w:shd w:val="clear" w:color="auto" w:fill="FFFFFF"/>
        </w:rPr>
        <w:t xml:space="preserve">en conectividad virtual </w:t>
      </w:r>
      <w:r>
        <w:rPr>
          <w:rFonts w:ascii="Times New Roman" w:hAnsi="Times New Roman" w:cs="Times New Roman"/>
          <w:shd w:val="clear" w:color="auto" w:fill="FFFFFF"/>
        </w:rPr>
        <w:t>2020</w:t>
      </w:r>
    </w:p>
    <w:tbl>
      <w:tblPr>
        <w:tblStyle w:val="Tablanormal2"/>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660"/>
        <w:gridCol w:w="2409"/>
        <w:gridCol w:w="2410"/>
        <w:gridCol w:w="2410"/>
      </w:tblGrid>
      <w:tr w:rsidR="00536488" w:rsidRPr="00716897" w14:paraId="1C5EECC6" w14:textId="4A9BC649" w:rsidTr="00421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tcPr>
          <w:p w14:paraId="540C6741" w14:textId="4480BFC9" w:rsidR="005759A6" w:rsidRPr="003D62E4" w:rsidRDefault="005759A6" w:rsidP="00421EB7">
            <w:pPr>
              <w:spacing w:line="360" w:lineRule="auto"/>
              <w:jc w:val="center"/>
              <w:rPr>
                <w:rFonts w:ascii="Times New Roman" w:hAnsi="Times New Roman" w:cs="Times New Roman"/>
                <w:b w:val="0"/>
                <w:bCs w:val="0"/>
                <w:shd w:val="clear" w:color="auto" w:fill="FFFFFF"/>
              </w:rPr>
            </w:pPr>
            <w:r w:rsidRPr="003D62E4">
              <w:rPr>
                <w:rFonts w:ascii="Times New Roman" w:hAnsi="Times New Roman" w:cs="Times New Roman"/>
                <w:b w:val="0"/>
                <w:bCs w:val="0"/>
                <w:shd w:val="clear" w:color="auto" w:fill="FFFFFF"/>
              </w:rPr>
              <w:t>Concepto</w:t>
            </w:r>
          </w:p>
        </w:tc>
        <w:tc>
          <w:tcPr>
            <w:tcW w:w="0" w:type="dxa"/>
          </w:tcPr>
          <w:p w14:paraId="7AE21016" w14:textId="7229A693" w:rsidR="005759A6" w:rsidRPr="003D62E4" w:rsidRDefault="005759A6" w:rsidP="00421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FFFFF"/>
              </w:rPr>
            </w:pPr>
            <w:r w:rsidRPr="003D62E4">
              <w:rPr>
                <w:rFonts w:ascii="Times New Roman" w:hAnsi="Times New Roman" w:cs="Times New Roman"/>
                <w:b w:val="0"/>
                <w:bCs w:val="0"/>
                <w:shd w:val="clear" w:color="auto" w:fill="FFFFFF"/>
              </w:rPr>
              <w:t>Elemento</w:t>
            </w:r>
          </w:p>
        </w:tc>
        <w:tc>
          <w:tcPr>
            <w:tcW w:w="2409" w:type="dxa"/>
          </w:tcPr>
          <w:p w14:paraId="4D901646" w14:textId="290E0FD7" w:rsidR="005759A6" w:rsidRPr="003D62E4" w:rsidRDefault="005759A6" w:rsidP="00421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FFFFF"/>
              </w:rPr>
            </w:pPr>
            <w:r w:rsidRPr="003D62E4">
              <w:rPr>
                <w:rFonts w:ascii="Times New Roman" w:hAnsi="Times New Roman" w:cs="Times New Roman"/>
                <w:b w:val="0"/>
                <w:bCs w:val="0"/>
                <w:shd w:val="clear" w:color="auto" w:fill="FFFFFF"/>
              </w:rPr>
              <w:t>Estrategia</w:t>
            </w:r>
          </w:p>
        </w:tc>
        <w:tc>
          <w:tcPr>
            <w:tcW w:w="2410" w:type="dxa"/>
          </w:tcPr>
          <w:p w14:paraId="2BB3660E" w14:textId="200FB37F" w:rsidR="005759A6" w:rsidRPr="003D62E4" w:rsidRDefault="005759A6" w:rsidP="00421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FFFFF"/>
              </w:rPr>
            </w:pPr>
            <w:r w:rsidRPr="003D62E4">
              <w:rPr>
                <w:rFonts w:ascii="Times New Roman" w:hAnsi="Times New Roman" w:cs="Times New Roman"/>
                <w:b w:val="0"/>
                <w:bCs w:val="0"/>
                <w:shd w:val="clear" w:color="auto" w:fill="FFFFFF"/>
              </w:rPr>
              <w:t>Objetivo</w:t>
            </w:r>
          </w:p>
        </w:tc>
        <w:tc>
          <w:tcPr>
            <w:tcW w:w="2410" w:type="dxa"/>
          </w:tcPr>
          <w:p w14:paraId="5512C4A5" w14:textId="6638A94D" w:rsidR="005759A6" w:rsidRPr="003D62E4" w:rsidRDefault="005759A6" w:rsidP="00421EB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hd w:val="clear" w:color="auto" w:fill="FFFFFF"/>
              </w:rPr>
            </w:pPr>
            <w:r w:rsidRPr="003D62E4">
              <w:rPr>
                <w:rFonts w:ascii="Times New Roman" w:hAnsi="Times New Roman" w:cs="Times New Roman"/>
                <w:b w:val="0"/>
                <w:bCs w:val="0"/>
                <w:shd w:val="clear" w:color="auto" w:fill="FFFFFF"/>
              </w:rPr>
              <w:t>Meta/Indicador</w:t>
            </w:r>
            <w:r w:rsidR="00327FE0" w:rsidRPr="003D62E4">
              <w:rPr>
                <w:rFonts w:ascii="Times New Roman" w:hAnsi="Times New Roman" w:cs="Times New Roman"/>
                <w:b w:val="0"/>
                <w:bCs w:val="0"/>
                <w:shd w:val="clear" w:color="auto" w:fill="FFFFFF"/>
              </w:rPr>
              <w:t>/ Responsable</w:t>
            </w:r>
          </w:p>
        </w:tc>
      </w:tr>
      <w:tr w:rsidR="00536488" w:rsidRPr="00716897" w14:paraId="0EA4F456" w14:textId="4C0EDDE2" w:rsidTr="00421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vMerge w:val="restart"/>
          </w:tcPr>
          <w:p w14:paraId="1631042A" w14:textId="65F3C8B0" w:rsidR="005759A6" w:rsidRPr="00716897" w:rsidRDefault="005759A6" w:rsidP="00536488">
            <w:pPr>
              <w:spacing w:line="360" w:lineRule="auto"/>
              <w:rPr>
                <w:rFonts w:ascii="Times New Roman" w:hAnsi="Times New Roman" w:cs="Times New Roman"/>
                <w:b w:val="0"/>
                <w:bCs w:val="0"/>
                <w:shd w:val="clear" w:color="auto" w:fill="FFFFFF"/>
              </w:rPr>
            </w:pPr>
            <w:r w:rsidRPr="00716897">
              <w:rPr>
                <w:rFonts w:ascii="Times New Roman" w:hAnsi="Times New Roman" w:cs="Times New Roman"/>
                <w:b w:val="0"/>
                <w:bCs w:val="0"/>
                <w:shd w:val="clear" w:color="auto" w:fill="FFFFFF"/>
              </w:rPr>
              <w:t>Estrategia</w:t>
            </w:r>
          </w:p>
        </w:tc>
        <w:tc>
          <w:tcPr>
            <w:tcW w:w="1660" w:type="dxa"/>
          </w:tcPr>
          <w:p w14:paraId="717982B1" w14:textId="51DE0175" w:rsidR="005759A6" w:rsidRPr="00716897" w:rsidRDefault="00B2031B"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Procesos</w:t>
            </w:r>
          </w:p>
        </w:tc>
        <w:tc>
          <w:tcPr>
            <w:tcW w:w="2409" w:type="dxa"/>
          </w:tcPr>
          <w:p w14:paraId="5D97AC6C" w14:textId="77AD1052" w:rsidR="005759A6" w:rsidRPr="00716897" w:rsidRDefault="00FE0FC1"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E1: </w:t>
            </w:r>
            <w:r w:rsidR="005759A6" w:rsidRPr="00716897">
              <w:rPr>
                <w:rFonts w:ascii="Times New Roman" w:hAnsi="Times New Roman" w:cs="Times New Roman"/>
                <w:shd w:val="clear" w:color="auto" w:fill="FFFFFF"/>
              </w:rPr>
              <w:t>Distribuir las responsabilidades para el desarrollo del Congreso Estatal las Vocaciones Científicas en los jóvenes de Yucatán</w:t>
            </w:r>
          </w:p>
        </w:tc>
        <w:tc>
          <w:tcPr>
            <w:tcW w:w="2410" w:type="dxa"/>
          </w:tcPr>
          <w:p w14:paraId="5712CFCD" w14:textId="00651B15" w:rsidR="005759A6" w:rsidRDefault="005759A6" w:rsidP="00421EB7">
            <w:pPr>
              <w:pStyle w:val="Prrafodelista"/>
              <w:numPr>
                <w:ilvl w:val="0"/>
                <w:numId w:val="1"/>
              </w:numPr>
              <w:spacing w:line="360" w:lineRule="auto"/>
              <w:ind w:left="38" w:hanging="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Generar invitaciones para los aliados estratégicos e invitados</w:t>
            </w:r>
            <w:r w:rsidR="00634E12" w:rsidRPr="00716897">
              <w:rPr>
                <w:rFonts w:ascii="Times New Roman" w:hAnsi="Times New Roman" w:cs="Times New Roman"/>
                <w:shd w:val="clear" w:color="auto" w:fill="FFFFFF"/>
              </w:rPr>
              <w:t xml:space="preserve"> especiales</w:t>
            </w:r>
          </w:p>
          <w:p w14:paraId="0A39F691" w14:textId="77777777" w:rsidR="00536488" w:rsidRPr="00716897" w:rsidRDefault="00536488" w:rsidP="00421EB7">
            <w:pPr>
              <w:pStyle w:val="Prrafodelista"/>
              <w:spacing w:line="360" w:lineRule="auto"/>
              <w:ind w:left="38" w:hanging="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5D60E61D" w14:textId="77777777" w:rsidR="005759A6" w:rsidRDefault="005759A6" w:rsidP="00421EB7">
            <w:pPr>
              <w:pStyle w:val="Prrafodelista"/>
              <w:numPr>
                <w:ilvl w:val="0"/>
                <w:numId w:val="1"/>
              </w:numPr>
              <w:spacing w:line="360" w:lineRule="auto"/>
              <w:ind w:left="38" w:hanging="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Asignar responsabilidades con relación a las 4 grandes actividades (Conferencias, talleres, ponencias)</w:t>
            </w:r>
          </w:p>
          <w:p w14:paraId="631F9806" w14:textId="77777777" w:rsidR="00536488" w:rsidRPr="00716897" w:rsidRDefault="00536488" w:rsidP="00421EB7">
            <w:pPr>
              <w:pStyle w:val="Prrafodelista"/>
              <w:spacing w:line="360" w:lineRule="auto"/>
              <w:ind w:left="38" w:hanging="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1EBE8946" w14:textId="781A1566" w:rsidR="005759A6" w:rsidRPr="00716897" w:rsidRDefault="005759A6" w:rsidP="00421EB7">
            <w:pPr>
              <w:pStyle w:val="Prrafodelista"/>
              <w:numPr>
                <w:ilvl w:val="0"/>
                <w:numId w:val="1"/>
              </w:numPr>
              <w:spacing w:line="360" w:lineRule="auto"/>
              <w:ind w:left="38" w:hanging="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Supervisar la asignación</w:t>
            </w:r>
            <w:r w:rsidR="00634E12" w:rsidRPr="00716897">
              <w:rPr>
                <w:rFonts w:ascii="Times New Roman" w:hAnsi="Times New Roman" w:cs="Times New Roman"/>
                <w:shd w:val="clear" w:color="auto" w:fill="FFFFFF"/>
              </w:rPr>
              <w:t xml:space="preserve"> y avance </w:t>
            </w:r>
            <w:r w:rsidRPr="00716897">
              <w:rPr>
                <w:rFonts w:ascii="Times New Roman" w:hAnsi="Times New Roman" w:cs="Times New Roman"/>
                <w:shd w:val="clear" w:color="auto" w:fill="FFFFFF"/>
              </w:rPr>
              <w:t>de las responsabilidades</w:t>
            </w:r>
          </w:p>
        </w:tc>
        <w:tc>
          <w:tcPr>
            <w:tcW w:w="2410" w:type="dxa"/>
          </w:tcPr>
          <w:p w14:paraId="10C7D751" w14:textId="45580B4E" w:rsidR="005759A6" w:rsidRDefault="005E3CA6" w:rsidP="00C74C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Director de </w:t>
            </w:r>
            <w:r w:rsidR="007D61AD">
              <w:rPr>
                <w:rFonts w:ascii="Times New Roman" w:hAnsi="Times New Roman" w:cs="Times New Roman"/>
                <w:shd w:val="clear" w:color="auto" w:fill="FFFFFF"/>
              </w:rPr>
              <w:t>d</w:t>
            </w:r>
            <w:r w:rsidR="007D61AD" w:rsidRPr="00716897">
              <w:rPr>
                <w:rFonts w:ascii="Times New Roman" w:hAnsi="Times New Roman" w:cs="Times New Roman"/>
                <w:shd w:val="clear" w:color="auto" w:fill="FFFFFF"/>
              </w:rPr>
              <w:t>ivisión</w:t>
            </w:r>
          </w:p>
          <w:p w14:paraId="69E0B647" w14:textId="77777777" w:rsidR="00C74C77" w:rsidRPr="00716897" w:rsidRDefault="00C74C77"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2FB6B2D8" w14:textId="41672FB6" w:rsidR="005E3CA6" w:rsidRDefault="005E3CA6" w:rsidP="00C74C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w:t>
            </w:r>
            <w:r w:rsidR="00AC4611" w:rsidRPr="00716897">
              <w:rPr>
                <w:rFonts w:ascii="Times New Roman" w:hAnsi="Times New Roman" w:cs="Times New Roman"/>
                <w:shd w:val="clear" w:color="auto" w:fill="FFFFFF"/>
              </w:rPr>
              <w:t xml:space="preserve"> 1: Realizar </w:t>
            </w:r>
            <w:r w:rsidR="00C74C77">
              <w:rPr>
                <w:rFonts w:ascii="Times New Roman" w:hAnsi="Times New Roman" w:cs="Times New Roman"/>
                <w:shd w:val="clear" w:color="auto" w:fill="FFFFFF"/>
              </w:rPr>
              <w:t>cuatro</w:t>
            </w:r>
            <w:r w:rsidR="00AC4611" w:rsidRPr="00716897">
              <w:rPr>
                <w:rFonts w:ascii="Times New Roman" w:hAnsi="Times New Roman" w:cs="Times New Roman"/>
                <w:shd w:val="clear" w:color="auto" w:fill="FFFFFF"/>
              </w:rPr>
              <w:t xml:space="preserve"> invitaciones para los aliados estratégicos, </w:t>
            </w:r>
            <w:r w:rsidR="00536488">
              <w:rPr>
                <w:rFonts w:ascii="Times New Roman" w:hAnsi="Times New Roman" w:cs="Times New Roman"/>
                <w:shd w:val="clear" w:color="auto" w:fill="FFFFFF"/>
              </w:rPr>
              <w:t>seis</w:t>
            </w:r>
            <w:r w:rsidR="00536488" w:rsidRPr="00716897">
              <w:rPr>
                <w:rFonts w:ascii="Times New Roman" w:hAnsi="Times New Roman" w:cs="Times New Roman"/>
                <w:shd w:val="clear" w:color="auto" w:fill="FFFFFF"/>
              </w:rPr>
              <w:t xml:space="preserve"> </w:t>
            </w:r>
            <w:r w:rsidR="00AC4611" w:rsidRPr="00716897">
              <w:rPr>
                <w:rFonts w:ascii="Times New Roman" w:hAnsi="Times New Roman" w:cs="Times New Roman"/>
                <w:shd w:val="clear" w:color="auto" w:fill="FFFFFF"/>
              </w:rPr>
              <w:t>para conferencistas y 10 para ponentes</w:t>
            </w:r>
          </w:p>
          <w:p w14:paraId="0361A20E"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17C148AA" w14:textId="2E9E24F2" w:rsidR="00AC4611" w:rsidRDefault="00AC4611" w:rsidP="00C74C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Indicador 1: Total </w:t>
            </w:r>
            <w:r w:rsidR="00536488">
              <w:rPr>
                <w:rFonts w:ascii="Times New Roman" w:hAnsi="Times New Roman" w:cs="Times New Roman"/>
                <w:shd w:val="clear" w:color="auto" w:fill="FFFFFF"/>
              </w:rPr>
              <w:t xml:space="preserve">de </w:t>
            </w:r>
            <w:r w:rsidRPr="00716897">
              <w:rPr>
                <w:rFonts w:ascii="Times New Roman" w:hAnsi="Times New Roman" w:cs="Times New Roman"/>
                <w:shd w:val="clear" w:color="auto" w:fill="FFFFFF"/>
              </w:rPr>
              <w:t>invitaciones realizadas/</w:t>
            </w:r>
            <w:r w:rsidR="007D61AD">
              <w:rPr>
                <w:rFonts w:ascii="Times New Roman" w:hAnsi="Times New Roman" w:cs="Times New Roman"/>
                <w:shd w:val="clear" w:color="auto" w:fill="FFFFFF"/>
              </w:rPr>
              <w:t>I</w:t>
            </w:r>
            <w:r w:rsidRPr="00716897">
              <w:rPr>
                <w:rFonts w:ascii="Times New Roman" w:hAnsi="Times New Roman" w:cs="Times New Roman"/>
                <w:shd w:val="clear" w:color="auto" w:fill="FFFFFF"/>
              </w:rPr>
              <w:t>nvitaciones establecidas según actividad</w:t>
            </w:r>
          </w:p>
          <w:p w14:paraId="5BAA5EEC"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17849652" w14:textId="1290F3E3" w:rsidR="00AC4611" w:rsidRDefault="00AC4611" w:rsidP="00C74C7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 2: Medir avances de los responsables</w:t>
            </w:r>
          </w:p>
          <w:p w14:paraId="4F47A1BB"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71630F2D" w14:textId="7C0516AE" w:rsidR="00AC4611" w:rsidRPr="00716897" w:rsidRDefault="00AC4611"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Indicador 2: Total de respuesta obtenidas/</w:t>
            </w:r>
            <w:r w:rsidR="007D61AD">
              <w:rPr>
                <w:rFonts w:ascii="Times New Roman" w:hAnsi="Times New Roman" w:cs="Times New Roman"/>
                <w:shd w:val="clear" w:color="auto" w:fill="FFFFFF"/>
              </w:rPr>
              <w:t>T</w:t>
            </w:r>
            <w:r w:rsidR="007D61AD" w:rsidRPr="00716897">
              <w:rPr>
                <w:rFonts w:ascii="Times New Roman" w:hAnsi="Times New Roman" w:cs="Times New Roman"/>
                <w:shd w:val="clear" w:color="auto" w:fill="FFFFFF"/>
              </w:rPr>
              <w:t xml:space="preserve">otal </w:t>
            </w:r>
            <w:r w:rsidRPr="00716897">
              <w:rPr>
                <w:rFonts w:ascii="Times New Roman" w:hAnsi="Times New Roman" w:cs="Times New Roman"/>
                <w:shd w:val="clear" w:color="auto" w:fill="FFFFFF"/>
              </w:rPr>
              <w:t>invitaciones enviadas según actividad</w:t>
            </w:r>
          </w:p>
        </w:tc>
      </w:tr>
      <w:tr w:rsidR="00536488" w:rsidRPr="00716897" w14:paraId="2BF67FC1" w14:textId="004A16A8" w:rsidTr="00421EB7">
        <w:tc>
          <w:tcPr>
            <w:cnfStyle w:val="001000000000" w:firstRow="0" w:lastRow="0" w:firstColumn="1" w:lastColumn="0" w:oddVBand="0" w:evenVBand="0" w:oddHBand="0" w:evenHBand="0" w:firstRowFirstColumn="0" w:firstRowLastColumn="0" w:lastRowFirstColumn="0" w:lastRowLastColumn="0"/>
            <w:tcW w:w="1317" w:type="dxa"/>
            <w:vMerge/>
          </w:tcPr>
          <w:p w14:paraId="693E39AB" w14:textId="77777777" w:rsidR="005759A6" w:rsidRPr="00716897" w:rsidRDefault="005759A6" w:rsidP="00421EB7">
            <w:pPr>
              <w:spacing w:line="360" w:lineRule="auto"/>
              <w:rPr>
                <w:rFonts w:ascii="Times New Roman" w:hAnsi="Times New Roman" w:cs="Times New Roman"/>
                <w:b w:val="0"/>
                <w:bCs w:val="0"/>
                <w:shd w:val="clear" w:color="auto" w:fill="FFFFFF"/>
              </w:rPr>
            </w:pPr>
          </w:p>
        </w:tc>
        <w:tc>
          <w:tcPr>
            <w:tcW w:w="0" w:type="dxa"/>
          </w:tcPr>
          <w:p w14:paraId="13373854" w14:textId="241E4C8F" w:rsidR="005759A6" w:rsidRPr="00716897" w:rsidRDefault="005759A6"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Difusión</w:t>
            </w:r>
          </w:p>
        </w:tc>
        <w:tc>
          <w:tcPr>
            <w:tcW w:w="2409" w:type="dxa"/>
          </w:tcPr>
          <w:p w14:paraId="4878B4E0" w14:textId="6A440C77" w:rsidR="005759A6" w:rsidRPr="00716897" w:rsidRDefault="00FE0FC1"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E2: </w:t>
            </w:r>
            <w:r w:rsidR="005759A6" w:rsidRPr="00716897">
              <w:rPr>
                <w:rFonts w:ascii="Times New Roman" w:hAnsi="Times New Roman" w:cs="Times New Roman"/>
                <w:shd w:val="clear" w:color="auto" w:fill="FFFFFF"/>
              </w:rPr>
              <w:t xml:space="preserve">Establecer la frecuencia de divulgación de la publicidad asociada a </w:t>
            </w:r>
            <w:r w:rsidR="005759A6" w:rsidRPr="00716897">
              <w:rPr>
                <w:rFonts w:ascii="Times New Roman" w:hAnsi="Times New Roman" w:cs="Times New Roman"/>
                <w:shd w:val="clear" w:color="auto" w:fill="FFFFFF"/>
              </w:rPr>
              <w:lastRenderedPageBreak/>
              <w:t>las actividades involucradas en el programa</w:t>
            </w:r>
          </w:p>
        </w:tc>
        <w:tc>
          <w:tcPr>
            <w:tcW w:w="2410" w:type="dxa"/>
          </w:tcPr>
          <w:p w14:paraId="42A8B0E1" w14:textId="7415B4D7" w:rsidR="00BD45ED" w:rsidRDefault="00BD45ED" w:rsidP="00536488">
            <w:pPr>
              <w:pStyle w:val="Prrafodelista"/>
              <w:numPr>
                <w:ilvl w:val="0"/>
                <w:numId w:val="2"/>
              </w:num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 xml:space="preserve">Valorar la imagen del evento, para el envío al área de comunicación </w:t>
            </w:r>
            <w:r w:rsidRPr="00716897">
              <w:rPr>
                <w:rFonts w:ascii="Times New Roman" w:hAnsi="Times New Roman" w:cs="Times New Roman"/>
                <w:shd w:val="clear" w:color="auto" w:fill="FFFFFF"/>
              </w:rPr>
              <w:lastRenderedPageBreak/>
              <w:t>social del gobierno del estado</w:t>
            </w:r>
            <w:r w:rsidR="00E50A7E" w:rsidRPr="00716897">
              <w:rPr>
                <w:rFonts w:ascii="Times New Roman" w:hAnsi="Times New Roman" w:cs="Times New Roman"/>
                <w:shd w:val="clear" w:color="auto" w:fill="FFFFFF"/>
              </w:rPr>
              <w:t xml:space="preserve"> (CSGE)</w:t>
            </w:r>
          </w:p>
          <w:p w14:paraId="364BED5A" w14:textId="77777777" w:rsidR="00536488" w:rsidRPr="00716897" w:rsidRDefault="00536488" w:rsidP="00421EB7">
            <w:pPr>
              <w:pStyle w:val="Prrafodelista"/>
              <w:spacing w:line="360" w:lineRule="auto"/>
              <w:ind w:left="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54D4B165" w14:textId="0057BAB4" w:rsidR="00536488" w:rsidRPr="00421EB7" w:rsidRDefault="00BD45ED" w:rsidP="00536488">
            <w:pPr>
              <w:pStyle w:val="Prrafodelista"/>
              <w:numPr>
                <w:ilvl w:val="0"/>
                <w:numId w:val="2"/>
              </w:num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Solicitar el diseño de los </w:t>
            </w:r>
            <w:r w:rsidRPr="00421EB7">
              <w:rPr>
                <w:rFonts w:ascii="Times New Roman" w:hAnsi="Times New Roman" w:cs="Times New Roman"/>
                <w:i/>
                <w:iCs/>
                <w:shd w:val="clear" w:color="auto" w:fill="FFFFFF"/>
              </w:rPr>
              <w:t>flyers</w:t>
            </w:r>
            <w:r w:rsidRPr="00716897">
              <w:rPr>
                <w:rFonts w:ascii="Times New Roman" w:hAnsi="Times New Roman" w:cs="Times New Roman"/>
                <w:shd w:val="clear" w:color="auto" w:fill="FFFFFF"/>
              </w:rPr>
              <w:t xml:space="preserve"> del evento (conferencias, talleres, ponencias)</w:t>
            </w:r>
          </w:p>
          <w:p w14:paraId="0CF958EA" w14:textId="77777777" w:rsidR="00536488" w:rsidRPr="00421EB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59BFBE5B" w14:textId="621FD9CB" w:rsidR="00BD45ED" w:rsidRPr="00716897" w:rsidRDefault="00634E12" w:rsidP="00421EB7">
            <w:pPr>
              <w:pStyle w:val="Prrafodelista"/>
              <w:numPr>
                <w:ilvl w:val="0"/>
                <w:numId w:val="2"/>
              </w:num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Programar con el área de vinculación la difusión del programa</w:t>
            </w:r>
            <w:r w:rsidR="00BD45ED" w:rsidRPr="00716897">
              <w:rPr>
                <w:rFonts w:ascii="Times New Roman" w:hAnsi="Times New Roman" w:cs="Times New Roman"/>
                <w:shd w:val="clear" w:color="auto" w:fill="FFFFFF"/>
              </w:rPr>
              <w:t xml:space="preserve"> con un mes de anticipación</w:t>
            </w:r>
          </w:p>
        </w:tc>
        <w:tc>
          <w:tcPr>
            <w:tcW w:w="2410" w:type="dxa"/>
          </w:tcPr>
          <w:p w14:paraId="6B4E3A0F" w14:textId="4D5D944D" w:rsidR="005759A6" w:rsidRDefault="00261F93"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Director de división</w:t>
            </w:r>
            <w:r w:rsidR="00E50A7E" w:rsidRPr="00716897">
              <w:rPr>
                <w:rFonts w:ascii="Times New Roman" w:hAnsi="Times New Roman" w:cs="Times New Roman"/>
                <w:shd w:val="clear" w:color="auto" w:fill="FFFFFF"/>
              </w:rPr>
              <w:t>/vinculación</w:t>
            </w:r>
          </w:p>
          <w:p w14:paraId="118DC3E6"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264045D5" w14:textId="77777777" w:rsidR="00261F93" w:rsidRDefault="00E50A7E"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Meta 1: Aprobación de la imagen del evento dirección de administración/CSGE</w:t>
            </w:r>
          </w:p>
          <w:p w14:paraId="52BC3A68"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0CA26DC3" w14:textId="4F9F29CA" w:rsidR="00E50A7E" w:rsidRDefault="00E50A7E"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Indicar 1: </w:t>
            </w:r>
            <w:r w:rsidR="002C6247" w:rsidRPr="00716897">
              <w:rPr>
                <w:rFonts w:ascii="Times New Roman" w:hAnsi="Times New Roman" w:cs="Times New Roman"/>
                <w:shd w:val="clear" w:color="auto" w:fill="FFFFFF"/>
              </w:rPr>
              <w:t>I</w:t>
            </w:r>
            <w:r w:rsidRPr="00716897">
              <w:rPr>
                <w:rFonts w:ascii="Times New Roman" w:hAnsi="Times New Roman" w:cs="Times New Roman"/>
                <w:shd w:val="clear" w:color="auto" w:fill="FFFFFF"/>
              </w:rPr>
              <w:t>magen aprobada/</w:t>
            </w:r>
            <w:r w:rsidR="007D61AD">
              <w:rPr>
                <w:rFonts w:ascii="Times New Roman" w:hAnsi="Times New Roman" w:cs="Times New Roman"/>
                <w:shd w:val="clear" w:color="auto" w:fill="FFFFFF"/>
              </w:rPr>
              <w:t>C</w:t>
            </w:r>
            <w:r w:rsidR="007D61AD" w:rsidRPr="00716897">
              <w:rPr>
                <w:rFonts w:ascii="Times New Roman" w:hAnsi="Times New Roman" w:cs="Times New Roman"/>
                <w:shd w:val="clear" w:color="auto" w:fill="FFFFFF"/>
              </w:rPr>
              <w:t xml:space="preserve">antidad </w:t>
            </w:r>
            <w:r w:rsidRPr="00716897">
              <w:rPr>
                <w:rFonts w:ascii="Times New Roman" w:hAnsi="Times New Roman" w:cs="Times New Roman"/>
                <w:shd w:val="clear" w:color="auto" w:fill="FFFFFF"/>
              </w:rPr>
              <w:t>de imágenes diseñadas</w:t>
            </w:r>
          </w:p>
          <w:p w14:paraId="57949A30"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24D7423D" w14:textId="08C2D7C6" w:rsidR="00E50A7E" w:rsidRDefault="00E50A7E"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Meta 2: Diseño de </w:t>
            </w:r>
            <w:r w:rsidRPr="00421EB7">
              <w:rPr>
                <w:rFonts w:ascii="Times New Roman" w:hAnsi="Times New Roman" w:cs="Times New Roman"/>
                <w:i/>
                <w:iCs/>
                <w:shd w:val="clear" w:color="auto" w:fill="FFFFFF"/>
              </w:rPr>
              <w:t>flyers</w:t>
            </w:r>
            <w:r w:rsidRPr="00716897">
              <w:rPr>
                <w:rFonts w:ascii="Times New Roman" w:hAnsi="Times New Roman" w:cs="Times New Roman"/>
                <w:shd w:val="clear" w:color="auto" w:fill="FFFFFF"/>
              </w:rPr>
              <w:t xml:space="preserve"> publicitarios del evento</w:t>
            </w:r>
          </w:p>
          <w:p w14:paraId="73AD44C2"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459CF0C0" w14:textId="28130E30" w:rsidR="00E50A7E" w:rsidRDefault="00E50A7E"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Indicador 2: </w:t>
            </w:r>
            <w:r w:rsidR="002C6247" w:rsidRPr="00716897">
              <w:rPr>
                <w:rFonts w:ascii="Times New Roman" w:hAnsi="Times New Roman" w:cs="Times New Roman"/>
                <w:shd w:val="clear" w:color="auto" w:fill="FFFFFF"/>
              </w:rPr>
              <w:t xml:space="preserve">Cantidad de </w:t>
            </w:r>
            <w:r w:rsidR="002C6247" w:rsidRPr="00421EB7">
              <w:rPr>
                <w:rFonts w:ascii="Times New Roman" w:hAnsi="Times New Roman" w:cs="Times New Roman"/>
                <w:i/>
                <w:iCs/>
                <w:shd w:val="clear" w:color="auto" w:fill="FFFFFF"/>
              </w:rPr>
              <w:t>flyers</w:t>
            </w:r>
            <w:r w:rsidR="002C6247" w:rsidRPr="00716897">
              <w:rPr>
                <w:rFonts w:ascii="Times New Roman" w:hAnsi="Times New Roman" w:cs="Times New Roman"/>
                <w:shd w:val="clear" w:color="auto" w:fill="FFFFFF"/>
              </w:rPr>
              <w:t xml:space="preserve"> aprobados/Cantidad de </w:t>
            </w:r>
            <w:r w:rsidR="002C6247" w:rsidRPr="00421EB7">
              <w:rPr>
                <w:rFonts w:ascii="Times New Roman" w:hAnsi="Times New Roman" w:cs="Times New Roman"/>
                <w:i/>
                <w:iCs/>
                <w:shd w:val="clear" w:color="auto" w:fill="FFFFFF"/>
              </w:rPr>
              <w:t>flyers</w:t>
            </w:r>
            <w:r w:rsidR="002C6247" w:rsidRPr="00716897">
              <w:rPr>
                <w:rFonts w:ascii="Times New Roman" w:hAnsi="Times New Roman" w:cs="Times New Roman"/>
                <w:shd w:val="clear" w:color="auto" w:fill="FFFFFF"/>
              </w:rPr>
              <w:t xml:space="preserve"> diseñados</w:t>
            </w:r>
          </w:p>
          <w:p w14:paraId="5BFCE8AE"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3553CE53" w14:textId="2ED37973" w:rsidR="002C6247" w:rsidRPr="00716897" w:rsidRDefault="002C6247"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Meta 3: Difusión de los </w:t>
            </w:r>
            <w:r w:rsidRPr="00421EB7">
              <w:rPr>
                <w:rFonts w:ascii="Times New Roman" w:hAnsi="Times New Roman" w:cs="Times New Roman"/>
                <w:i/>
                <w:iCs/>
                <w:shd w:val="clear" w:color="auto" w:fill="FFFFFF"/>
              </w:rPr>
              <w:t>flyers</w:t>
            </w:r>
            <w:r w:rsidRPr="00716897">
              <w:rPr>
                <w:rFonts w:ascii="Times New Roman" w:hAnsi="Times New Roman" w:cs="Times New Roman"/>
                <w:shd w:val="clear" w:color="auto" w:fill="FFFFFF"/>
              </w:rPr>
              <w:t xml:space="preserve"> en línea </w:t>
            </w:r>
          </w:p>
        </w:tc>
      </w:tr>
      <w:tr w:rsidR="00536488" w:rsidRPr="00716897" w14:paraId="164111DE" w14:textId="6B1F0ED5" w:rsidTr="00421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 w:type="dxa"/>
            <w:vMerge/>
          </w:tcPr>
          <w:p w14:paraId="2A8FC8A9" w14:textId="77777777" w:rsidR="005759A6" w:rsidRPr="00716897" w:rsidRDefault="005759A6" w:rsidP="00421EB7">
            <w:pPr>
              <w:spacing w:line="360" w:lineRule="auto"/>
              <w:rPr>
                <w:rFonts w:ascii="Times New Roman" w:hAnsi="Times New Roman" w:cs="Times New Roman"/>
                <w:b w:val="0"/>
                <w:bCs w:val="0"/>
                <w:shd w:val="clear" w:color="auto" w:fill="FFFFFF"/>
              </w:rPr>
            </w:pPr>
          </w:p>
        </w:tc>
        <w:tc>
          <w:tcPr>
            <w:tcW w:w="1660" w:type="dxa"/>
          </w:tcPr>
          <w:p w14:paraId="6911C20D" w14:textId="00453144" w:rsidR="005759A6" w:rsidRPr="00716897" w:rsidRDefault="00B2031B"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Comunicación digital</w:t>
            </w:r>
          </w:p>
        </w:tc>
        <w:tc>
          <w:tcPr>
            <w:tcW w:w="2409" w:type="dxa"/>
          </w:tcPr>
          <w:p w14:paraId="694E5193" w14:textId="7E141F2D" w:rsidR="005759A6" w:rsidRPr="00716897" w:rsidRDefault="00FE0FC1"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E3: </w:t>
            </w:r>
            <w:r w:rsidR="005759A6" w:rsidRPr="00716897">
              <w:rPr>
                <w:rFonts w:ascii="Times New Roman" w:hAnsi="Times New Roman" w:cs="Times New Roman"/>
                <w:shd w:val="clear" w:color="auto" w:fill="FFFFFF"/>
              </w:rPr>
              <w:t>Programar las pruebas para la transmisión de las conferencias, talleres, cursos y ponencias generadas para y por los jóvenes estudiantes de nivel superior</w:t>
            </w:r>
          </w:p>
        </w:tc>
        <w:tc>
          <w:tcPr>
            <w:tcW w:w="2410" w:type="dxa"/>
          </w:tcPr>
          <w:p w14:paraId="0A2012CE" w14:textId="0B7E169F" w:rsidR="005759A6" w:rsidRDefault="009C2301" w:rsidP="00421EB7">
            <w:pPr>
              <w:pStyle w:val="Prrafodelista"/>
              <w:numPr>
                <w:ilvl w:val="0"/>
                <w:numId w:val="3"/>
              </w:numPr>
              <w:spacing w:line="360" w:lineRule="auto"/>
              <w:ind w:left="32" w:hanging="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Calendarizar las conferencias, talleres y ponencias</w:t>
            </w:r>
          </w:p>
          <w:p w14:paraId="71E6240F" w14:textId="77777777" w:rsidR="00536488" w:rsidRPr="00716897" w:rsidRDefault="00536488" w:rsidP="00421EB7">
            <w:pPr>
              <w:pStyle w:val="Prrafodelista"/>
              <w:spacing w:line="360" w:lineRule="auto"/>
              <w:ind w:left="32" w:hanging="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7A6F038D" w14:textId="5431ED52" w:rsidR="009C2301" w:rsidRDefault="009C2301" w:rsidP="00421EB7">
            <w:pPr>
              <w:pStyle w:val="Prrafodelista"/>
              <w:numPr>
                <w:ilvl w:val="0"/>
                <w:numId w:val="3"/>
              </w:numPr>
              <w:spacing w:line="360" w:lineRule="auto"/>
              <w:ind w:left="32" w:hanging="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Establecer los horarios para las pruebas de transmisión para cada actividad (conferencias, talleres, ponencias)</w:t>
            </w:r>
          </w:p>
          <w:p w14:paraId="5152435A" w14:textId="77777777" w:rsidR="00536488" w:rsidRPr="00421EB7" w:rsidRDefault="00536488" w:rsidP="00421EB7">
            <w:pPr>
              <w:spacing w:line="360" w:lineRule="auto"/>
              <w:ind w:left="32" w:hanging="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7C9C60F8" w14:textId="1D1AEC7D" w:rsidR="009C2301" w:rsidRPr="00716897" w:rsidRDefault="00E62780" w:rsidP="00421EB7">
            <w:pPr>
              <w:pStyle w:val="Prrafodelista"/>
              <w:numPr>
                <w:ilvl w:val="0"/>
                <w:numId w:val="3"/>
              </w:numPr>
              <w:spacing w:line="360" w:lineRule="auto"/>
              <w:ind w:left="32" w:hanging="3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Establecer responsabilidades de transmisión y moderación del evento para cada actividad (conferencias, talleres, ponencias)</w:t>
            </w:r>
          </w:p>
        </w:tc>
        <w:tc>
          <w:tcPr>
            <w:tcW w:w="2410" w:type="dxa"/>
          </w:tcPr>
          <w:p w14:paraId="10CB5579" w14:textId="77777777" w:rsidR="005759A6" w:rsidRDefault="007656F5"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Director de división/responsable técnico</w:t>
            </w:r>
          </w:p>
          <w:p w14:paraId="726AD622"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5E092075" w14:textId="4B7D23DB" w:rsidR="007656F5" w:rsidRDefault="007656F5"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w:t>
            </w:r>
            <w:r w:rsidR="00D5390D" w:rsidRPr="00716897">
              <w:rPr>
                <w:rFonts w:ascii="Times New Roman" w:hAnsi="Times New Roman" w:cs="Times New Roman"/>
                <w:shd w:val="clear" w:color="auto" w:fill="FFFFFF"/>
              </w:rPr>
              <w:t xml:space="preserve"> 1</w:t>
            </w:r>
            <w:r w:rsidRPr="00716897">
              <w:rPr>
                <w:rFonts w:ascii="Times New Roman" w:hAnsi="Times New Roman" w:cs="Times New Roman"/>
                <w:shd w:val="clear" w:color="auto" w:fill="FFFFFF"/>
              </w:rPr>
              <w:t>: Divulgación en capítulos de libro de las ponencias generadas por los alumnos</w:t>
            </w:r>
            <w:r w:rsidR="00D5390D" w:rsidRPr="00716897">
              <w:rPr>
                <w:rFonts w:ascii="Times New Roman" w:hAnsi="Times New Roman" w:cs="Times New Roman"/>
                <w:shd w:val="clear" w:color="auto" w:fill="FFFFFF"/>
              </w:rPr>
              <w:t xml:space="preserve"> (100 autores)</w:t>
            </w:r>
          </w:p>
          <w:p w14:paraId="76B6C666"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1AD55DFB" w14:textId="577983D5" w:rsidR="00D5390D" w:rsidRDefault="00D5390D"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Indicador 1: 100 autores con artículos </w:t>
            </w:r>
            <w:r w:rsidRPr="00716897">
              <w:rPr>
                <w:rFonts w:ascii="Times New Roman" w:hAnsi="Times New Roman" w:cs="Times New Roman"/>
                <w:shd w:val="clear" w:color="auto" w:fill="FFFFFF"/>
              </w:rPr>
              <w:lastRenderedPageBreak/>
              <w:t xml:space="preserve">aceptados/100 autores que enviaron artículo </w:t>
            </w:r>
            <w:r w:rsidR="007D61AD" w:rsidRPr="001C32D5">
              <w:rPr>
                <w:rFonts w:ascii="Times New Roman" w:hAnsi="Times New Roman" w:cs="Times New Roman"/>
                <w:shd w:val="clear" w:color="auto" w:fill="FFFFFF"/>
              </w:rPr>
              <w:t>×</w:t>
            </w:r>
            <w:r w:rsidRPr="00716897">
              <w:rPr>
                <w:rFonts w:ascii="Times New Roman" w:hAnsi="Times New Roman" w:cs="Times New Roman"/>
                <w:shd w:val="clear" w:color="auto" w:fill="FFFFFF"/>
              </w:rPr>
              <w:t xml:space="preserve"> 100</w:t>
            </w:r>
          </w:p>
          <w:p w14:paraId="11835104"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07434BEC" w14:textId="77777777" w:rsidR="00D5390D" w:rsidRDefault="00D5390D"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 2: Generación del calendario de las actividades (conferencias, talleres, ponencias)</w:t>
            </w:r>
          </w:p>
          <w:p w14:paraId="52B29217"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76E7B213" w14:textId="1F1A36D6" w:rsidR="00D5390D" w:rsidRDefault="00D5390D"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Indicador 2: </w:t>
            </w:r>
            <w:r w:rsidR="003A00C9" w:rsidRPr="00716897">
              <w:rPr>
                <w:rFonts w:ascii="Times New Roman" w:hAnsi="Times New Roman" w:cs="Times New Roman"/>
                <w:shd w:val="clear" w:color="auto" w:fill="FFFFFF"/>
              </w:rPr>
              <w:t>3</w:t>
            </w:r>
            <w:r w:rsidRPr="00716897">
              <w:rPr>
                <w:rFonts w:ascii="Times New Roman" w:hAnsi="Times New Roman" w:cs="Times New Roman"/>
                <w:shd w:val="clear" w:color="auto" w:fill="FFFFFF"/>
              </w:rPr>
              <w:t xml:space="preserve"> calendario</w:t>
            </w:r>
            <w:r w:rsidR="003A00C9" w:rsidRPr="00716897">
              <w:rPr>
                <w:rFonts w:ascii="Times New Roman" w:hAnsi="Times New Roman" w:cs="Times New Roman"/>
                <w:shd w:val="clear" w:color="auto" w:fill="FFFFFF"/>
              </w:rPr>
              <w:t>s</w:t>
            </w:r>
            <w:r w:rsidRPr="00716897">
              <w:rPr>
                <w:rFonts w:ascii="Times New Roman" w:hAnsi="Times New Roman" w:cs="Times New Roman"/>
                <w:shd w:val="clear" w:color="auto" w:fill="FFFFFF"/>
              </w:rPr>
              <w:t xml:space="preserve"> </w:t>
            </w:r>
            <w:r w:rsidR="003A00C9" w:rsidRPr="00716897">
              <w:rPr>
                <w:rFonts w:ascii="Times New Roman" w:hAnsi="Times New Roman" w:cs="Times New Roman"/>
                <w:shd w:val="clear" w:color="auto" w:fill="FFFFFF"/>
              </w:rPr>
              <w:t xml:space="preserve">por actividad final/3 calendarios solicitados </w:t>
            </w:r>
            <w:r w:rsidR="007D61AD" w:rsidRPr="001C32D5">
              <w:rPr>
                <w:rFonts w:ascii="Times New Roman" w:hAnsi="Times New Roman" w:cs="Times New Roman"/>
                <w:shd w:val="clear" w:color="auto" w:fill="FFFFFF"/>
              </w:rPr>
              <w:t>×</w:t>
            </w:r>
            <w:r w:rsidR="003A00C9" w:rsidRPr="00716897">
              <w:rPr>
                <w:rFonts w:ascii="Times New Roman" w:hAnsi="Times New Roman" w:cs="Times New Roman"/>
                <w:shd w:val="clear" w:color="auto" w:fill="FFFFFF"/>
              </w:rPr>
              <w:t xml:space="preserve"> 100</w:t>
            </w:r>
          </w:p>
          <w:p w14:paraId="29D55BF9"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70EBD0E9" w14:textId="77777777" w:rsidR="003A00C9" w:rsidRDefault="003A00C9" w:rsidP="0053648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 3: Un responsable por actividad</w:t>
            </w:r>
          </w:p>
          <w:p w14:paraId="68ABB22E" w14:textId="77777777" w:rsidR="00536488" w:rsidRPr="00716897" w:rsidRDefault="00536488"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p>
          <w:p w14:paraId="2188F0F3" w14:textId="33B7D716" w:rsidR="003A00C9" w:rsidRPr="00716897" w:rsidRDefault="003A00C9" w:rsidP="00421EB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Indicador 3: 1 responsable asignado por actividad/1 responsable delegado por actividad </w:t>
            </w:r>
            <w:r w:rsidR="00E77EA8" w:rsidRPr="001C32D5">
              <w:rPr>
                <w:rFonts w:ascii="Times New Roman" w:hAnsi="Times New Roman" w:cs="Times New Roman"/>
                <w:shd w:val="clear" w:color="auto" w:fill="FFFFFF"/>
              </w:rPr>
              <w:t>×</w:t>
            </w:r>
            <w:r w:rsidRPr="00716897">
              <w:rPr>
                <w:rFonts w:ascii="Times New Roman" w:hAnsi="Times New Roman" w:cs="Times New Roman"/>
                <w:shd w:val="clear" w:color="auto" w:fill="FFFFFF"/>
              </w:rPr>
              <w:t xml:space="preserve"> 100 =</w:t>
            </w:r>
          </w:p>
        </w:tc>
      </w:tr>
      <w:tr w:rsidR="00536488" w:rsidRPr="00716897" w14:paraId="438C5325" w14:textId="1D905F97" w:rsidTr="00421EB7">
        <w:tc>
          <w:tcPr>
            <w:cnfStyle w:val="001000000000" w:firstRow="0" w:lastRow="0" w:firstColumn="1" w:lastColumn="0" w:oddVBand="0" w:evenVBand="0" w:oddHBand="0" w:evenHBand="0" w:firstRowFirstColumn="0" w:firstRowLastColumn="0" w:lastRowFirstColumn="0" w:lastRowLastColumn="0"/>
            <w:tcW w:w="1317" w:type="dxa"/>
            <w:vMerge/>
          </w:tcPr>
          <w:p w14:paraId="068720E6" w14:textId="77777777" w:rsidR="005759A6" w:rsidRPr="00716897" w:rsidRDefault="005759A6" w:rsidP="00421EB7">
            <w:pPr>
              <w:spacing w:line="360" w:lineRule="auto"/>
              <w:rPr>
                <w:rFonts w:ascii="Times New Roman" w:hAnsi="Times New Roman" w:cs="Times New Roman"/>
                <w:b w:val="0"/>
                <w:bCs w:val="0"/>
                <w:shd w:val="clear" w:color="auto" w:fill="FFFFFF"/>
              </w:rPr>
            </w:pPr>
          </w:p>
        </w:tc>
        <w:tc>
          <w:tcPr>
            <w:tcW w:w="0" w:type="dxa"/>
          </w:tcPr>
          <w:p w14:paraId="0905C544" w14:textId="5FEE6FE2" w:rsidR="005759A6" w:rsidRPr="00716897" w:rsidRDefault="00B2031B"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Divulgación</w:t>
            </w:r>
          </w:p>
        </w:tc>
        <w:tc>
          <w:tcPr>
            <w:tcW w:w="2409" w:type="dxa"/>
          </w:tcPr>
          <w:p w14:paraId="3D6D6D89" w14:textId="4839CF35" w:rsidR="005759A6" w:rsidRPr="00716897" w:rsidRDefault="00FE0FC1"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E4: </w:t>
            </w:r>
            <w:r w:rsidR="00E62780" w:rsidRPr="00716897">
              <w:rPr>
                <w:rFonts w:ascii="Times New Roman" w:hAnsi="Times New Roman" w:cs="Times New Roman"/>
                <w:shd w:val="clear" w:color="auto" w:fill="FFFFFF"/>
              </w:rPr>
              <w:t>Evaluar el registro de participantes al evento y conectividad virtual</w:t>
            </w:r>
          </w:p>
        </w:tc>
        <w:tc>
          <w:tcPr>
            <w:tcW w:w="2410" w:type="dxa"/>
          </w:tcPr>
          <w:p w14:paraId="702E8B7C" w14:textId="77777777" w:rsidR="005759A6" w:rsidRDefault="00327FE0" w:rsidP="00421EB7">
            <w:pPr>
              <w:pStyle w:val="Prrafodelista"/>
              <w:numPr>
                <w:ilvl w:val="0"/>
                <w:numId w:val="4"/>
              </w:num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Monitorear el registro de participantes al Congreso</w:t>
            </w:r>
          </w:p>
          <w:p w14:paraId="7DBE52AD" w14:textId="77777777" w:rsidR="00536488" w:rsidRPr="00421EB7" w:rsidRDefault="00536488" w:rsidP="00421EB7">
            <w:p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2A100493" w14:textId="2BD313F9" w:rsidR="00327FE0" w:rsidRPr="00716897" w:rsidRDefault="00327FE0" w:rsidP="00421EB7">
            <w:pPr>
              <w:pStyle w:val="Prrafodelista"/>
              <w:numPr>
                <w:ilvl w:val="0"/>
                <w:numId w:val="4"/>
              </w:numPr>
              <w:spacing w:line="360" w:lineRule="auto"/>
              <w:ind w:left="32" w:hanging="3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Verificar la conectividad de los </w:t>
            </w:r>
            <w:r w:rsidRPr="00716897">
              <w:rPr>
                <w:rFonts w:ascii="Times New Roman" w:hAnsi="Times New Roman" w:cs="Times New Roman"/>
                <w:shd w:val="clear" w:color="auto" w:fill="FFFFFF"/>
              </w:rPr>
              <w:lastRenderedPageBreak/>
              <w:t>estudiantes de nivel superior de las instituciones invitadas y de la institución sede del evento virtual</w:t>
            </w:r>
          </w:p>
        </w:tc>
        <w:tc>
          <w:tcPr>
            <w:tcW w:w="2410" w:type="dxa"/>
          </w:tcPr>
          <w:p w14:paraId="24C6761B" w14:textId="77777777" w:rsidR="005759A6" w:rsidRDefault="00D5390D"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Responsable técnico</w:t>
            </w:r>
          </w:p>
          <w:p w14:paraId="63A35486"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66A89AF3" w14:textId="7C370448" w:rsidR="00D5390D" w:rsidRDefault="00D5390D"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 xml:space="preserve">Meta 1: </w:t>
            </w:r>
            <w:r w:rsidR="00C94F1F" w:rsidRPr="00716897">
              <w:rPr>
                <w:rFonts w:ascii="Times New Roman" w:hAnsi="Times New Roman" w:cs="Times New Roman"/>
                <w:shd w:val="clear" w:color="auto" w:fill="FFFFFF"/>
              </w:rPr>
              <w:t>asistentes a talleres = 400 estudiantes</w:t>
            </w:r>
          </w:p>
          <w:p w14:paraId="19BC6FEF"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65AC44F3" w14:textId="33D6CB43" w:rsidR="00BE0D1C" w:rsidRDefault="00BE0D1C"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lastRenderedPageBreak/>
              <w:t xml:space="preserve">Indicador 2: </w:t>
            </w:r>
            <w:r w:rsidR="001D56DF" w:rsidRPr="00716897">
              <w:rPr>
                <w:rFonts w:ascii="Times New Roman" w:hAnsi="Times New Roman" w:cs="Times New Roman"/>
                <w:shd w:val="clear" w:color="auto" w:fill="FFFFFF"/>
              </w:rPr>
              <w:t>Cantidad total asistentes a los talleres programados/400 estudias programados para los talleres</w:t>
            </w:r>
          </w:p>
          <w:p w14:paraId="6AF1E1D8"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6088C406" w14:textId="77777777" w:rsidR="00C94F1F" w:rsidRDefault="00C94F1F" w:rsidP="0053648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Meta 2: asistencia conferencias 4500 estudiantes de nivel superior</w:t>
            </w:r>
          </w:p>
          <w:p w14:paraId="44021B97" w14:textId="77777777" w:rsidR="00536488" w:rsidRPr="00716897" w:rsidRDefault="00536488"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p>
          <w:p w14:paraId="46AFD801" w14:textId="6A25391F" w:rsidR="00C94F1F" w:rsidRPr="00716897" w:rsidRDefault="00BE0D1C" w:rsidP="00421EB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hd w:val="clear" w:color="auto" w:fill="FFFFFF"/>
              </w:rPr>
            </w:pPr>
            <w:r w:rsidRPr="00716897">
              <w:rPr>
                <w:rFonts w:ascii="Times New Roman" w:hAnsi="Times New Roman" w:cs="Times New Roman"/>
                <w:shd w:val="clear" w:color="auto" w:fill="FFFFFF"/>
              </w:rPr>
              <w:t>Indicador 2</w:t>
            </w:r>
            <w:r w:rsidR="00C94F1F" w:rsidRPr="00716897">
              <w:rPr>
                <w:rFonts w:ascii="Times New Roman" w:hAnsi="Times New Roman" w:cs="Times New Roman"/>
                <w:shd w:val="clear" w:color="auto" w:fill="FFFFFF"/>
              </w:rPr>
              <w:t>:</w:t>
            </w:r>
            <w:r w:rsidRPr="00716897">
              <w:rPr>
                <w:rFonts w:ascii="Times New Roman" w:hAnsi="Times New Roman" w:cs="Times New Roman"/>
                <w:shd w:val="clear" w:color="auto" w:fill="FFFFFF"/>
              </w:rPr>
              <w:t xml:space="preserve"> Cantidad de asistencia virtual conferencias/4500 asistentes programados </w:t>
            </w:r>
            <w:r w:rsidR="00E77EA8" w:rsidRPr="001C32D5">
              <w:rPr>
                <w:rFonts w:ascii="Times New Roman" w:hAnsi="Times New Roman" w:cs="Times New Roman"/>
                <w:shd w:val="clear" w:color="auto" w:fill="FFFFFF"/>
              </w:rPr>
              <w:t>×</w:t>
            </w:r>
            <w:r w:rsidRPr="00716897">
              <w:rPr>
                <w:rFonts w:ascii="Times New Roman" w:hAnsi="Times New Roman" w:cs="Times New Roman"/>
                <w:shd w:val="clear" w:color="auto" w:fill="FFFFFF"/>
              </w:rPr>
              <w:t xml:space="preserve"> 100</w:t>
            </w:r>
            <w:r w:rsidR="00296412">
              <w:rPr>
                <w:rFonts w:ascii="Times New Roman" w:hAnsi="Times New Roman" w:cs="Times New Roman"/>
                <w:shd w:val="clear" w:color="auto" w:fill="FFFFFF"/>
              </w:rPr>
              <w:t xml:space="preserve"> </w:t>
            </w:r>
          </w:p>
        </w:tc>
      </w:tr>
    </w:tbl>
    <w:p w14:paraId="7964BC20" w14:textId="310D4616" w:rsidR="0050434E" w:rsidRDefault="00952885" w:rsidP="00FF6D96">
      <w:pPr>
        <w:spacing w:line="360" w:lineRule="auto"/>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Fuente: </w:t>
      </w:r>
      <w:r w:rsidR="00EC4682">
        <w:rPr>
          <w:rFonts w:ascii="Times New Roman" w:hAnsi="Times New Roman" w:cs="Times New Roman"/>
          <w:shd w:val="clear" w:color="auto" w:fill="FFFFFF"/>
        </w:rPr>
        <w:t xml:space="preserve">Elaboración </w:t>
      </w:r>
      <w:r>
        <w:rPr>
          <w:rFonts w:ascii="Times New Roman" w:hAnsi="Times New Roman" w:cs="Times New Roman"/>
          <w:shd w:val="clear" w:color="auto" w:fill="FFFFFF"/>
        </w:rPr>
        <w:t>propia</w:t>
      </w:r>
    </w:p>
    <w:p w14:paraId="708A4A4F" w14:textId="77777777" w:rsidR="00ED036E" w:rsidRPr="00ED036E" w:rsidRDefault="00ED036E" w:rsidP="00421EB7">
      <w:pPr>
        <w:pStyle w:val="Prrafodelista"/>
        <w:numPr>
          <w:ilvl w:val="0"/>
          <w:numId w:val="5"/>
        </w:numPr>
        <w:spacing w:line="360" w:lineRule="auto"/>
        <w:ind w:firstLine="349"/>
        <w:jc w:val="both"/>
        <w:rPr>
          <w:rFonts w:ascii="Times New Roman" w:hAnsi="Times New Roman" w:cs="Times New Roman"/>
        </w:rPr>
      </w:pPr>
      <w:r w:rsidRPr="00ED036E">
        <w:rPr>
          <w:rFonts w:ascii="Times New Roman" w:hAnsi="Times New Roman" w:cs="Times New Roman"/>
        </w:rPr>
        <w:t xml:space="preserve">Metas </w:t>
      </w:r>
    </w:p>
    <w:p w14:paraId="0451AE6A" w14:textId="5C12ED0C" w:rsidR="00ED036E" w:rsidRPr="00ED036E" w:rsidRDefault="00ED036E" w:rsidP="00421EB7">
      <w:pPr>
        <w:pStyle w:val="Prrafodelista"/>
        <w:numPr>
          <w:ilvl w:val="1"/>
          <w:numId w:val="5"/>
        </w:numPr>
        <w:spacing w:line="360" w:lineRule="auto"/>
        <w:ind w:left="1843" w:hanging="425"/>
        <w:jc w:val="both"/>
        <w:rPr>
          <w:rFonts w:ascii="Times New Roman" w:hAnsi="Times New Roman" w:cs="Times New Roman"/>
        </w:rPr>
      </w:pPr>
      <w:r w:rsidRPr="00ED036E">
        <w:rPr>
          <w:rFonts w:ascii="Times New Roman" w:hAnsi="Times New Roman" w:cs="Times New Roman"/>
        </w:rPr>
        <w:t xml:space="preserve">Meta establecida: </w:t>
      </w:r>
      <w:r w:rsidR="004604AE">
        <w:rPr>
          <w:rFonts w:ascii="Times New Roman" w:hAnsi="Times New Roman" w:cs="Times New Roman"/>
        </w:rPr>
        <w:t>a</w:t>
      </w:r>
      <w:r w:rsidR="004604AE" w:rsidRPr="00ED036E">
        <w:rPr>
          <w:rFonts w:ascii="Times New Roman" w:hAnsi="Times New Roman" w:cs="Times New Roman"/>
        </w:rPr>
        <w:t xml:space="preserve">utores </w:t>
      </w:r>
      <w:r w:rsidRPr="00ED036E">
        <w:rPr>
          <w:rFonts w:ascii="Times New Roman" w:hAnsi="Times New Roman" w:cs="Times New Roman"/>
        </w:rPr>
        <w:t>(</w:t>
      </w:r>
      <w:r w:rsidR="004604AE">
        <w:rPr>
          <w:rFonts w:ascii="Times New Roman" w:hAnsi="Times New Roman" w:cs="Times New Roman"/>
        </w:rPr>
        <w:t>a</w:t>
      </w:r>
      <w:r w:rsidRPr="00ED036E">
        <w:rPr>
          <w:rFonts w:ascii="Times New Roman" w:hAnsi="Times New Roman" w:cs="Times New Roman"/>
        </w:rPr>
        <w:t>lumnos de educación superior: 100, mediante la publicación de capítulos de libros, generados mediante su presentación en el evento, a manera de ponencia)</w:t>
      </w:r>
    </w:p>
    <w:p w14:paraId="4C9CD9C5" w14:textId="77777777" w:rsidR="00ED036E" w:rsidRPr="00ED036E" w:rsidRDefault="00ED036E" w:rsidP="00421EB7">
      <w:pPr>
        <w:pStyle w:val="Prrafodelista"/>
        <w:numPr>
          <w:ilvl w:val="1"/>
          <w:numId w:val="5"/>
        </w:numPr>
        <w:spacing w:line="360" w:lineRule="auto"/>
        <w:ind w:left="1418" w:firstLine="0"/>
        <w:jc w:val="both"/>
        <w:rPr>
          <w:rFonts w:ascii="Times New Roman" w:hAnsi="Times New Roman" w:cs="Times New Roman"/>
        </w:rPr>
      </w:pPr>
      <w:r w:rsidRPr="00ED036E">
        <w:rPr>
          <w:rFonts w:ascii="Times New Roman" w:hAnsi="Times New Roman" w:cs="Times New Roman"/>
        </w:rPr>
        <w:t>Meta alcanzada: 105 estudiantes presentaron sus ponencias en formato de 50 artículos.</w:t>
      </w:r>
    </w:p>
    <w:p w14:paraId="385B3C6C" w14:textId="331C367C" w:rsidR="00ED036E" w:rsidRPr="00716FD1" w:rsidRDefault="00ED036E" w:rsidP="00421EB7">
      <w:pPr>
        <w:pStyle w:val="Prrafodelista"/>
        <w:numPr>
          <w:ilvl w:val="1"/>
          <w:numId w:val="5"/>
        </w:numPr>
        <w:spacing w:line="360" w:lineRule="auto"/>
        <w:ind w:left="1418" w:firstLine="0"/>
        <w:jc w:val="both"/>
        <w:rPr>
          <w:rFonts w:ascii="Times New Roman" w:hAnsi="Times New Roman" w:cs="Times New Roman"/>
        </w:rPr>
      </w:pPr>
      <w:r w:rsidRPr="00ED036E">
        <w:rPr>
          <w:rFonts w:ascii="Times New Roman" w:hAnsi="Times New Roman" w:cs="Times New Roman"/>
        </w:rPr>
        <w:t xml:space="preserve">Superando la meta: </w:t>
      </w:r>
      <w:r w:rsidRPr="00716FD1">
        <w:rPr>
          <w:rFonts w:ascii="Times New Roman" w:hAnsi="Times New Roman" w:cs="Times New Roman"/>
        </w:rPr>
        <w:t>4635 estudiantes de nivel superior inscritos</w:t>
      </w:r>
      <w:r w:rsidR="004604AE">
        <w:rPr>
          <w:rFonts w:ascii="Times New Roman" w:hAnsi="Times New Roman" w:cs="Times New Roman"/>
        </w:rPr>
        <w:t>.</w:t>
      </w:r>
    </w:p>
    <w:p w14:paraId="1F29DD9E" w14:textId="5D6863DA" w:rsidR="00ED036E" w:rsidRPr="00716FD1" w:rsidRDefault="00ED036E" w:rsidP="00421EB7">
      <w:pPr>
        <w:pStyle w:val="Prrafodelista"/>
        <w:numPr>
          <w:ilvl w:val="2"/>
          <w:numId w:val="5"/>
        </w:numPr>
        <w:spacing w:line="360" w:lineRule="auto"/>
        <w:ind w:left="2127" w:firstLine="141"/>
        <w:jc w:val="both"/>
        <w:rPr>
          <w:rFonts w:ascii="Times New Roman" w:hAnsi="Times New Roman" w:cs="Times New Roman"/>
        </w:rPr>
      </w:pPr>
      <w:r w:rsidRPr="00716FD1">
        <w:rPr>
          <w:rFonts w:ascii="Times New Roman" w:hAnsi="Times New Roman" w:cs="Times New Roman"/>
        </w:rPr>
        <w:t xml:space="preserve">Indicador = meta alcanzada/meta establecida </w:t>
      </w:r>
      <w:r w:rsidR="00E77EA8" w:rsidRPr="001C32D5">
        <w:rPr>
          <w:rFonts w:ascii="Times New Roman" w:hAnsi="Times New Roman" w:cs="Times New Roman"/>
          <w:shd w:val="clear" w:color="auto" w:fill="FFFFFF"/>
        </w:rPr>
        <w:t>×</w:t>
      </w:r>
      <w:r w:rsidRPr="00716FD1">
        <w:rPr>
          <w:rFonts w:ascii="Times New Roman" w:hAnsi="Times New Roman" w:cs="Times New Roman"/>
        </w:rPr>
        <w:t xml:space="preserve"> 100</w:t>
      </w:r>
      <w:r w:rsidR="004604AE">
        <w:rPr>
          <w:rFonts w:ascii="Times New Roman" w:hAnsi="Times New Roman" w:cs="Times New Roman"/>
        </w:rPr>
        <w:t xml:space="preserve"> </w:t>
      </w:r>
      <w:r w:rsidRPr="00716FD1">
        <w:rPr>
          <w:rFonts w:ascii="Times New Roman" w:hAnsi="Times New Roman" w:cs="Times New Roman"/>
        </w:rPr>
        <w:t xml:space="preserve">= 105/100 = 1.05 </w:t>
      </w:r>
      <w:r w:rsidR="00E77EA8" w:rsidRPr="001C32D5">
        <w:rPr>
          <w:rFonts w:ascii="Times New Roman" w:hAnsi="Times New Roman" w:cs="Times New Roman"/>
          <w:shd w:val="clear" w:color="auto" w:fill="FFFFFF"/>
        </w:rPr>
        <w:t>×</w:t>
      </w:r>
      <w:r w:rsidRPr="00716FD1">
        <w:rPr>
          <w:rFonts w:ascii="Times New Roman" w:hAnsi="Times New Roman" w:cs="Times New Roman"/>
        </w:rPr>
        <w:t xml:space="preserve"> 100 = 105</w:t>
      </w:r>
      <w:r w:rsidR="004604AE">
        <w:rPr>
          <w:rFonts w:ascii="Times New Roman" w:hAnsi="Times New Roman" w:cs="Times New Roman"/>
        </w:rPr>
        <w:t> </w:t>
      </w:r>
      <w:r w:rsidRPr="00716FD1">
        <w:rPr>
          <w:rFonts w:ascii="Times New Roman" w:hAnsi="Times New Roman" w:cs="Times New Roman"/>
        </w:rPr>
        <w:t>%</w:t>
      </w:r>
      <w:r w:rsidR="00255360">
        <w:rPr>
          <w:rFonts w:ascii="Times New Roman" w:hAnsi="Times New Roman" w:cs="Times New Roman"/>
        </w:rPr>
        <w:t xml:space="preserve"> autores (estudiantes de nivel superior)</w:t>
      </w:r>
    </w:p>
    <w:p w14:paraId="11DF1D5B" w14:textId="08CB9716" w:rsidR="004B4E1F" w:rsidRPr="00075DC5" w:rsidRDefault="004604AE"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Luego del establecimiento </w:t>
      </w:r>
      <w:r w:rsidR="006D49E5">
        <w:rPr>
          <w:rFonts w:ascii="Times New Roman" w:hAnsi="Times New Roman" w:cs="Times New Roman"/>
          <w:shd w:val="clear" w:color="auto" w:fill="FFFFFF"/>
        </w:rPr>
        <w:t xml:space="preserve">de estrategias según actividades involucradas en asociación con las metas alcanzadas, </w:t>
      </w:r>
      <w:r w:rsidR="00FE0FC1" w:rsidRPr="00075DC5">
        <w:rPr>
          <w:rFonts w:ascii="Times New Roman" w:hAnsi="Times New Roman" w:cs="Times New Roman"/>
          <w:shd w:val="clear" w:color="auto" w:fill="FFFFFF"/>
        </w:rPr>
        <w:t>estas reflejaron lo siguiente:</w:t>
      </w:r>
    </w:p>
    <w:p w14:paraId="38A76852" w14:textId="056FE842" w:rsidR="006D49E5" w:rsidRDefault="00FE0FC1" w:rsidP="00421EB7">
      <w:pPr>
        <w:pStyle w:val="Prrafodelista"/>
        <w:numPr>
          <w:ilvl w:val="0"/>
          <w:numId w:val="6"/>
        </w:numPr>
        <w:spacing w:line="360" w:lineRule="auto"/>
        <w:ind w:left="0" w:firstLine="709"/>
        <w:jc w:val="both"/>
        <w:rPr>
          <w:rFonts w:ascii="Times New Roman" w:hAnsi="Times New Roman" w:cs="Times New Roman"/>
          <w:shd w:val="clear" w:color="auto" w:fill="FFFFFF"/>
        </w:rPr>
      </w:pPr>
      <w:r w:rsidRPr="00421EB7">
        <w:rPr>
          <w:rFonts w:ascii="Times New Roman" w:hAnsi="Times New Roman" w:cs="Times New Roman"/>
          <w:bCs/>
          <w:i/>
          <w:iCs/>
          <w:shd w:val="clear" w:color="auto" w:fill="FFFFFF"/>
        </w:rPr>
        <w:t>E</w:t>
      </w:r>
      <w:r w:rsidR="006D49E5" w:rsidRPr="00421EB7">
        <w:rPr>
          <w:rFonts w:ascii="Times New Roman" w:hAnsi="Times New Roman" w:cs="Times New Roman"/>
          <w:bCs/>
          <w:i/>
          <w:iCs/>
          <w:shd w:val="clear" w:color="auto" w:fill="FFFFFF"/>
        </w:rPr>
        <w:t>strategia de procesos</w:t>
      </w:r>
      <w:r w:rsidRPr="00421EB7">
        <w:rPr>
          <w:rFonts w:ascii="Times New Roman" w:hAnsi="Times New Roman" w:cs="Times New Roman"/>
          <w:bCs/>
          <w:shd w:val="clear" w:color="auto" w:fill="FFFFFF"/>
        </w:rPr>
        <w:t>:</w:t>
      </w:r>
      <w:r w:rsidRPr="00075DC5">
        <w:rPr>
          <w:rFonts w:ascii="Times New Roman" w:hAnsi="Times New Roman" w:cs="Times New Roman"/>
          <w:shd w:val="clear" w:color="auto" w:fill="FFFFFF"/>
        </w:rPr>
        <w:t xml:space="preserve"> </w:t>
      </w:r>
      <w:r w:rsidR="004604AE">
        <w:rPr>
          <w:rFonts w:ascii="Times New Roman" w:hAnsi="Times New Roman" w:cs="Times New Roman"/>
          <w:shd w:val="clear" w:color="auto" w:fill="FFFFFF"/>
        </w:rPr>
        <w:t>d</w:t>
      </w:r>
      <w:r w:rsidR="004604AE" w:rsidRPr="00075DC5">
        <w:rPr>
          <w:rFonts w:ascii="Times New Roman" w:hAnsi="Times New Roman" w:cs="Times New Roman"/>
          <w:shd w:val="clear" w:color="auto" w:fill="FFFFFF"/>
        </w:rPr>
        <w:t xml:space="preserve">istribuir </w:t>
      </w:r>
      <w:r w:rsidRPr="00075DC5">
        <w:rPr>
          <w:rFonts w:ascii="Times New Roman" w:hAnsi="Times New Roman" w:cs="Times New Roman"/>
          <w:shd w:val="clear" w:color="auto" w:fill="FFFFFF"/>
        </w:rPr>
        <w:t xml:space="preserve">las responsabilidades para el desarrollo del Congreso Estatal las Vocaciones Científicas en los jóvenes de Yucatán. </w:t>
      </w:r>
    </w:p>
    <w:p w14:paraId="5453DF4B" w14:textId="4915C8F9" w:rsidR="00FE0FC1" w:rsidRPr="00075DC5" w:rsidRDefault="006D49E5" w:rsidP="00FF6D96">
      <w:pPr>
        <w:pStyle w:val="Prrafodelista"/>
        <w:numPr>
          <w:ilvl w:val="1"/>
          <w:numId w:val="6"/>
        </w:numPr>
        <w:spacing w:line="360" w:lineRule="auto"/>
        <w:jc w:val="both"/>
        <w:rPr>
          <w:rFonts w:ascii="Times New Roman" w:hAnsi="Times New Roman" w:cs="Times New Roman"/>
          <w:shd w:val="clear" w:color="auto" w:fill="FFFFFF"/>
        </w:rPr>
      </w:pPr>
      <w:r w:rsidRPr="00421EB7">
        <w:rPr>
          <w:rFonts w:ascii="Times New Roman" w:hAnsi="Times New Roman" w:cs="Times New Roman"/>
          <w:shd w:val="clear" w:color="auto" w:fill="FFFFFF"/>
        </w:rPr>
        <w:t>Meta:</w:t>
      </w:r>
      <w:r>
        <w:rPr>
          <w:rFonts w:ascii="Times New Roman" w:hAnsi="Times New Roman" w:cs="Times New Roman"/>
          <w:shd w:val="clear" w:color="auto" w:fill="FFFFFF"/>
        </w:rPr>
        <w:t xml:space="preserve"> </w:t>
      </w:r>
      <w:r w:rsidR="004604AE">
        <w:rPr>
          <w:rFonts w:ascii="Times New Roman" w:hAnsi="Times New Roman" w:cs="Times New Roman"/>
          <w:shd w:val="clear" w:color="auto" w:fill="FFFFFF"/>
        </w:rPr>
        <w:t>e</w:t>
      </w:r>
      <w:r w:rsidR="004604AE" w:rsidRPr="00075DC5">
        <w:rPr>
          <w:rFonts w:ascii="Times New Roman" w:hAnsi="Times New Roman" w:cs="Times New Roman"/>
          <w:shd w:val="clear" w:color="auto" w:fill="FFFFFF"/>
        </w:rPr>
        <w:t xml:space="preserve">strategia </w:t>
      </w:r>
      <w:r w:rsidR="00141E02" w:rsidRPr="00075DC5">
        <w:rPr>
          <w:rFonts w:ascii="Times New Roman" w:hAnsi="Times New Roman" w:cs="Times New Roman"/>
          <w:shd w:val="clear" w:color="auto" w:fill="FFFFFF"/>
        </w:rPr>
        <w:t>que s</w:t>
      </w:r>
      <w:r w:rsidR="00FE0FC1" w:rsidRPr="00075DC5">
        <w:rPr>
          <w:rFonts w:ascii="Times New Roman" w:hAnsi="Times New Roman" w:cs="Times New Roman"/>
          <w:shd w:val="clear" w:color="auto" w:fill="FFFFFF"/>
        </w:rPr>
        <w:t>e cumplió al 100% con el env</w:t>
      </w:r>
      <w:r w:rsidR="004A69B1" w:rsidRPr="00075DC5">
        <w:rPr>
          <w:rFonts w:ascii="Times New Roman" w:hAnsi="Times New Roman" w:cs="Times New Roman"/>
          <w:shd w:val="clear" w:color="auto" w:fill="FFFFFF"/>
        </w:rPr>
        <w:t>ío</w:t>
      </w:r>
      <w:r w:rsidR="00FE0FC1" w:rsidRPr="00075DC5">
        <w:rPr>
          <w:rFonts w:ascii="Times New Roman" w:hAnsi="Times New Roman" w:cs="Times New Roman"/>
          <w:shd w:val="clear" w:color="auto" w:fill="FFFFFF"/>
        </w:rPr>
        <w:t xml:space="preserve"> de las invitaciones, sin </w:t>
      </w:r>
      <w:r w:rsidR="00141E02" w:rsidRPr="00075DC5">
        <w:rPr>
          <w:rFonts w:ascii="Times New Roman" w:hAnsi="Times New Roman" w:cs="Times New Roman"/>
          <w:shd w:val="clear" w:color="auto" w:fill="FFFFFF"/>
        </w:rPr>
        <w:t>embargo,</w:t>
      </w:r>
      <w:r w:rsidR="00FE0FC1" w:rsidRPr="00075DC5">
        <w:rPr>
          <w:rFonts w:ascii="Times New Roman" w:hAnsi="Times New Roman" w:cs="Times New Roman"/>
          <w:shd w:val="clear" w:color="auto" w:fill="FFFFFF"/>
        </w:rPr>
        <w:t xml:space="preserve"> la corresponsabilidad hacia el evento </w:t>
      </w:r>
      <w:r w:rsidR="004A69B1" w:rsidRPr="00075DC5">
        <w:rPr>
          <w:rFonts w:ascii="Times New Roman" w:hAnsi="Times New Roman" w:cs="Times New Roman"/>
          <w:shd w:val="clear" w:color="auto" w:fill="FFFFFF"/>
        </w:rPr>
        <w:t>fue en un 50</w:t>
      </w:r>
      <w:r w:rsidR="002715AA">
        <w:rPr>
          <w:rFonts w:ascii="Times New Roman" w:hAnsi="Times New Roman" w:cs="Times New Roman"/>
          <w:shd w:val="clear" w:color="auto" w:fill="FFFFFF"/>
        </w:rPr>
        <w:t>.0 </w:t>
      </w:r>
      <w:r w:rsidR="004A69B1" w:rsidRPr="00075DC5">
        <w:rPr>
          <w:rFonts w:ascii="Times New Roman" w:hAnsi="Times New Roman" w:cs="Times New Roman"/>
          <w:shd w:val="clear" w:color="auto" w:fill="FFFFFF"/>
        </w:rPr>
        <w:t xml:space="preserve">% en los </w:t>
      </w:r>
      <w:r w:rsidR="004A69B1" w:rsidRPr="00075DC5">
        <w:rPr>
          <w:rFonts w:ascii="Times New Roman" w:hAnsi="Times New Roman" w:cs="Times New Roman"/>
          <w:shd w:val="clear" w:color="auto" w:fill="FFFFFF"/>
        </w:rPr>
        <w:lastRenderedPageBreak/>
        <w:t xml:space="preserve">aliados estratégicos (instituciones académicas, lo cual se asocia a la falta de experiencia de la institución </w:t>
      </w:r>
      <w:r w:rsidR="002715AA">
        <w:rPr>
          <w:rFonts w:ascii="Times New Roman" w:hAnsi="Times New Roman" w:cs="Times New Roman"/>
          <w:shd w:val="clear" w:color="auto" w:fill="FFFFFF"/>
        </w:rPr>
        <w:t>sede</w:t>
      </w:r>
      <w:r w:rsidR="002715AA" w:rsidRPr="00075DC5">
        <w:rPr>
          <w:rFonts w:ascii="Times New Roman" w:hAnsi="Times New Roman" w:cs="Times New Roman"/>
          <w:shd w:val="clear" w:color="auto" w:fill="FFFFFF"/>
        </w:rPr>
        <w:t xml:space="preserve"> </w:t>
      </w:r>
      <w:r w:rsidR="004A69B1" w:rsidRPr="00075DC5">
        <w:rPr>
          <w:rFonts w:ascii="Times New Roman" w:hAnsi="Times New Roman" w:cs="Times New Roman"/>
          <w:shd w:val="clear" w:color="auto" w:fill="FFFFFF"/>
        </w:rPr>
        <w:t>del evento en primera instancia y seguido de los tiempos en el destino de los recursos para el desarrollo del proyecto).</w:t>
      </w:r>
    </w:p>
    <w:p w14:paraId="409DD901" w14:textId="63CBE540" w:rsidR="009A6951" w:rsidRDefault="00141E02" w:rsidP="00421EB7">
      <w:pPr>
        <w:pStyle w:val="Prrafodelista"/>
        <w:numPr>
          <w:ilvl w:val="0"/>
          <w:numId w:val="6"/>
        </w:numPr>
        <w:spacing w:line="360" w:lineRule="auto"/>
        <w:ind w:left="0" w:firstLine="709"/>
        <w:jc w:val="both"/>
        <w:rPr>
          <w:rFonts w:ascii="Times New Roman" w:hAnsi="Times New Roman" w:cs="Times New Roman"/>
          <w:shd w:val="clear" w:color="auto" w:fill="FFFFFF"/>
        </w:rPr>
      </w:pPr>
      <w:r w:rsidRPr="00421EB7">
        <w:rPr>
          <w:rFonts w:ascii="Times New Roman" w:hAnsi="Times New Roman" w:cs="Times New Roman"/>
          <w:i/>
          <w:iCs/>
          <w:shd w:val="clear" w:color="auto" w:fill="FFFFFF"/>
        </w:rPr>
        <w:t>E</w:t>
      </w:r>
      <w:r w:rsidR="006D49E5" w:rsidRPr="00421EB7">
        <w:rPr>
          <w:rFonts w:ascii="Times New Roman" w:hAnsi="Times New Roman" w:cs="Times New Roman"/>
          <w:i/>
          <w:iCs/>
          <w:shd w:val="clear" w:color="auto" w:fill="FFFFFF"/>
        </w:rPr>
        <w:t>strategia de difusión</w:t>
      </w:r>
      <w:r w:rsidRPr="00421EB7">
        <w:rPr>
          <w:rFonts w:ascii="Times New Roman" w:hAnsi="Times New Roman" w:cs="Times New Roman"/>
          <w:shd w:val="clear" w:color="auto" w:fill="FFFFFF"/>
        </w:rPr>
        <w:t>:</w:t>
      </w:r>
      <w:r w:rsidRPr="00075DC5">
        <w:rPr>
          <w:rFonts w:ascii="Times New Roman" w:hAnsi="Times New Roman" w:cs="Times New Roman"/>
          <w:shd w:val="clear" w:color="auto" w:fill="FFFFFF"/>
        </w:rPr>
        <w:t xml:space="preserve"> </w:t>
      </w:r>
      <w:r w:rsidR="004604AE">
        <w:rPr>
          <w:rFonts w:ascii="Times New Roman" w:hAnsi="Times New Roman" w:cs="Times New Roman"/>
          <w:shd w:val="clear" w:color="auto" w:fill="FFFFFF"/>
        </w:rPr>
        <w:t>e</w:t>
      </w:r>
      <w:r w:rsidRPr="00075DC5">
        <w:rPr>
          <w:rFonts w:ascii="Times New Roman" w:hAnsi="Times New Roman" w:cs="Times New Roman"/>
          <w:shd w:val="clear" w:color="auto" w:fill="FFFFFF"/>
        </w:rPr>
        <w:t xml:space="preserve">stablecer la frecuencia de </w:t>
      </w:r>
      <w:r w:rsidR="009A6951">
        <w:rPr>
          <w:rFonts w:ascii="Times New Roman" w:hAnsi="Times New Roman" w:cs="Times New Roman"/>
          <w:shd w:val="clear" w:color="auto" w:fill="FFFFFF"/>
        </w:rPr>
        <w:t>difusión</w:t>
      </w:r>
      <w:r w:rsidRPr="00075DC5">
        <w:rPr>
          <w:rFonts w:ascii="Times New Roman" w:hAnsi="Times New Roman" w:cs="Times New Roman"/>
          <w:shd w:val="clear" w:color="auto" w:fill="FFFFFF"/>
        </w:rPr>
        <w:t xml:space="preserve"> de la publicidad asociada a las actividades involucradas en el programa. </w:t>
      </w:r>
    </w:p>
    <w:p w14:paraId="006DC19D" w14:textId="0EE54126" w:rsidR="00141E02" w:rsidRPr="00075DC5" w:rsidRDefault="009A6951" w:rsidP="00FF6D96">
      <w:pPr>
        <w:pStyle w:val="Prrafodelista"/>
        <w:numPr>
          <w:ilvl w:val="1"/>
          <w:numId w:val="6"/>
        </w:numPr>
        <w:spacing w:line="360" w:lineRule="auto"/>
        <w:jc w:val="both"/>
        <w:rPr>
          <w:rFonts w:ascii="Times New Roman" w:hAnsi="Times New Roman" w:cs="Times New Roman"/>
          <w:shd w:val="clear" w:color="auto" w:fill="FFFFFF"/>
        </w:rPr>
      </w:pPr>
      <w:r w:rsidRPr="00421EB7">
        <w:rPr>
          <w:rFonts w:ascii="Times New Roman" w:hAnsi="Times New Roman" w:cs="Times New Roman"/>
          <w:shd w:val="clear" w:color="auto" w:fill="FFFFFF"/>
        </w:rPr>
        <w:t>Meta:</w:t>
      </w:r>
      <w:r>
        <w:rPr>
          <w:rFonts w:ascii="Times New Roman" w:hAnsi="Times New Roman" w:cs="Times New Roman"/>
          <w:shd w:val="clear" w:color="auto" w:fill="FFFFFF"/>
        </w:rPr>
        <w:t xml:space="preserve"> </w:t>
      </w:r>
      <w:r w:rsidR="004604AE">
        <w:rPr>
          <w:rFonts w:ascii="Times New Roman" w:hAnsi="Times New Roman" w:cs="Times New Roman"/>
          <w:shd w:val="clear" w:color="auto" w:fill="FFFFFF"/>
        </w:rPr>
        <w:t>e</w:t>
      </w:r>
      <w:r w:rsidR="004604AE" w:rsidRPr="00075DC5">
        <w:rPr>
          <w:rFonts w:ascii="Times New Roman" w:hAnsi="Times New Roman" w:cs="Times New Roman"/>
          <w:shd w:val="clear" w:color="auto" w:fill="FFFFFF"/>
        </w:rPr>
        <w:t xml:space="preserve">sta </w:t>
      </w:r>
      <w:r w:rsidR="00141E02" w:rsidRPr="00075DC5">
        <w:rPr>
          <w:rFonts w:ascii="Times New Roman" w:hAnsi="Times New Roman" w:cs="Times New Roman"/>
          <w:shd w:val="clear" w:color="auto" w:fill="FFFFFF"/>
        </w:rPr>
        <w:t>estrategia se logra de forma intensiva, considerando los recursos destinados</w:t>
      </w:r>
      <w:r w:rsidR="00807FB5" w:rsidRPr="00075DC5">
        <w:rPr>
          <w:rFonts w:ascii="Times New Roman" w:hAnsi="Times New Roman" w:cs="Times New Roman"/>
          <w:shd w:val="clear" w:color="auto" w:fill="FFFFFF"/>
        </w:rPr>
        <w:t xml:space="preserve"> al 30 de septiembre de 2020 y la implementación del proyecto 22 y 23 de octubre del mismo año (considerando que para la difusión de esta se requiere de la aprobación de Comunicación Social de la entidad receptora</w:t>
      </w:r>
      <w:r w:rsidR="0030634B" w:rsidRPr="00075DC5">
        <w:rPr>
          <w:rFonts w:ascii="Times New Roman" w:hAnsi="Times New Roman" w:cs="Times New Roman"/>
          <w:shd w:val="clear" w:color="auto" w:fill="FFFFFF"/>
        </w:rPr>
        <w:t>)</w:t>
      </w:r>
      <w:r w:rsidR="0030634B">
        <w:rPr>
          <w:rFonts w:ascii="Times New Roman" w:hAnsi="Times New Roman" w:cs="Times New Roman"/>
          <w:shd w:val="clear" w:color="auto" w:fill="FFFFFF"/>
        </w:rPr>
        <w:t>.</w:t>
      </w:r>
      <w:r w:rsidR="0030634B" w:rsidRPr="00075DC5">
        <w:rPr>
          <w:rFonts w:ascii="Times New Roman" w:hAnsi="Times New Roman" w:cs="Times New Roman"/>
          <w:shd w:val="clear" w:color="auto" w:fill="FFFFFF"/>
        </w:rPr>
        <w:t xml:space="preserve"> </w:t>
      </w:r>
      <w:r w:rsidR="0030634B">
        <w:rPr>
          <w:rFonts w:ascii="Times New Roman" w:hAnsi="Times New Roman" w:cs="Times New Roman"/>
          <w:shd w:val="clear" w:color="auto" w:fill="FFFFFF"/>
        </w:rPr>
        <w:t>F</w:t>
      </w:r>
      <w:r w:rsidR="0030634B" w:rsidRPr="00075DC5">
        <w:rPr>
          <w:rFonts w:ascii="Times New Roman" w:hAnsi="Times New Roman" w:cs="Times New Roman"/>
          <w:shd w:val="clear" w:color="auto" w:fill="FFFFFF"/>
        </w:rPr>
        <w:t xml:space="preserve">ue </w:t>
      </w:r>
      <w:r w:rsidR="00807FB5" w:rsidRPr="00075DC5">
        <w:rPr>
          <w:rFonts w:ascii="Times New Roman" w:hAnsi="Times New Roman" w:cs="Times New Roman"/>
          <w:shd w:val="clear" w:color="auto" w:fill="FFFFFF"/>
        </w:rPr>
        <w:t xml:space="preserve">cubierto en 15 días de manera intensa utilizando las redes sociales (Facebook e Instagram) y la prensa para su divulgación, así como por medio de los aliados estratégicos y otras instancias </w:t>
      </w:r>
      <w:r w:rsidR="00B2031B">
        <w:rPr>
          <w:rFonts w:ascii="Times New Roman" w:hAnsi="Times New Roman" w:cs="Times New Roman"/>
          <w:shd w:val="clear" w:color="auto" w:fill="FFFFFF"/>
        </w:rPr>
        <w:t xml:space="preserve">con el fin de </w:t>
      </w:r>
      <w:r w:rsidR="00807FB5" w:rsidRPr="00075DC5">
        <w:rPr>
          <w:rFonts w:ascii="Times New Roman" w:hAnsi="Times New Roman" w:cs="Times New Roman"/>
          <w:shd w:val="clear" w:color="auto" w:fill="FFFFFF"/>
        </w:rPr>
        <w:t xml:space="preserve">contar con la participación </w:t>
      </w:r>
      <w:r w:rsidR="00B2031B">
        <w:rPr>
          <w:rFonts w:ascii="Times New Roman" w:hAnsi="Times New Roman" w:cs="Times New Roman"/>
          <w:shd w:val="clear" w:color="auto" w:fill="FFFFFF"/>
        </w:rPr>
        <w:t xml:space="preserve">y asistencia </w:t>
      </w:r>
      <w:r w:rsidR="00807FB5" w:rsidRPr="00075DC5">
        <w:rPr>
          <w:rFonts w:ascii="Times New Roman" w:hAnsi="Times New Roman" w:cs="Times New Roman"/>
          <w:shd w:val="clear" w:color="auto" w:fill="FFFFFF"/>
        </w:rPr>
        <w:t>virtual de los jóvenes de Yucatán.</w:t>
      </w:r>
      <w:r w:rsidR="008C1B31" w:rsidRPr="00075DC5">
        <w:rPr>
          <w:rFonts w:ascii="Times New Roman" w:hAnsi="Times New Roman" w:cs="Times New Roman"/>
          <w:shd w:val="clear" w:color="auto" w:fill="FFFFFF"/>
        </w:rPr>
        <w:t xml:space="preserve"> Indicador = 40 </w:t>
      </w:r>
      <w:r w:rsidR="008C1B31" w:rsidRPr="00421EB7">
        <w:rPr>
          <w:rFonts w:ascii="Times New Roman" w:hAnsi="Times New Roman" w:cs="Times New Roman"/>
          <w:i/>
          <w:iCs/>
          <w:shd w:val="clear" w:color="auto" w:fill="FFFFFF"/>
        </w:rPr>
        <w:t>flyers</w:t>
      </w:r>
      <w:r w:rsidR="008C1B31" w:rsidRPr="00075DC5">
        <w:rPr>
          <w:rFonts w:ascii="Times New Roman" w:hAnsi="Times New Roman" w:cs="Times New Roman"/>
          <w:shd w:val="clear" w:color="auto" w:fill="FFFFFF"/>
        </w:rPr>
        <w:t xml:space="preserve"> aprobados/40 diseñados = 1 </w:t>
      </w:r>
      <w:r w:rsidR="00E77EA8" w:rsidRPr="001C32D5">
        <w:rPr>
          <w:rFonts w:ascii="Times New Roman" w:hAnsi="Times New Roman" w:cs="Times New Roman"/>
          <w:shd w:val="clear" w:color="auto" w:fill="FFFFFF"/>
        </w:rPr>
        <w:t>×</w:t>
      </w:r>
      <w:r w:rsidR="008C1B31" w:rsidRPr="00075DC5">
        <w:rPr>
          <w:rFonts w:ascii="Times New Roman" w:hAnsi="Times New Roman" w:cs="Times New Roman"/>
          <w:shd w:val="clear" w:color="auto" w:fill="FFFFFF"/>
        </w:rPr>
        <w:t xml:space="preserve"> 100 =</w:t>
      </w:r>
      <w:r w:rsidR="0030634B">
        <w:rPr>
          <w:rFonts w:ascii="Times New Roman" w:hAnsi="Times New Roman" w:cs="Times New Roman"/>
          <w:shd w:val="clear" w:color="auto" w:fill="FFFFFF"/>
        </w:rPr>
        <w:t xml:space="preserve"> </w:t>
      </w:r>
      <w:r w:rsidR="008C1B31" w:rsidRPr="00075DC5">
        <w:rPr>
          <w:rFonts w:ascii="Times New Roman" w:hAnsi="Times New Roman" w:cs="Times New Roman"/>
          <w:shd w:val="clear" w:color="auto" w:fill="FFFFFF"/>
        </w:rPr>
        <w:t>100</w:t>
      </w:r>
      <w:r w:rsidR="0030634B">
        <w:rPr>
          <w:rFonts w:ascii="Times New Roman" w:hAnsi="Times New Roman" w:cs="Times New Roman"/>
          <w:shd w:val="clear" w:color="auto" w:fill="FFFFFF"/>
        </w:rPr>
        <w:t> </w:t>
      </w:r>
      <w:r w:rsidR="00C029B1" w:rsidRPr="00075DC5">
        <w:rPr>
          <w:rFonts w:ascii="Times New Roman" w:hAnsi="Times New Roman" w:cs="Times New Roman"/>
          <w:shd w:val="clear" w:color="auto" w:fill="FFFFFF"/>
        </w:rPr>
        <w:t>%</w:t>
      </w:r>
      <w:r w:rsidR="008C1B31" w:rsidRPr="00075DC5">
        <w:rPr>
          <w:rFonts w:ascii="Times New Roman" w:hAnsi="Times New Roman" w:cs="Times New Roman"/>
          <w:shd w:val="clear" w:color="auto" w:fill="FFFFFF"/>
        </w:rPr>
        <w:t xml:space="preserve"> de efectividad.</w:t>
      </w:r>
    </w:p>
    <w:p w14:paraId="294C2A03" w14:textId="0C011803" w:rsidR="009A6951" w:rsidRDefault="00F17BD6" w:rsidP="00421EB7">
      <w:pPr>
        <w:pStyle w:val="Prrafodelista"/>
        <w:numPr>
          <w:ilvl w:val="0"/>
          <w:numId w:val="6"/>
        </w:numPr>
        <w:spacing w:line="360" w:lineRule="auto"/>
        <w:ind w:left="0" w:firstLine="709"/>
        <w:jc w:val="both"/>
        <w:rPr>
          <w:rFonts w:ascii="Times New Roman" w:hAnsi="Times New Roman" w:cs="Times New Roman"/>
          <w:shd w:val="clear" w:color="auto" w:fill="FFFFFF"/>
        </w:rPr>
      </w:pPr>
      <w:r w:rsidRPr="00421EB7">
        <w:rPr>
          <w:rFonts w:ascii="Times New Roman" w:hAnsi="Times New Roman" w:cs="Times New Roman"/>
          <w:i/>
          <w:iCs/>
          <w:shd w:val="clear" w:color="auto" w:fill="FFFFFF"/>
        </w:rPr>
        <w:t>E</w:t>
      </w:r>
      <w:r w:rsidR="006D49E5" w:rsidRPr="00421EB7">
        <w:rPr>
          <w:rFonts w:ascii="Times New Roman" w:hAnsi="Times New Roman" w:cs="Times New Roman"/>
          <w:i/>
          <w:iCs/>
          <w:shd w:val="clear" w:color="auto" w:fill="FFFFFF"/>
        </w:rPr>
        <w:t xml:space="preserve">strategia </w:t>
      </w:r>
      <w:r w:rsidR="009A6951" w:rsidRPr="00421EB7">
        <w:rPr>
          <w:rFonts w:ascii="Times New Roman" w:hAnsi="Times New Roman" w:cs="Times New Roman"/>
          <w:i/>
          <w:iCs/>
          <w:shd w:val="clear" w:color="auto" w:fill="FFFFFF"/>
        </w:rPr>
        <w:t>de comunicación digital</w:t>
      </w:r>
      <w:r w:rsidRPr="00075DC5">
        <w:rPr>
          <w:rFonts w:ascii="Times New Roman" w:hAnsi="Times New Roman" w:cs="Times New Roman"/>
          <w:shd w:val="clear" w:color="auto" w:fill="FFFFFF"/>
        </w:rPr>
        <w:t xml:space="preserve">: </w:t>
      </w:r>
      <w:r w:rsidR="006858A7">
        <w:rPr>
          <w:rFonts w:ascii="Times New Roman" w:hAnsi="Times New Roman" w:cs="Times New Roman"/>
          <w:shd w:val="clear" w:color="auto" w:fill="FFFFFF"/>
        </w:rPr>
        <w:t>p</w:t>
      </w:r>
      <w:r w:rsidRPr="00075DC5">
        <w:rPr>
          <w:rFonts w:ascii="Times New Roman" w:hAnsi="Times New Roman" w:cs="Times New Roman"/>
          <w:shd w:val="clear" w:color="auto" w:fill="FFFFFF"/>
        </w:rPr>
        <w:t xml:space="preserve">rogramar las pruebas para la transmisión de las conferencias, talleres, cursos y ponencias generadas para y por los jóvenes estudiantes de nivel superior. </w:t>
      </w:r>
    </w:p>
    <w:p w14:paraId="38D7B11D" w14:textId="59C561CF" w:rsidR="00807FB5" w:rsidRPr="00075DC5" w:rsidRDefault="009A6951" w:rsidP="00FF6D96">
      <w:pPr>
        <w:pStyle w:val="Prrafodelista"/>
        <w:numPr>
          <w:ilvl w:val="1"/>
          <w:numId w:val="6"/>
        </w:numPr>
        <w:spacing w:line="360" w:lineRule="auto"/>
        <w:jc w:val="both"/>
        <w:rPr>
          <w:rFonts w:ascii="Times New Roman" w:hAnsi="Times New Roman" w:cs="Times New Roman"/>
          <w:shd w:val="clear" w:color="auto" w:fill="FFFFFF"/>
        </w:rPr>
      </w:pPr>
      <w:r w:rsidRPr="00421EB7">
        <w:rPr>
          <w:rFonts w:ascii="Times New Roman" w:hAnsi="Times New Roman" w:cs="Times New Roman"/>
          <w:shd w:val="clear" w:color="auto" w:fill="FFFFFF"/>
        </w:rPr>
        <w:t>Meta</w:t>
      </w:r>
      <w:r w:rsidRPr="009A6951">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6858A7">
        <w:rPr>
          <w:rFonts w:ascii="Times New Roman" w:hAnsi="Times New Roman" w:cs="Times New Roman"/>
          <w:shd w:val="clear" w:color="auto" w:fill="FFFFFF"/>
        </w:rPr>
        <w:t>e</w:t>
      </w:r>
      <w:r>
        <w:rPr>
          <w:rFonts w:ascii="Times New Roman" w:hAnsi="Times New Roman" w:cs="Times New Roman"/>
          <w:shd w:val="clear" w:color="auto" w:fill="FFFFFF"/>
        </w:rPr>
        <w:t xml:space="preserve">l indicador reflejó que </w:t>
      </w:r>
      <w:r w:rsidR="00F17BD6" w:rsidRPr="00075DC5">
        <w:rPr>
          <w:rFonts w:ascii="Times New Roman" w:hAnsi="Times New Roman" w:cs="Times New Roman"/>
          <w:shd w:val="clear" w:color="auto" w:fill="FFFFFF"/>
        </w:rPr>
        <w:t>100</w:t>
      </w:r>
      <w:r w:rsidR="006858A7">
        <w:rPr>
          <w:rFonts w:ascii="Times New Roman" w:hAnsi="Times New Roman" w:cs="Times New Roman"/>
          <w:shd w:val="clear" w:color="auto" w:fill="FFFFFF"/>
        </w:rPr>
        <w:t> </w:t>
      </w:r>
      <w:r w:rsidR="00F17BD6" w:rsidRPr="00075DC5">
        <w:rPr>
          <w:rFonts w:ascii="Times New Roman" w:hAnsi="Times New Roman" w:cs="Times New Roman"/>
          <w:shd w:val="clear" w:color="auto" w:fill="FFFFFF"/>
        </w:rPr>
        <w:t xml:space="preserve">% de los conferencistas, talleristas y ponentes realizaron las pruebas de conectividad de manera previa al evento. </w:t>
      </w:r>
      <w:r w:rsidR="00255360" w:rsidRPr="00075DC5">
        <w:rPr>
          <w:rFonts w:ascii="Times New Roman" w:hAnsi="Times New Roman" w:cs="Times New Roman"/>
          <w:shd w:val="clear" w:color="auto" w:fill="FFFFFF"/>
        </w:rPr>
        <w:t>Indicadores ponentes</w:t>
      </w:r>
      <w:r w:rsidR="00F17BD6" w:rsidRPr="00075DC5">
        <w:rPr>
          <w:rFonts w:ascii="Times New Roman" w:hAnsi="Times New Roman" w:cs="Times New Roman"/>
          <w:shd w:val="clear" w:color="auto" w:fill="FFFFFF"/>
        </w:rPr>
        <w:t xml:space="preserve"> = 105 autores ponentes realizan pruebas de </w:t>
      </w:r>
      <w:r w:rsidR="00DB4F50" w:rsidRPr="00075DC5">
        <w:rPr>
          <w:rFonts w:ascii="Times New Roman" w:hAnsi="Times New Roman" w:cs="Times New Roman"/>
          <w:shd w:val="clear" w:color="auto" w:fill="FFFFFF"/>
        </w:rPr>
        <w:t>conectividad</w:t>
      </w:r>
      <w:r w:rsidR="00F17BD6" w:rsidRPr="00075DC5">
        <w:rPr>
          <w:rFonts w:ascii="Times New Roman" w:hAnsi="Times New Roman" w:cs="Times New Roman"/>
          <w:shd w:val="clear" w:color="auto" w:fill="FFFFFF"/>
        </w:rPr>
        <w:t>/</w:t>
      </w:r>
      <w:r w:rsidR="00DB4F50" w:rsidRPr="00075DC5">
        <w:rPr>
          <w:rFonts w:ascii="Times New Roman" w:hAnsi="Times New Roman" w:cs="Times New Roman"/>
          <w:shd w:val="clear" w:color="auto" w:fill="FFFFFF"/>
        </w:rPr>
        <w:t xml:space="preserve">100 ponentes programados = 1.05 </w:t>
      </w:r>
      <w:r w:rsidR="001C32D5" w:rsidRPr="001C32D5">
        <w:rPr>
          <w:rFonts w:ascii="Times New Roman" w:hAnsi="Times New Roman" w:cs="Times New Roman"/>
          <w:shd w:val="clear" w:color="auto" w:fill="FFFFFF"/>
        </w:rPr>
        <w:t>×</w:t>
      </w:r>
      <w:r w:rsidR="00DB4F50" w:rsidRPr="00075DC5">
        <w:rPr>
          <w:rFonts w:ascii="Times New Roman" w:hAnsi="Times New Roman" w:cs="Times New Roman"/>
          <w:shd w:val="clear" w:color="auto" w:fill="FFFFFF"/>
        </w:rPr>
        <w:t xml:space="preserve"> 100</w:t>
      </w:r>
      <w:r w:rsidR="00165757">
        <w:rPr>
          <w:rFonts w:ascii="Times New Roman" w:hAnsi="Times New Roman" w:cs="Times New Roman"/>
          <w:shd w:val="clear" w:color="auto" w:fill="FFFFFF"/>
        </w:rPr>
        <w:t xml:space="preserve"> </w:t>
      </w:r>
      <w:r w:rsidR="00DB4F50" w:rsidRPr="00075DC5">
        <w:rPr>
          <w:rFonts w:ascii="Times New Roman" w:hAnsi="Times New Roman" w:cs="Times New Roman"/>
          <w:shd w:val="clear" w:color="auto" w:fill="FFFFFF"/>
        </w:rPr>
        <w:t>= 105</w:t>
      </w:r>
      <w:r w:rsidR="006858A7">
        <w:rPr>
          <w:rFonts w:ascii="Times New Roman" w:hAnsi="Times New Roman" w:cs="Times New Roman"/>
          <w:shd w:val="clear" w:color="auto" w:fill="FFFFFF"/>
        </w:rPr>
        <w:t> </w:t>
      </w:r>
      <w:r w:rsidR="00DB4F50" w:rsidRPr="00075DC5">
        <w:rPr>
          <w:rFonts w:ascii="Times New Roman" w:hAnsi="Times New Roman" w:cs="Times New Roman"/>
          <w:shd w:val="clear" w:color="auto" w:fill="FFFFFF"/>
        </w:rPr>
        <w:t>%</w:t>
      </w:r>
    </w:p>
    <w:p w14:paraId="7B187D07" w14:textId="04461C7E" w:rsidR="009A6951" w:rsidRDefault="00255360" w:rsidP="00421EB7">
      <w:pPr>
        <w:pStyle w:val="Prrafodelista"/>
        <w:numPr>
          <w:ilvl w:val="0"/>
          <w:numId w:val="6"/>
        </w:numPr>
        <w:spacing w:line="360" w:lineRule="auto"/>
        <w:ind w:left="0" w:firstLine="709"/>
        <w:jc w:val="both"/>
        <w:rPr>
          <w:rFonts w:ascii="Times New Roman" w:hAnsi="Times New Roman" w:cs="Times New Roman"/>
          <w:shd w:val="clear" w:color="auto" w:fill="FFFFFF"/>
        </w:rPr>
      </w:pPr>
      <w:r w:rsidRPr="00421EB7">
        <w:rPr>
          <w:rFonts w:ascii="Times New Roman" w:hAnsi="Times New Roman" w:cs="Times New Roman"/>
          <w:i/>
          <w:iCs/>
          <w:shd w:val="clear" w:color="auto" w:fill="FFFFFF"/>
        </w:rPr>
        <w:t>E</w:t>
      </w:r>
      <w:r w:rsidR="006D49E5" w:rsidRPr="00421EB7">
        <w:rPr>
          <w:rFonts w:ascii="Times New Roman" w:hAnsi="Times New Roman" w:cs="Times New Roman"/>
          <w:i/>
          <w:iCs/>
          <w:shd w:val="clear" w:color="auto" w:fill="FFFFFF"/>
        </w:rPr>
        <w:t xml:space="preserve">strategia </w:t>
      </w:r>
      <w:r w:rsidR="009A6951" w:rsidRPr="00421EB7">
        <w:rPr>
          <w:rFonts w:ascii="Times New Roman" w:hAnsi="Times New Roman" w:cs="Times New Roman"/>
          <w:i/>
          <w:iCs/>
          <w:shd w:val="clear" w:color="auto" w:fill="FFFFFF"/>
        </w:rPr>
        <w:t xml:space="preserve">de </w:t>
      </w:r>
      <w:r w:rsidR="00BD0A0A" w:rsidRPr="00421EB7">
        <w:rPr>
          <w:rFonts w:ascii="Times New Roman" w:hAnsi="Times New Roman" w:cs="Times New Roman"/>
          <w:i/>
          <w:iCs/>
          <w:shd w:val="clear" w:color="auto" w:fill="FFFFFF"/>
        </w:rPr>
        <w:t>divulgación</w:t>
      </w:r>
      <w:r w:rsidRPr="00075DC5">
        <w:rPr>
          <w:rFonts w:ascii="Times New Roman" w:hAnsi="Times New Roman" w:cs="Times New Roman"/>
          <w:shd w:val="clear" w:color="auto" w:fill="FFFFFF"/>
        </w:rPr>
        <w:t xml:space="preserve">: </w:t>
      </w:r>
      <w:r w:rsidR="006858A7">
        <w:rPr>
          <w:rFonts w:ascii="Times New Roman" w:hAnsi="Times New Roman" w:cs="Times New Roman"/>
          <w:shd w:val="clear" w:color="auto" w:fill="FFFFFF"/>
        </w:rPr>
        <w:t>e</w:t>
      </w:r>
      <w:r w:rsidRPr="00075DC5">
        <w:rPr>
          <w:rFonts w:ascii="Times New Roman" w:hAnsi="Times New Roman" w:cs="Times New Roman"/>
          <w:shd w:val="clear" w:color="auto" w:fill="FFFFFF"/>
        </w:rPr>
        <w:t xml:space="preserve">valuar el registro de participantes al evento y conectividad virtual. </w:t>
      </w:r>
    </w:p>
    <w:p w14:paraId="7123C5C3" w14:textId="10BFBC88" w:rsidR="00255360" w:rsidRPr="00075DC5" w:rsidRDefault="009A6951" w:rsidP="00FF6D96">
      <w:pPr>
        <w:pStyle w:val="Prrafodelista"/>
        <w:numPr>
          <w:ilvl w:val="1"/>
          <w:numId w:val="6"/>
        </w:numPr>
        <w:spacing w:line="360" w:lineRule="auto"/>
        <w:jc w:val="both"/>
        <w:rPr>
          <w:rFonts w:ascii="Times New Roman" w:hAnsi="Times New Roman" w:cs="Times New Roman"/>
          <w:shd w:val="clear" w:color="auto" w:fill="FFFFFF"/>
        </w:rPr>
      </w:pPr>
      <w:r w:rsidRPr="00421EB7">
        <w:rPr>
          <w:rFonts w:ascii="Times New Roman" w:hAnsi="Times New Roman" w:cs="Times New Roman"/>
          <w:shd w:val="clear" w:color="auto" w:fill="FFFFFF"/>
        </w:rPr>
        <w:t>Meta</w:t>
      </w:r>
      <w:r w:rsidRPr="009A6951">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6858A7">
        <w:rPr>
          <w:rFonts w:ascii="Times New Roman" w:hAnsi="Times New Roman" w:cs="Times New Roman"/>
          <w:shd w:val="clear" w:color="auto" w:fill="FFFFFF"/>
        </w:rPr>
        <w:t>l</w:t>
      </w:r>
      <w:r w:rsidR="00950012" w:rsidRPr="00075DC5">
        <w:rPr>
          <w:rFonts w:ascii="Times New Roman" w:hAnsi="Times New Roman" w:cs="Times New Roman"/>
          <w:shd w:val="clear" w:color="auto" w:fill="FFFFFF"/>
        </w:rPr>
        <w:t xml:space="preserve">os resultados de la evaluación de los </w:t>
      </w:r>
      <w:r w:rsidR="000E0EE7" w:rsidRPr="00075DC5">
        <w:rPr>
          <w:rFonts w:ascii="Times New Roman" w:hAnsi="Times New Roman" w:cs="Times New Roman"/>
          <w:shd w:val="clear" w:color="auto" w:fill="FFFFFF"/>
        </w:rPr>
        <w:t xml:space="preserve">siguientes </w:t>
      </w:r>
      <w:r w:rsidR="00950012" w:rsidRPr="00075DC5">
        <w:rPr>
          <w:rFonts w:ascii="Times New Roman" w:hAnsi="Times New Roman" w:cs="Times New Roman"/>
          <w:shd w:val="clear" w:color="auto" w:fill="FFFFFF"/>
        </w:rPr>
        <w:t>indicadores</w:t>
      </w:r>
      <w:r w:rsidR="000E0EE7" w:rsidRPr="00075DC5">
        <w:rPr>
          <w:rFonts w:ascii="Times New Roman" w:hAnsi="Times New Roman" w:cs="Times New Roman"/>
          <w:shd w:val="clear" w:color="auto" w:fill="FFFFFF"/>
        </w:rPr>
        <w:t>:</w:t>
      </w:r>
    </w:p>
    <w:p w14:paraId="38360F00" w14:textId="3AAF28D3" w:rsidR="000E0EE7" w:rsidRPr="00ED036E" w:rsidRDefault="000E0EE7" w:rsidP="00FF6D96">
      <w:pPr>
        <w:pStyle w:val="Prrafodelista"/>
        <w:numPr>
          <w:ilvl w:val="2"/>
          <w:numId w:val="6"/>
        </w:numPr>
        <w:spacing w:line="360" w:lineRule="auto"/>
        <w:jc w:val="both"/>
        <w:rPr>
          <w:rFonts w:ascii="Times New Roman" w:hAnsi="Times New Roman" w:cs="Times New Roman"/>
        </w:rPr>
      </w:pPr>
      <w:r w:rsidRPr="00716FD1">
        <w:rPr>
          <w:rFonts w:ascii="Times New Roman" w:hAnsi="Times New Roman" w:cs="Times New Roman"/>
        </w:rPr>
        <w:t>Visualizando el evento = más de 11</w:t>
      </w:r>
      <w:r w:rsidR="001C32D5">
        <w:rPr>
          <w:rFonts w:ascii="Times New Roman" w:hAnsi="Times New Roman" w:cs="Times New Roman"/>
        </w:rPr>
        <w:t> </w:t>
      </w:r>
      <w:r w:rsidRPr="00716FD1">
        <w:rPr>
          <w:rFonts w:ascii="Times New Roman" w:hAnsi="Times New Roman" w:cs="Times New Roman"/>
        </w:rPr>
        <w:t>000 alumnos (</w:t>
      </w:r>
      <w:r w:rsidRPr="00ED036E">
        <w:rPr>
          <w:rFonts w:ascii="Times New Roman" w:hAnsi="Times New Roman" w:cs="Times New Roman"/>
        </w:rPr>
        <w:t xml:space="preserve">enlace </w:t>
      </w:r>
      <w:r w:rsidRPr="003D62E4">
        <w:rPr>
          <w:rFonts w:ascii="Times New Roman" w:hAnsi="Times New Roman" w:cs="Times New Roman"/>
        </w:rPr>
        <w:t>http://vc20.utmetropolitana.edu.mx/Default.aspx</w:t>
      </w:r>
      <w:r w:rsidRPr="00ED036E">
        <w:rPr>
          <w:rFonts w:ascii="Times New Roman" w:hAnsi="Times New Roman" w:cs="Times New Roman"/>
        </w:rPr>
        <w:t xml:space="preserve"> )</w:t>
      </w:r>
    </w:p>
    <w:p w14:paraId="11DDB970" w14:textId="1A0CD3B4" w:rsidR="000E0EE7" w:rsidRPr="00ED036E" w:rsidRDefault="000E0EE7" w:rsidP="00FF6D96">
      <w:pPr>
        <w:pStyle w:val="Prrafodelista"/>
        <w:numPr>
          <w:ilvl w:val="2"/>
          <w:numId w:val="6"/>
        </w:numPr>
        <w:spacing w:line="360" w:lineRule="auto"/>
        <w:jc w:val="both"/>
        <w:rPr>
          <w:rFonts w:ascii="Times New Roman" w:hAnsi="Times New Roman" w:cs="Times New Roman"/>
        </w:rPr>
      </w:pPr>
      <w:r w:rsidRPr="00ED036E">
        <w:rPr>
          <w:rFonts w:ascii="Times New Roman" w:hAnsi="Times New Roman" w:cs="Times New Roman"/>
        </w:rPr>
        <w:t xml:space="preserve">Resultados alcanzados en el Congreso Estatal </w:t>
      </w:r>
      <w:r w:rsidR="00E77EA8">
        <w:rPr>
          <w:rFonts w:ascii="Times New Roman" w:hAnsi="Times New Roman" w:cs="Times New Roman"/>
        </w:rPr>
        <w:t>l</w:t>
      </w:r>
      <w:r w:rsidR="00E77EA8" w:rsidRPr="00ED036E">
        <w:rPr>
          <w:rFonts w:ascii="Times New Roman" w:hAnsi="Times New Roman" w:cs="Times New Roman"/>
        </w:rPr>
        <w:t xml:space="preserve">as </w:t>
      </w:r>
      <w:r w:rsidRPr="00ED036E">
        <w:rPr>
          <w:rFonts w:ascii="Times New Roman" w:hAnsi="Times New Roman" w:cs="Times New Roman"/>
        </w:rPr>
        <w:t>Vocaciones Científicas en los Jóvenes de Yucatán</w:t>
      </w:r>
      <w:r w:rsidR="00E77EA8">
        <w:rPr>
          <w:rFonts w:ascii="Times New Roman" w:hAnsi="Times New Roman" w:cs="Times New Roman"/>
        </w:rPr>
        <w:t>:</w:t>
      </w:r>
      <w:r w:rsidR="00E77EA8" w:rsidRPr="00ED036E">
        <w:rPr>
          <w:rFonts w:ascii="Times New Roman" w:hAnsi="Times New Roman" w:cs="Times New Roman"/>
        </w:rPr>
        <w:t xml:space="preserve"> </w:t>
      </w:r>
    </w:p>
    <w:p w14:paraId="021FBD4E" w14:textId="321A8027"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42.46</w:t>
      </w:r>
      <w:r w:rsidR="001C32D5">
        <w:rPr>
          <w:rFonts w:ascii="Times New Roman" w:hAnsi="Times New Roman" w:cs="Times New Roman"/>
        </w:rPr>
        <w:t> </w:t>
      </w:r>
      <w:r w:rsidRPr="00ED036E">
        <w:rPr>
          <w:rFonts w:ascii="Times New Roman" w:hAnsi="Times New Roman" w:cs="Times New Roman"/>
        </w:rPr>
        <w:t xml:space="preserve">% </w:t>
      </w:r>
      <w:r w:rsidR="00E77EA8">
        <w:rPr>
          <w:rFonts w:ascii="Times New Roman" w:hAnsi="Times New Roman" w:cs="Times New Roman"/>
        </w:rPr>
        <w:t xml:space="preserve">de los asistentes </w:t>
      </w:r>
      <w:r w:rsidR="001C32D5">
        <w:rPr>
          <w:rFonts w:ascii="Times New Roman" w:hAnsi="Times New Roman" w:cs="Times New Roman"/>
        </w:rPr>
        <w:t>eran</w:t>
      </w:r>
      <w:r w:rsidR="00E77EA8">
        <w:rPr>
          <w:rFonts w:ascii="Times New Roman" w:hAnsi="Times New Roman" w:cs="Times New Roman"/>
        </w:rPr>
        <w:t xml:space="preserve"> </w:t>
      </w:r>
      <w:r w:rsidRPr="00ED036E">
        <w:rPr>
          <w:rFonts w:ascii="Times New Roman" w:hAnsi="Times New Roman" w:cs="Times New Roman"/>
        </w:rPr>
        <w:t>mujeres (2040) y el restante 54.01</w:t>
      </w:r>
      <w:r w:rsidR="001C32D5">
        <w:rPr>
          <w:rFonts w:ascii="Times New Roman" w:hAnsi="Times New Roman" w:cs="Times New Roman"/>
        </w:rPr>
        <w:t> </w:t>
      </w:r>
      <w:r w:rsidRPr="00ED036E">
        <w:rPr>
          <w:rFonts w:ascii="Times New Roman" w:hAnsi="Times New Roman" w:cs="Times New Roman"/>
        </w:rPr>
        <w:t>% hombres (2595) de nivel superior</w:t>
      </w:r>
    </w:p>
    <w:p w14:paraId="16AE14FB" w14:textId="4BA053AA"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Docentes = 59 mujeres (1.22</w:t>
      </w:r>
      <w:r w:rsidR="00E77EA8">
        <w:rPr>
          <w:rFonts w:ascii="Times New Roman" w:hAnsi="Times New Roman" w:cs="Times New Roman"/>
        </w:rPr>
        <w:t> </w:t>
      </w:r>
      <w:r w:rsidRPr="00ED036E">
        <w:rPr>
          <w:rFonts w:ascii="Times New Roman" w:hAnsi="Times New Roman" w:cs="Times New Roman"/>
        </w:rPr>
        <w:t>%) y 54 hombres (1.12</w:t>
      </w:r>
      <w:r w:rsidR="00E77EA8">
        <w:rPr>
          <w:rFonts w:ascii="Times New Roman" w:hAnsi="Times New Roman" w:cs="Times New Roman"/>
        </w:rPr>
        <w:t> </w:t>
      </w:r>
      <w:r w:rsidRPr="00ED036E">
        <w:rPr>
          <w:rFonts w:ascii="Times New Roman" w:hAnsi="Times New Roman" w:cs="Times New Roman"/>
        </w:rPr>
        <w:t>%)</w:t>
      </w:r>
    </w:p>
    <w:p w14:paraId="2F67AB24" w14:textId="205E0D01"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lastRenderedPageBreak/>
        <w:t>Otras actividades = 35 mujeres (0.72</w:t>
      </w:r>
      <w:r w:rsidR="00E77EA8">
        <w:rPr>
          <w:rFonts w:ascii="Times New Roman" w:hAnsi="Times New Roman" w:cs="Times New Roman"/>
        </w:rPr>
        <w:t> </w:t>
      </w:r>
      <w:r w:rsidRPr="00ED036E">
        <w:rPr>
          <w:rFonts w:ascii="Times New Roman" w:hAnsi="Times New Roman" w:cs="Times New Roman"/>
        </w:rPr>
        <w:t>%) y 21 hombres (0.43</w:t>
      </w:r>
      <w:r w:rsidR="00E77EA8">
        <w:rPr>
          <w:rFonts w:ascii="Times New Roman" w:hAnsi="Times New Roman" w:cs="Times New Roman"/>
        </w:rPr>
        <w:t> </w:t>
      </w:r>
      <w:r w:rsidRPr="00ED036E">
        <w:rPr>
          <w:rFonts w:ascii="Times New Roman" w:hAnsi="Times New Roman" w:cs="Times New Roman"/>
        </w:rPr>
        <w:t>%)</w:t>
      </w:r>
    </w:p>
    <w:p w14:paraId="371D5946" w14:textId="77777777" w:rsidR="000E0EE7" w:rsidRPr="00ED036E" w:rsidRDefault="000E0EE7" w:rsidP="00FF6D96">
      <w:pPr>
        <w:pStyle w:val="Prrafodelista"/>
        <w:numPr>
          <w:ilvl w:val="2"/>
          <w:numId w:val="6"/>
        </w:numPr>
        <w:spacing w:line="360" w:lineRule="auto"/>
        <w:jc w:val="both"/>
        <w:rPr>
          <w:rFonts w:ascii="Times New Roman" w:hAnsi="Times New Roman" w:cs="Times New Roman"/>
        </w:rPr>
      </w:pPr>
      <w:r w:rsidRPr="00370CD5">
        <w:rPr>
          <w:rFonts w:ascii="Times New Roman" w:hAnsi="Times New Roman" w:cs="Times New Roman"/>
        </w:rPr>
        <w:t>Asistentes a los talleres</w:t>
      </w:r>
      <w:r w:rsidRPr="00ED036E">
        <w:rPr>
          <w:rFonts w:ascii="Times New Roman" w:hAnsi="Times New Roman" w:cs="Times New Roman"/>
        </w:rPr>
        <w:t>: 400 alumnos de educación superior (250 de ellos mujeres y 150 hombres):</w:t>
      </w:r>
    </w:p>
    <w:p w14:paraId="7BF69A0F" w14:textId="7A5FE7AA"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 xml:space="preserve">Resultados alcanzados derivados del Congreso Estatal las Vocaciones Científicas en los </w:t>
      </w:r>
      <w:r w:rsidR="00CA486F">
        <w:rPr>
          <w:rFonts w:ascii="Times New Roman" w:hAnsi="Times New Roman" w:cs="Times New Roman"/>
        </w:rPr>
        <w:t>J</w:t>
      </w:r>
      <w:r w:rsidR="00CA486F" w:rsidRPr="00ED036E">
        <w:rPr>
          <w:rFonts w:ascii="Times New Roman" w:hAnsi="Times New Roman" w:cs="Times New Roman"/>
        </w:rPr>
        <w:t xml:space="preserve">óvenes </w:t>
      </w:r>
      <w:r w:rsidRPr="00ED036E">
        <w:rPr>
          <w:rFonts w:ascii="Times New Roman" w:hAnsi="Times New Roman" w:cs="Times New Roman"/>
        </w:rPr>
        <w:t>de Yucatán = mujeres 1020 (33.28</w:t>
      </w:r>
      <w:r w:rsidR="00E77EA8">
        <w:rPr>
          <w:rFonts w:ascii="Times New Roman" w:hAnsi="Times New Roman" w:cs="Times New Roman"/>
        </w:rPr>
        <w:t> </w:t>
      </w:r>
      <w:r w:rsidRPr="00ED036E">
        <w:rPr>
          <w:rFonts w:ascii="Times New Roman" w:hAnsi="Times New Roman" w:cs="Times New Roman"/>
        </w:rPr>
        <w:t>%) y hombres 1599 (21.23</w:t>
      </w:r>
      <w:r w:rsidR="00E77EA8">
        <w:rPr>
          <w:rFonts w:ascii="Times New Roman" w:hAnsi="Times New Roman" w:cs="Times New Roman"/>
        </w:rPr>
        <w:t> </w:t>
      </w:r>
      <w:r w:rsidRPr="00ED036E">
        <w:rPr>
          <w:rFonts w:ascii="Times New Roman" w:hAnsi="Times New Roman" w:cs="Times New Roman"/>
        </w:rPr>
        <w:t xml:space="preserve">%). </w:t>
      </w:r>
    </w:p>
    <w:p w14:paraId="3E81242A" w14:textId="77777777" w:rsidR="000E0EE7" w:rsidRPr="00ED036E" w:rsidRDefault="000E0EE7" w:rsidP="00FF6D96">
      <w:pPr>
        <w:pStyle w:val="Prrafodelista"/>
        <w:numPr>
          <w:ilvl w:val="2"/>
          <w:numId w:val="6"/>
        </w:numPr>
        <w:spacing w:line="360" w:lineRule="auto"/>
        <w:jc w:val="both"/>
        <w:rPr>
          <w:rFonts w:ascii="Times New Roman" w:hAnsi="Times New Roman" w:cs="Times New Roman"/>
        </w:rPr>
      </w:pPr>
      <w:r>
        <w:rPr>
          <w:rFonts w:ascii="Times New Roman" w:hAnsi="Times New Roman" w:cs="Times New Roman"/>
        </w:rPr>
        <w:t>A</w:t>
      </w:r>
      <w:r w:rsidRPr="00ED036E">
        <w:rPr>
          <w:rFonts w:ascii="Times New Roman" w:hAnsi="Times New Roman" w:cs="Times New Roman"/>
        </w:rPr>
        <w:t xml:space="preserve">sistentes a </w:t>
      </w:r>
      <w:r>
        <w:rPr>
          <w:rFonts w:ascii="Times New Roman" w:hAnsi="Times New Roman" w:cs="Times New Roman"/>
        </w:rPr>
        <w:t xml:space="preserve">las </w:t>
      </w:r>
      <w:r w:rsidRPr="00ED036E">
        <w:rPr>
          <w:rFonts w:ascii="Times New Roman" w:hAnsi="Times New Roman" w:cs="Times New Roman"/>
        </w:rPr>
        <w:t>conferencias: 4500 estudiantes de nivel superior de instituciones públicas, registros y visualizaciones las siguientes:</w:t>
      </w:r>
    </w:p>
    <w:p w14:paraId="7B553CB1" w14:textId="50707015"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 xml:space="preserve">Conferencia magistral: </w:t>
      </w:r>
      <w:r w:rsidR="00E77EA8">
        <w:rPr>
          <w:rFonts w:ascii="Times New Roman" w:hAnsi="Times New Roman" w:cs="Times New Roman"/>
        </w:rPr>
        <w:t>“</w:t>
      </w:r>
      <w:r w:rsidRPr="00ED036E">
        <w:rPr>
          <w:rFonts w:ascii="Times New Roman" w:hAnsi="Times New Roman" w:cs="Times New Roman"/>
        </w:rPr>
        <w:t>La responsabilidad social como marco para la innovación y el emprendimiento</w:t>
      </w:r>
      <w:r w:rsidR="00E77EA8">
        <w:rPr>
          <w:rFonts w:ascii="Times New Roman" w:hAnsi="Times New Roman" w:cs="Times New Roman"/>
        </w:rPr>
        <w:t>”</w:t>
      </w:r>
      <w:r w:rsidRPr="00ED036E">
        <w:rPr>
          <w:rFonts w:ascii="Times New Roman" w:hAnsi="Times New Roman" w:cs="Times New Roman"/>
        </w:rPr>
        <w:t xml:space="preserve"> = 2993 visualizaciones (enlace: </w:t>
      </w:r>
      <w:r w:rsidRPr="003D62E4">
        <w:rPr>
          <w:rFonts w:ascii="Times New Roman" w:hAnsi="Times New Roman" w:cs="Times New Roman"/>
        </w:rPr>
        <w:t>https://www.youtube.com/watch?v=RUODILW9F18</w:t>
      </w:r>
      <w:r w:rsidRPr="00ED036E">
        <w:rPr>
          <w:rFonts w:ascii="Times New Roman" w:hAnsi="Times New Roman" w:cs="Times New Roman"/>
        </w:rPr>
        <w:t xml:space="preserve"> )</w:t>
      </w:r>
    </w:p>
    <w:p w14:paraId="10063F8D" w14:textId="0BDFD356"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 xml:space="preserve">Conferencia magistral: </w:t>
      </w:r>
      <w:r w:rsidR="00E77EA8">
        <w:rPr>
          <w:rFonts w:ascii="Times New Roman" w:hAnsi="Times New Roman" w:cs="Times New Roman"/>
        </w:rPr>
        <w:t>“</w:t>
      </w:r>
      <w:r w:rsidRPr="00ED036E">
        <w:rPr>
          <w:rFonts w:ascii="Times New Roman" w:hAnsi="Times New Roman" w:cs="Times New Roman"/>
          <w:color w:val="000000"/>
        </w:rPr>
        <w:t>La innovación y el emprendimiento en las empresas en México</w:t>
      </w:r>
      <w:r w:rsidR="00E77EA8">
        <w:rPr>
          <w:rFonts w:ascii="Times New Roman" w:hAnsi="Times New Roman" w:cs="Times New Roman"/>
          <w:color w:val="000000"/>
        </w:rPr>
        <w:t>”</w:t>
      </w:r>
      <w:r w:rsidRPr="00ED036E">
        <w:rPr>
          <w:rFonts w:ascii="Times New Roman" w:hAnsi="Times New Roman" w:cs="Times New Roman"/>
          <w:color w:val="000000"/>
        </w:rPr>
        <w:t xml:space="preserve"> = 2780 visualizaciones (enlace: </w:t>
      </w:r>
      <w:r w:rsidRPr="003D62E4">
        <w:rPr>
          <w:rFonts w:ascii="Times New Roman" w:hAnsi="Times New Roman" w:cs="Times New Roman"/>
        </w:rPr>
        <w:t>https://www.youtube.com/watch?v=kttS0_0IBFM</w:t>
      </w:r>
      <w:r w:rsidRPr="00ED036E">
        <w:rPr>
          <w:rFonts w:ascii="Times New Roman" w:hAnsi="Times New Roman" w:cs="Times New Roman"/>
          <w:color w:val="000000"/>
        </w:rPr>
        <w:t xml:space="preserve"> )</w:t>
      </w:r>
      <w:r w:rsidRPr="00ED036E">
        <w:rPr>
          <w:rFonts w:ascii="Times New Roman" w:hAnsi="Times New Roman" w:cs="Times New Roman"/>
        </w:rPr>
        <w:t xml:space="preserve"> </w:t>
      </w:r>
    </w:p>
    <w:p w14:paraId="5AC0B167" w14:textId="3FA5BD39" w:rsidR="000E0EE7" w:rsidRPr="00ED036E"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 xml:space="preserve">Conferencia magistral: </w:t>
      </w:r>
      <w:r w:rsidR="00E77EA8">
        <w:rPr>
          <w:rFonts w:ascii="Times New Roman" w:hAnsi="Times New Roman" w:cs="Times New Roman"/>
        </w:rPr>
        <w:t>“</w:t>
      </w:r>
      <w:r w:rsidRPr="00ED036E">
        <w:rPr>
          <w:rFonts w:ascii="Times New Roman" w:hAnsi="Times New Roman" w:cs="Times New Roman"/>
        </w:rPr>
        <w:t xml:space="preserve">Tecnología de detección remota y </w:t>
      </w:r>
      <w:r w:rsidR="00E77EA8">
        <w:rPr>
          <w:rFonts w:ascii="Times New Roman" w:hAnsi="Times New Roman" w:cs="Times New Roman"/>
        </w:rPr>
        <w:t>g</w:t>
      </w:r>
      <w:r w:rsidR="00E77EA8" w:rsidRPr="00ED036E">
        <w:rPr>
          <w:rFonts w:ascii="Times New Roman" w:hAnsi="Times New Roman" w:cs="Times New Roman"/>
        </w:rPr>
        <w:t>eoespacial</w:t>
      </w:r>
      <w:r w:rsidR="00E77EA8">
        <w:rPr>
          <w:rFonts w:ascii="Times New Roman" w:hAnsi="Times New Roman" w:cs="Times New Roman"/>
        </w:rPr>
        <w:t>”</w:t>
      </w:r>
      <w:r w:rsidRPr="00ED036E">
        <w:rPr>
          <w:rFonts w:ascii="Times New Roman" w:hAnsi="Times New Roman" w:cs="Times New Roman"/>
        </w:rPr>
        <w:t xml:space="preserve"> = 3513 visualizaciones (enlace: </w:t>
      </w:r>
      <w:r w:rsidRPr="003D62E4">
        <w:rPr>
          <w:rFonts w:ascii="Times New Roman" w:hAnsi="Times New Roman" w:cs="Times New Roman"/>
        </w:rPr>
        <w:t>https://www.youtube.com/watch?v=Ksuc4FnfJe0&amp;t=17s</w:t>
      </w:r>
      <w:r w:rsidRPr="00ED036E">
        <w:rPr>
          <w:rFonts w:ascii="Times New Roman" w:hAnsi="Times New Roman" w:cs="Times New Roman"/>
        </w:rPr>
        <w:t xml:space="preserve"> )</w:t>
      </w:r>
    </w:p>
    <w:p w14:paraId="2D62AA90" w14:textId="685555FE" w:rsidR="000E0EE7" w:rsidRDefault="000E0EE7" w:rsidP="00FF6D96">
      <w:pPr>
        <w:pStyle w:val="Prrafodelista"/>
        <w:numPr>
          <w:ilvl w:val="3"/>
          <w:numId w:val="6"/>
        </w:numPr>
        <w:spacing w:line="360" w:lineRule="auto"/>
        <w:jc w:val="both"/>
        <w:rPr>
          <w:rFonts w:ascii="Times New Roman" w:hAnsi="Times New Roman" w:cs="Times New Roman"/>
        </w:rPr>
      </w:pPr>
      <w:r w:rsidRPr="00ED036E">
        <w:rPr>
          <w:rFonts w:ascii="Times New Roman" w:hAnsi="Times New Roman" w:cs="Times New Roman"/>
        </w:rPr>
        <w:t>Total de visualizaciones = 9286 relativas a las tres conferencias magistrales programadas</w:t>
      </w:r>
    </w:p>
    <w:p w14:paraId="0BB6BC60" w14:textId="521435A3" w:rsidR="00DE5512" w:rsidRPr="00DE5512" w:rsidRDefault="00DE5512" w:rsidP="00FF6D96">
      <w:pPr>
        <w:spacing w:line="360" w:lineRule="auto"/>
        <w:ind w:firstLine="708"/>
        <w:jc w:val="both"/>
        <w:rPr>
          <w:rFonts w:ascii="Times New Roman" w:hAnsi="Times New Roman" w:cs="Times New Roman"/>
          <w:shd w:val="clear" w:color="auto" w:fill="FFFFFF"/>
        </w:rPr>
      </w:pPr>
      <w:r w:rsidRPr="00DE5512">
        <w:rPr>
          <w:rFonts w:ascii="Times New Roman" w:hAnsi="Times New Roman" w:cs="Times New Roman"/>
          <w:shd w:val="clear" w:color="auto" w:fill="FFFFFF"/>
        </w:rPr>
        <w:t xml:space="preserve">De acuerdo con la cantidad de participantes del Congreso Estatal </w:t>
      </w:r>
      <w:r w:rsidR="00CA486F">
        <w:rPr>
          <w:rFonts w:ascii="Times New Roman" w:hAnsi="Times New Roman" w:cs="Times New Roman"/>
          <w:shd w:val="clear" w:color="auto" w:fill="FFFFFF"/>
        </w:rPr>
        <w:t>l</w:t>
      </w:r>
      <w:r w:rsidRPr="00DE5512">
        <w:rPr>
          <w:rFonts w:ascii="Times New Roman" w:hAnsi="Times New Roman" w:cs="Times New Roman"/>
          <w:shd w:val="clear" w:color="auto" w:fill="FFFFFF"/>
        </w:rPr>
        <w:t>as Vocaciones Científicas en lo</w:t>
      </w:r>
      <w:r w:rsidR="00526C5A">
        <w:rPr>
          <w:rFonts w:ascii="Times New Roman" w:hAnsi="Times New Roman" w:cs="Times New Roman"/>
          <w:shd w:val="clear" w:color="auto" w:fill="FFFFFF"/>
        </w:rPr>
        <w:t>s</w:t>
      </w:r>
      <w:r w:rsidRPr="00DE5512">
        <w:rPr>
          <w:rFonts w:ascii="Times New Roman" w:hAnsi="Times New Roman" w:cs="Times New Roman"/>
          <w:shd w:val="clear" w:color="auto" w:fill="FFFFFF"/>
        </w:rPr>
        <w:t xml:space="preserve"> Jóvenes de Yucatán, se identificó que de 4805 (total de participantes), 80</w:t>
      </w:r>
      <w:r w:rsidR="004341B4">
        <w:rPr>
          <w:rFonts w:ascii="Times New Roman" w:hAnsi="Times New Roman" w:cs="Times New Roman"/>
          <w:shd w:val="clear" w:color="auto" w:fill="FFFFFF"/>
        </w:rPr>
        <w:t>.0</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xml:space="preserve">% </w:t>
      </w:r>
      <w:r w:rsidR="00CA486F">
        <w:rPr>
          <w:rFonts w:ascii="Times New Roman" w:hAnsi="Times New Roman" w:cs="Times New Roman"/>
          <w:shd w:val="clear" w:color="auto" w:fill="FFFFFF"/>
        </w:rPr>
        <w:t xml:space="preserve">eran </w:t>
      </w:r>
      <w:r w:rsidRPr="00DE5512">
        <w:rPr>
          <w:rFonts w:ascii="Times New Roman" w:hAnsi="Times New Roman" w:cs="Times New Roman"/>
          <w:shd w:val="clear" w:color="auto" w:fill="FFFFFF"/>
        </w:rPr>
        <w:t>jóvenes de entre 15 a 29 años</w:t>
      </w:r>
      <w:r w:rsidR="006858A7">
        <w:rPr>
          <w:rFonts w:ascii="Times New Roman" w:hAnsi="Times New Roman" w:cs="Times New Roman"/>
          <w:shd w:val="clear" w:color="auto" w:fill="FFFFFF"/>
        </w:rPr>
        <w:t>. De ellos,</w:t>
      </w:r>
      <w:r w:rsidR="006858A7" w:rsidRPr="00DE5512">
        <w:rPr>
          <w:rFonts w:ascii="Times New Roman" w:hAnsi="Times New Roman" w:cs="Times New Roman"/>
          <w:shd w:val="clear" w:color="auto" w:fill="FFFFFF"/>
        </w:rPr>
        <w:t xml:space="preserve"> </w:t>
      </w:r>
      <w:r w:rsidRPr="00DE5512">
        <w:rPr>
          <w:rFonts w:ascii="Times New Roman" w:hAnsi="Times New Roman" w:cs="Times New Roman"/>
          <w:shd w:val="clear" w:color="auto" w:fill="FFFFFF"/>
        </w:rPr>
        <w:t>57.2</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xml:space="preserve">% </w:t>
      </w:r>
      <w:r w:rsidR="006858A7">
        <w:rPr>
          <w:rFonts w:ascii="Times New Roman" w:hAnsi="Times New Roman" w:cs="Times New Roman"/>
          <w:shd w:val="clear" w:color="auto" w:fill="FFFFFF"/>
        </w:rPr>
        <w:t xml:space="preserve">eran </w:t>
      </w:r>
      <w:r w:rsidRPr="00DE5512">
        <w:rPr>
          <w:rFonts w:ascii="Times New Roman" w:hAnsi="Times New Roman" w:cs="Times New Roman"/>
          <w:shd w:val="clear" w:color="auto" w:fill="FFFFFF"/>
        </w:rPr>
        <w:t xml:space="preserve">hombres, cuyo estado civil </w:t>
      </w:r>
      <w:r w:rsidR="00CA486F">
        <w:rPr>
          <w:rFonts w:ascii="Times New Roman" w:hAnsi="Times New Roman" w:cs="Times New Roman"/>
          <w:shd w:val="clear" w:color="auto" w:fill="FFFFFF"/>
        </w:rPr>
        <w:t xml:space="preserve">era el de </w:t>
      </w:r>
      <w:r w:rsidRPr="00DE5512">
        <w:rPr>
          <w:rFonts w:ascii="Times New Roman" w:hAnsi="Times New Roman" w:cs="Times New Roman"/>
          <w:shd w:val="clear" w:color="auto" w:fill="FFFFFF"/>
        </w:rPr>
        <w:t>soltero en 55.5</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de los casos</w:t>
      </w:r>
      <w:r w:rsidR="00CA486F">
        <w:rPr>
          <w:rFonts w:ascii="Times New Roman" w:hAnsi="Times New Roman" w:cs="Times New Roman"/>
          <w:shd w:val="clear" w:color="auto" w:fill="FFFFFF"/>
        </w:rPr>
        <w:t>;</w:t>
      </w:r>
      <w:r w:rsidR="00CA486F" w:rsidRPr="00DE5512">
        <w:rPr>
          <w:rFonts w:ascii="Times New Roman" w:hAnsi="Times New Roman" w:cs="Times New Roman"/>
          <w:shd w:val="clear" w:color="auto" w:fill="FFFFFF"/>
        </w:rPr>
        <w:t xml:space="preserve"> </w:t>
      </w:r>
      <w:r w:rsidR="00CA486F">
        <w:rPr>
          <w:rFonts w:ascii="Times New Roman" w:hAnsi="Times New Roman" w:cs="Times New Roman"/>
          <w:shd w:val="clear" w:color="auto" w:fill="FFFFFF"/>
        </w:rPr>
        <w:t xml:space="preserve">en </w:t>
      </w:r>
      <w:r w:rsidRPr="00DE5512">
        <w:rPr>
          <w:rFonts w:ascii="Times New Roman" w:hAnsi="Times New Roman" w:cs="Times New Roman"/>
          <w:shd w:val="clear" w:color="auto" w:fill="FFFFFF"/>
        </w:rPr>
        <w:t xml:space="preserve">relación </w:t>
      </w:r>
      <w:r w:rsidR="00CA486F">
        <w:rPr>
          <w:rFonts w:ascii="Times New Roman" w:hAnsi="Times New Roman" w:cs="Times New Roman"/>
          <w:shd w:val="clear" w:color="auto" w:fill="FFFFFF"/>
        </w:rPr>
        <w:t>con</w:t>
      </w:r>
      <w:r w:rsidR="00CA486F" w:rsidRPr="00DE5512">
        <w:rPr>
          <w:rFonts w:ascii="Times New Roman" w:hAnsi="Times New Roman" w:cs="Times New Roman"/>
          <w:shd w:val="clear" w:color="auto" w:fill="FFFFFF"/>
        </w:rPr>
        <w:t xml:space="preserve"> </w:t>
      </w:r>
      <w:r w:rsidRPr="00DE5512">
        <w:rPr>
          <w:rFonts w:ascii="Times New Roman" w:hAnsi="Times New Roman" w:cs="Times New Roman"/>
          <w:shd w:val="clear" w:color="auto" w:fill="FFFFFF"/>
        </w:rPr>
        <w:t>las mujeres</w:t>
      </w:r>
      <w:r w:rsidR="006858A7">
        <w:rPr>
          <w:rFonts w:ascii="Times New Roman" w:hAnsi="Times New Roman" w:cs="Times New Roman"/>
          <w:shd w:val="clear" w:color="auto" w:fill="FFFFFF"/>
        </w:rPr>
        <w:t xml:space="preserve"> (42.8 %)</w:t>
      </w:r>
      <w:r w:rsidR="00CA486F">
        <w:rPr>
          <w:rFonts w:ascii="Times New Roman" w:hAnsi="Times New Roman" w:cs="Times New Roman"/>
          <w:shd w:val="clear" w:color="auto" w:fill="FFFFFF"/>
        </w:rPr>
        <w:t>,</w:t>
      </w:r>
      <w:r w:rsidRPr="00DE5512">
        <w:rPr>
          <w:rFonts w:ascii="Times New Roman" w:hAnsi="Times New Roman" w:cs="Times New Roman"/>
          <w:shd w:val="clear" w:color="auto" w:fill="FFFFFF"/>
        </w:rPr>
        <w:t xml:space="preserve"> 41.3</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xml:space="preserve">% </w:t>
      </w:r>
      <w:r w:rsidR="00CA486F">
        <w:rPr>
          <w:rFonts w:ascii="Times New Roman" w:hAnsi="Times New Roman" w:cs="Times New Roman"/>
          <w:shd w:val="clear" w:color="auto" w:fill="FFFFFF"/>
        </w:rPr>
        <w:t xml:space="preserve">eran </w:t>
      </w:r>
      <w:r w:rsidRPr="00DE5512">
        <w:rPr>
          <w:rFonts w:ascii="Times New Roman" w:hAnsi="Times New Roman" w:cs="Times New Roman"/>
          <w:shd w:val="clear" w:color="auto" w:fill="FFFFFF"/>
        </w:rPr>
        <w:t>solteras (figura 3). Se destaca la participación de 60.7</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en edades comprendidas de 20 a 24 años de los jóvenes estudiantes de nivel superior, 32.5</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cuenta con 15 a 19 años y 6.8</w:t>
      </w:r>
      <w:r w:rsidR="00CA486F">
        <w:rPr>
          <w:rFonts w:ascii="Times New Roman" w:hAnsi="Times New Roman" w:cs="Times New Roman"/>
          <w:shd w:val="clear" w:color="auto" w:fill="FFFFFF"/>
        </w:rPr>
        <w:t> </w:t>
      </w:r>
      <w:r w:rsidRPr="00DE5512">
        <w:rPr>
          <w:rFonts w:ascii="Times New Roman" w:hAnsi="Times New Roman" w:cs="Times New Roman"/>
          <w:shd w:val="clear" w:color="auto" w:fill="FFFFFF"/>
        </w:rPr>
        <w:t xml:space="preserve">% en edades comprendidas de 25 a 29 años. </w:t>
      </w:r>
    </w:p>
    <w:p w14:paraId="7C65784D" w14:textId="1591615C" w:rsidR="00DE5512" w:rsidRDefault="00DE5512" w:rsidP="00FF6D96">
      <w:pPr>
        <w:spacing w:line="360" w:lineRule="auto"/>
        <w:ind w:left="708"/>
        <w:jc w:val="both"/>
        <w:rPr>
          <w:rFonts w:ascii="Times New Roman" w:hAnsi="Times New Roman" w:cs="Times New Roman"/>
          <w:shd w:val="clear" w:color="auto" w:fill="FFFFFF"/>
        </w:rPr>
      </w:pPr>
    </w:p>
    <w:p w14:paraId="0550C597" w14:textId="06B8EA0E" w:rsidR="00C23DC2" w:rsidRDefault="00C23DC2" w:rsidP="00FF6D96">
      <w:pPr>
        <w:spacing w:line="360" w:lineRule="auto"/>
        <w:ind w:left="708"/>
        <w:jc w:val="both"/>
        <w:rPr>
          <w:rFonts w:ascii="Times New Roman" w:hAnsi="Times New Roman" w:cs="Times New Roman"/>
          <w:shd w:val="clear" w:color="auto" w:fill="FFFFFF"/>
        </w:rPr>
      </w:pPr>
    </w:p>
    <w:p w14:paraId="7EF7D766" w14:textId="050F6CBA" w:rsidR="00C23DC2" w:rsidRDefault="00C23DC2" w:rsidP="00FF6D96">
      <w:pPr>
        <w:spacing w:line="360" w:lineRule="auto"/>
        <w:ind w:left="708"/>
        <w:jc w:val="both"/>
        <w:rPr>
          <w:rFonts w:ascii="Times New Roman" w:hAnsi="Times New Roman" w:cs="Times New Roman"/>
          <w:shd w:val="clear" w:color="auto" w:fill="FFFFFF"/>
        </w:rPr>
      </w:pPr>
    </w:p>
    <w:p w14:paraId="3BCADB09" w14:textId="77777777" w:rsidR="00C23DC2" w:rsidRPr="00DE5512" w:rsidRDefault="00C23DC2" w:rsidP="00FF6D96">
      <w:pPr>
        <w:spacing w:line="360" w:lineRule="auto"/>
        <w:ind w:left="708"/>
        <w:jc w:val="both"/>
        <w:rPr>
          <w:rFonts w:ascii="Times New Roman" w:hAnsi="Times New Roman" w:cs="Times New Roman"/>
          <w:shd w:val="clear" w:color="auto" w:fill="FFFFFF"/>
        </w:rPr>
      </w:pPr>
    </w:p>
    <w:p w14:paraId="5BC52279" w14:textId="77777777" w:rsidR="00DE5512" w:rsidRPr="00DE5512" w:rsidRDefault="00DE5512" w:rsidP="00421EB7">
      <w:pPr>
        <w:spacing w:line="360" w:lineRule="auto"/>
        <w:jc w:val="center"/>
        <w:rPr>
          <w:rFonts w:ascii="Times New Roman" w:hAnsi="Times New Roman" w:cs="Times New Roman"/>
          <w:shd w:val="clear" w:color="auto" w:fill="FFFFFF"/>
        </w:rPr>
      </w:pPr>
      <w:r w:rsidRPr="00DE5512">
        <w:rPr>
          <w:rFonts w:ascii="Times New Roman" w:hAnsi="Times New Roman" w:cs="Times New Roman"/>
          <w:b/>
          <w:shd w:val="clear" w:color="auto" w:fill="FFFFFF"/>
        </w:rPr>
        <w:lastRenderedPageBreak/>
        <w:t>Figura 3</w:t>
      </w:r>
      <w:r w:rsidRPr="00DE5512">
        <w:rPr>
          <w:rFonts w:ascii="Times New Roman" w:hAnsi="Times New Roman" w:cs="Times New Roman"/>
          <w:shd w:val="clear" w:color="auto" w:fill="FFFFFF"/>
        </w:rPr>
        <w:t>. Participación según sexo y estado civil</w:t>
      </w:r>
    </w:p>
    <w:p w14:paraId="34C86994" w14:textId="77777777" w:rsidR="00DE5512" w:rsidRPr="00DE5512" w:rsidRDefault="00DE5512" w:rsidP="00FF6D96">
      <w:pPr>
        <w:spacing w:line="360" w:lineRule="auto"/>
        <w:jc w:val="both"/>
        <w:rPr>
          <w:rFonts w:ascii="Times New Roman" w:hAnsi="Times New Roman" w:cs="Times New Roman"/>
          <w:shd w:val="clear" w:color="auto" w:fill="FFFFFF"/>
        </w:rPr>
      </w:pPr>
      <w:r w:rsidRPr="009B4E5D">
        <w:rPr>
          <w:noProof/>
          <w:shd w:val="clear" w:color="auto" w:fill="FFFFFF"/>
          <w:lang w:val="es-MX" w:eastAsia="es-MX"/>
        </w:rPr>
        <w:drawing>
          <wp:inline distT="0" distB="0" distL="0" distR="0" wp14:anchorId="6648B92E" wp14:editId="0EF4FE1E">
            <wp:extent cx="5958840" cy="2622550"/>
            <wp:effectExtent l="0" t="0" r="3810" b="6350"/>
            <wp:docPr id="24" name="Imagen 24" descr="C:\Users\Usuario\Documents\PAPER\Fig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PAPER\Figura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8840" cy="2622550"/>
                    </a:xfrm>
                    <a:prstGeom prst="rect">
                      <a:avLst/>
                    </a:prstGeom>
                    <a:noFill/>
                    <a:ln>
                      <a:noFill/>
                    </a:ln>
                  </pic:spPr>
                </pic:pic>
              </a:graphicData>
            </a:graphic>
          </wp:inline>
        </w:drawing>
      </w:r>
    </w:p>
    <w:p w14:paraId="078722A5" w14:textId="6C5A9DDB" w:rsidR="00DE5512" w:rsidRPr="00DE5512" w:rsidRDefault="00DE5512" w:rsidP="00421EB7">
      <w:pPr>
        <w:spacing w:line="360" w:lineRule="auto"/>
        <w:jc w:val="center"/>
        <w:rPr>
          <w:rFonts w:ascii="Times New Roman" w:hAnsi="Times New Roman" w:cs="Times New Roman"/>
          <w:shd w:val="clear" w:color="auto" w:fill="FFFFFF"/>
        </w:rPr>
      </w:pPr>
      <w:r w:rsidRPr="00DE5512">
        <w:rPr>
          <w:rFonts w:ascii="Times New Roman" w:hAnsi="Times New Roman" w:cs="Times New Roman"/>
          <w:shd w:val="clear" w:color="auto" w:fill="FFFFFF"/>
        </w:rPr>
        <w:t xml:space="preserve">Fuente: </w:t>
      </w:r>
      <w:r w:rsidR="00EC4682">
        <w:rPr>
          <w:rFonts w:ascii="Times New Roman" w:hAnsi="Times New Roman" w:cs="Times New Roman"/>
          <w:shd w:val="clear" w:color="auto" w:fill="FFFFFF"/>
        </w:rPr>
        <w:t>E</w:t>
      </w:r>
      <w:r w:rsidR="00EC4682" w:rsidRPr="00DE5512">
        <w:rPr>
          <w:rFonts w:ascii="Times New Roman" w:hAnsi="Times New Roman" w:cs="Times New Roman"/>
          <w:shd w:val="clear" w:color="auto" w:fill="FFFFFF"/>
        </w:rPr>
        <w:t xml:space="preserve">laboración </w:t>
      </w:r>
      <w:r w:rsidRPr="00DE5512">
        <w:rPr>
          <w:rFonts w:ascii="Times New Roman" w:hAnsi="Times New Roman" w:cs="Times New Roman"/>
          <w:shd w:val="clear" w:color="auto" w:fill="FFFFFF"/>
        </w:rPr>
        <w:t>propia</w:t>
      </w:r>
    </w:p>
    <w:p w14:paraId="7C20E3D5" w14:textId="77777777" w:rsidR="00DE5512" w:rsidRPr="00DE5512" w:rsidRDefault="00DE5512" w:rsidP="00FF6D96">
      <w:pPr>
        <w:spacing w:line="360" w:lineRule="auto"/>
        <w:jc w:val="both"/>
        <w:rPr>
          <w:rFonts w:ascii="Times New Roman" w:hAnsi="Times New Roman" w:cs="Times New Roman"/>
        </w:rPr>
      </w:pPr>
    </w:p>
    <w:p w14:paraId="78A34B5A" w14:textId="5458F891" w:rsidR="00A57AB8" w:rsidRPr="00075DC5" w:rsidRDefault="00A57AB8" w:rsidP="003D62E4">
      <w:pPr>
        <w:spacing w:line="360" w:lineRule="auto"/>
        <w:jc w:val="center"/>
        <w:rPr>
          <w:rFonts w:ascii="Times New Roman" w:hAnsi="Times New Roman" w:cs="Times New Roman"/>
          <w:b/>
          <w:bCs/>
          <w:sz w:val="32"/>
          <w:shd w:val="clear" w:color="auto" w:fill="FFFFFF"/>
        </w:rPr>
      </w:pPr>
      <w:r w:rsidRPr="00075DC5">
        <w:rPr>
          <w:rFonts w:ascii="Times New Roman" w:hAnsi="Times New Roman" w:cs="Times New Roman"/>
          <w:b/>
          <w:bCs/>
          <w:sz w:val="32"/>
          <w:shd w:val="clear" w:color="auto" w:fill="FFFFFF"/>
        </w:rPr>
        <w:t>Discusión</w:t>
      </w:r>
    </w:p>
    <w:p w14:paraId="59605A55" w14:textId="3F3B37B6" w:rsidR="009C5D40" w:rsidRDefault="00A57AB8" w:rsidP="00FF6D96">
      <w:pPr>
        <w:spacing w:line="360" w:lineRule="auto"/>
        <w:jc w:val="both"/>
        <w:rPr>
          <w:rFonts w:ascii="Times New Roman" w:hAnsi="Times New Roman" w:cs="Times New Roman"/>
          <w:shd w:val="clear" w:color="auto" w:fill="FFFFFF"/>
        </w:rPr>
      </w:pPr>
      <w:r>
        <w:rPr>
          <w:rFonts w:ascii="Times New Roman" w:hAnsi="Times New Roman" w:cs="Times New Roman"/>
          <w:b/>
          <w:bCs/>
          <w:shd w:val="clear" w:color="auto" w:fill="FFFFFF"/>
        </w:rPr>
        <w:tab/>
      </w:r>
      <w:r w:rsidR="00B40849" w:rsidRPr="00F84E9B">
        <w:rPr>
          <w:rFonts w:ascii="Times New Roman" w:hAnsi="Times New Roman" w:cs="Times New Roman"/>
          <w:shd w:val="clear" w:color="auto" w:fill="FFFFFF"/>
        </w:rPr>
        <w:t>L</w:t>
      </w:r>
      <w:r w:rsidRPr="00F84E9B">
        <w:rPr>
          <w:rFonts w:ascii="Times New Roman" w:hAnsi="Times New Roman" w:cs="Times New Roman"/>
          <w:shd w:val="clear" w:color="auto" w:fill="FFFFFF"/>
        </w:rPr>
        <w:t>a</w:t>
      </w:r>
      <w:r w:rsidRPr="00A57AB8">
        <w:rPr>
          <w:rFonts w:ascii="Times New Roman" w:hAnsi="Times New Roman" w:cs="Times New Roman"/>
          <w:shd w:val="clear" w:color="auto" w:fill="FFFFFF"/>
        </w:rPr>
        <w:t xml:space="preserve"> divulgación científica a través de los diferentes proyectos para el fomento de las vocaciones científicas juega un papel fundamental, ya que se requiere hacer accesible la ciencia, los proyectos científicos y de investigación </w:t>
      </w:r>
      <w:r w:rsidR="00F0370B">
        <w:rPr>
          <w:rFonts w:ascii="Times New Roman" w:hAnsi="Times New Roman" w:cs="Times New Roman"/>
          <w:shd w:val="clear" w:color="auto" w:fill="FFFFFF"/>
        </w:rPr>
        <w:t xml:space="preserve">con la finalidad de convertirlo en parte de </w:t>
      </w:r>
      <w:r w:rsidR="00C1301F">
        <w:rPr>
          <w:rFonts w:ascii="Times New Roman" w:hAnsi="Times New Roman" w:cs="Times New Roman"/>
          <w:shd w:val="clear" w:color="auto" w:fill="FFFFFF"/>
        </w:rPr>
        <w:t xml:space="preserve">una </w:t>
      </w:r>
      <w:r w:rsidR="00F0370B">
        <w:rPr>
          <w:rFonts w:ascii="Times New Roman" w:hAnsi="Times New Roman" w:cs="Times New Roman"/>
          <w:shd w:val="clear" w:color="auto" w:fill="FFFFFF"/>
        </w:rPr>
        <w:t>cultura, de una cultura continua y de integración para una elección correcta y concreta</w:t>
      </w:r>
      <w:r w:rsidR="00850720">
        <w:rPr>
          <w:rFonts w:ascii="Times New Roman" w:hAnsi="Times New Roman" w:cs="Times New Roman"/>
          <w:shd w:val="clear" w:color="auto" w:fill="FFFFFF"/>
        </w:rPr>
        <w:t xml:space="preserve"> (Briceño, 2012</w:t>
      </w:r>
      <w:r w:rsidR="00C1301F">
        <w:rPr>
          <w:rFonts w:ascii="Times New Roman" w:hAnsi="Times New Roman" w:cs="Times New Roman"/>
          <w:shd w:val="clear" w:color="auto" w:fill="FFFFFF"/>
        </w:rPr>
        <w:t xml:space="preserve">). De </w:t>
      </w:r>
      <w:r w:rsidR="00B9379A">
        <w:rPr>
          <w:rFonts w:ascii="Times New Roman" w:hAnsi="Times New Roman" w:cs="Times New Roman"/>
          <w:shd w:val="clear" w:color="auto" w:fill="FFFFFF"/>
        </w:rPr>
        <w:t>la misma manera</w:t>
      </w:r>
      <w:r w:rsidR="00C1301F">
        <w:rPr>
          <w:rFonts w:ascii="Times New Roman" w:hAnsi="Times New Roman" w:cs="Times New Roman"/>
          <w:shd w:val="clear" w:color="auto" w:fill="FFFFFF"/>
        </w:rPr>
        <w:t>,</w:t>
      </w:r>
      <w:r w:rsidR="00B9379A">
        <w:rPr>
          <w:rFonts w:ascii="Times New Roman" w:hAnsi="Times New Roman" w:cs="Times New Roman"/>
          <w:shd w:val="clear" w:color="auto" w:fill="FFFFFF"/>
        </w:rPr>
        <w:t xml:space="preserve"> se debe considerar el territorio en donde se desarrollan las actividades</w:t>
      </w:r>
      <w:r w:rsidR="009C5D40">
        <w:rPr>
          <w:rFonts w:ascii="Times New Roman" w:hAnsi="Times New Roman" w:cs="Times New Roman"/>
          <w:shd w:val="clear" w:color="auto" w:fill="FFFFFF"/>
        </w:rPr>
        <w:t>, por la disponibilidad</w:t>
      </w:r>
      <w:r w:rsidR="00B9379A">
        <w:rPr>
          <w:rFonts w:ascii="Times New Roman" w:hAnsi="Times New Roman" w:cs="Times New Roman"/>
          <w:shd w:val="clear" w:color="auto" w:fill="FFFFFF"/>
        </w:rPr>
        <w:t xml:space="preserve"> </w:t>
      </w:r>
      <w:r w:rsidR="009C5D40">
        <w:rPr>
          <w:rFonts w:ascii="Times New Roman" w:hAnsi="Times New Roman" w:cs="Times New Roman"/>
          <w:shd w:val="clear" w:color="auto" w:fill="FFFFFF"/>
        </w:rPr>
        <w:t xml:space="preserve">de </w:t>
      </w:r>
      <w:r w:rsidR="00B9379A">
        <w:rPr>
          <w:rFonts w:ascii="Times New Roman" w:hAnsi="Times New Roman" w:cs="Times New Roman"/>
          <w:shd w:val="clear" w:color="auto" w:fill="FFFFFF"/>
        </w:rPr>
        <w:t xml:space="preserve">la tecnología y recursos para la conectividad virtual, </w:t>
      </w:r>
      <w:r w:rsidR="00F36F0D">
        <w:rPr>
          <w:rFonts w:ascii="Times New Roman" w:hAnsi="Times New Roman" w:cs="Times New Roman"/>
          <w:shd w:val="clear" w:color="auto" w:fill="FFFFFF"/>
        </w:rPr>
        <w:t>factor en el que</w:t>
      </w:r>
      <w:r w:rsidR="00B9379A">
        <w:rPr>
          <w:rFonts w:ascii="Times New Roman" w:hAnsi="Times New Roman" w:cs="Times New Roman"/>
          <w:shd w:val="clear" w:color="auto" w:fill="FFFFFF"/>
        </w:rPr>
        <w:t xml:space="preserve"> intervienen las instituciones, profesores</w:t>
      </w:r>
      <w:r w:rsidR="009C5D40">
        <w:rPr>
          <w:rFonts w:ascii="Times New Roman" w:hAnsi="Times New Roman" w:cs="Times New Roman"/>
          <w:shd w:val="clear" w:color="auto" w:fill="FFFFFF"/>
        </w:rPr>
        <w:t xml:space="preserve"> y directivos para la orientación precisa con respecto </w:t>
      </w:r>
      <w:r w:rsidR="00F36F0D">
        <w:rPr>
          <w:rFonts w:ascii="Times New Roman" w:hAnsi="Times New Roman" w:cs="Times New Roman"/>
          <w:shd w:val="clear" w:color="auto" w:fill="FFFFFF"/>
        </w:rPr>
        <w:t xml:space="preserve">a </w:t>
      </w:r>
      <w:r w:rsidR="009C5D40">
        <w:rPr>
          <w:rFonts w:ascii="Times New Roman" w:hAnsi="Times New Roman" w:cs="Times New Roman"/>
          <w:shd w:val="clear" w:color="auto" w:fill="FFFFFF"/>
        </w:rPr>
        <w:t>los tiempos, espacios y medios de mayor accesibilidad económica para los estudiantes de nivel superior</w:t>
      </w:r>
      <w:r w:rsidR="00850720">
        <w:rPr>
          <w:rFonts w:ascii="Times New Roman" w:hAnsi="Times New Roman" w:cs="Times New Roman"/>
          <w:shd w:val="clear" w:color="auto" w:fill="FFFFFF"/>
        </w:rPr>
        <w:t>.</w:t>
      </w:r>
      <w:r w:rsidR="009C5D40">
        <w:rPr>
          <w:rFonts w:ascii="Times New Roman" w:hAnsi="Times New Roman" w:cs="Times New Roman"/>
          <w:shd w:val="clear" w:color="auto" w:fill="FFFFFF"/>
        </w:rPr>
        <w:t xml:space="preserve"> </w:t>
      </w:r>
    </w:p>
    <w:p w14:paraId="6ABDACD2" w14:textId="3F78842E" w:rsidR="00E148D4" w:rsidRDefault="00F36F0D"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D</w:t>
      </w:r>
      <w:r w:rsidR="009C5D40">
        <w:rPr>
          <w:rFonts w:ascii="Times New Roman" w:hAnsi="Times New Roman" w:cs="Times New Roman"/>
          <w:shd w:val="clear" w:color="auto" w:fill="FFFFFF"/>
        </w:rPr>
        <w:t>espertar el</w:t>
      </w:r>
      <w:r w:rsidR="00850720">
        <w:rPr>
          <w:rFonts w:ascii="Times New Roman" w:hAnsi="Times New Roman" w:cs="Times New Roman"/>
          <w:shd w:val="clear" w:color="auto" w:fill="FFFFFF"/>
        </w:rPr>
        <w:t xml:space="preserve"> interés de los jóvenes </w:t>
      </w:r>
      <w:r w:rsidR="009C5D40">
        <w:rPr>
          <w:rFonts w:ascii="Times New Roman" w:hAnsi="Times New Roman" w:cs="Times New Roman"/>
          <w:shd w:val="clear" w:color="auto" w:fill="FFFFFF"/>
        </w:rPr>
        <w:t xml:space="preserve">en </w:t>
      </w:r>
      <w:r w:rsidR="00E148D4">
        <w:rPr>
          <w:rFonts w:ascii="Times New Roman" w:hAnsi="Times New Roman" w:cs="Times New Roman"/>
          <w:shd w:val="clear" w:color="auto" w:fill="FFFFFF"/>
        </w:rPr>
        <w:t xml:space="preserve">materia de </w:t>
      </w:r>
      <w:r w:rsidR="009C5D40">
        <w:rPr>
          <w:rFonts w:ascii="Times New Roman" w:hAnsi="Times New Roman" w:cs="Times New Roman"/>
          <w:shd w:val="clear" w:color="auto" w:fill="FFFFFF"/>
        </w:rPr>
        <w:t>ciencia y tecnología requiere de</w:t>
      </w:r>
      <w:r w:rsidR="00850720">
        <w:rPr>
          <w:rFonts w:ascii="Times New Roman" w:hAnsi="Times New Roman" w:cs="Times New Roman"/>
          <w:shd w:val="clear" w:color="auto" w:fill="FFFFFF"/>
        </w:rPr>
        <w:t xml:space="preserve"> la continuidad de acciones encaminadas hacia la participación de estos</w:t>
      </w:r>
      <w:r>
        <w:rPr>
          <w:rFonts w:ascii="Times New Roman" w:hAnsi="Times New Roman" w:cs="Times New Roman"/>
          <w:shd w:val="clear" w:color="auto" w:fill="FFFFFF"/>
        </w:rPr>
        <w:t xml:space="preserve">, por ejemplo, mediante el establecimiento de </w:t>
      </w:r>
      <w:r w:rsidR="009C5D40">
        <w:rPr>
          <w:rFonts w:ascii="Times New Roman" w:hAnsi="Times New Roman" w:cs="Times New Roman"/>
          <w:shd w:val="clear" w:color="auto" w:fill="FFFFFF"/>
        </w:rPr>
        <w:t>programa</w:t>
      </w:r>
      <w:r w:rsidR="00992E88">
        <w:rPr>
          <w:rFonts w:ascii="Times New Roman" w:hAnsi="Times New Roman" w:cs="Times New Roman"/>
          <w:shd w:val="clear" w:color="auto" w:fill="FFFFFF"/>
        </w:rPr>
        <w:t>s</w:t>
      </w:r>
      <w:r w:rsidR="009C5D40">
        <w:rPr>
          <w:rFonts w:ascii="Times New Roman" w:hAnsi="Times New Roman" w:cs="Times New Roman"/>
          <w:shd w:val="clear" w:color="auto" w:fill="FFFFFF"/>
        </w:rPr>
        <w:t xml:space="preserve"> </w:t>
      </w:r>
      <w:r w:rsidR="00992E88">
        <w:rPr>
          <w:rFonts w:ascii="Times New Roman" w:hAnsi="Times New Roman" w:cs="Times New Roman"/>
          <w:shd w:val="clear" w:color="auto" w:fill="FFFFFF"/>
        </w:rPr>
        <w:t>para la integración de este perfil (15 a 29 años)</w:t>
      </w:r>
      <w:r>
        <w:rPr>
          <w:rFonts w:ascii="Times New Roman" w:hAnsi="Times New Roman" w:cs="Times New Roman"/>
          <w:shd w:val="clear" w:color="auto" w:fill="FFFFFF"/>
        </w:rPr>
        <w:t>,</w:t>
      </w:r>
      <w:r w:rsidR="0055091A">
        <w:rPr>
          <w:rFonts w:ascii="Times New Roman" w:hAnsi="Times New Roman" w:cs="Times New Roman"/>
          <w:shd w:val="clear" w:color="auto" w:fill="FFFFFF"/>
        </w:rPr>
        <w:t xml:space="preserve"> </w:t>
      </w:r>
      <w:r w:rsidR="00992E88">
        <w:rPr>
          <w:rFonts w:ascii="Times New Roman" w:hAnsi="Times New Roman" w:cs="Times New Roman"/>
          <w:shd w:val="clear" w:color="auto" w:fill="FFFFFF"/>
        </w:rPr>
        <w:t xml:space="preserve">en donde se integren </w:t>
      </w:r>
      <w:r w:rsidR="0055091A">
        <w:rPr>
          <w:rFonts w:ascii="Times New Roman" w:hAnsi="Times New Roman" w:cs="Times New Roman"/>
          <w:shd w:val="clear" w:color="auto" w:fill="FFFFFF"/>
        </w:rPr>
        <w:t xml:space="preserve">proyectos de ciencia e investigación y </w:t>
      </w:r>
      <w:r w:rsidR="00A528D3">
        <w:rPr>
          <w:rFonts w:ascii="Times New Roman" w:hAnsi="Times New Roman" w:cs="Times New Roman"/>
          <w:shd w:val="clear" w:color="auto" w:fill="FFFFFF"/>
        </w:rPr>
        <w:t xml:space="preserve">que </w:t>
      </w:r>
      <w:r w:rsidR="0055091A">
        <w:rPr>
          <w:rFonts w:ascii="Times New Roman" w:hAnsi="Times New Roman" w:cs="Times New Roman"/>
          <w:shd w:val="clear" w:color="auto" w:fill="FFFFFF"/>
        </w:rPr>
        <w:t>posean un espacio para la divulgación de sus alcances</w:t>
      </w:r>
      <w:r>
        <w:rPr>
          <w:rFonts w:ascii="Times New Roman" w:hAnsi="Times New Roman" w:cs="Times New Roman"/>
          <w:shd w:val="clear" w:color="auto" w:fill="FFFFFF"/>
        </w:rPr>
        <w:t>.</w:t>
      </w:r>
      <w:r w:rsidR="0055091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Es </w:t>
      </w:r>
      <w:r w:rsidR="00A528D3">
        <w:rPr>
          <w:rFonts w:ascii="Times New Roman" w:hAnsi="Times New Roman" w:cs="Times New Roman"/>
          <w:shd w:val="clear" w:color="auto" w:fill="FFFFFF"/>
        </w:rPr>
        <w:t xml:space="preserve">a partir de lo anterior que </w:t>
      </w:r>
      <w:r w:rsidR="0055091A">
        <w:rPr>
          <w:rFonts w:ascii="Times New Roman" w:hAnsi="Times New Roman" w:cs="Times New Roman"/>
          <w:shd w:val="clear" w:color="auto" w:fill="FFFFFF"/>
        </w:rPr>
        <w:t>se va despertando un mayor interés de estos.</w:t>
      </w:r>
      <w:r w:rsidR="00F0370B">
        <w:rPr>
          <w:rFonts w:ascii="Times New Roman" w:hAnsi="Times New Roman" w:cs="Times New Roman"/>
          <w:shd w:val="clear" w:color="auto" w:fill="FFFFFF"/>
        </w:rPr>
        <w:t xml:space="preserve"> </w:t>
      </w:r>
      <w:r w:rsidR="00E148D4">
        <w:rPr>
          <w:rFonts w:ascii="Times New Roman" w:hAnsi="Times New Roman" w:cs="Times New Roman"/>
          <w:shd w:val="clear" w:color="auto" w:fill="FFFFFF"/>
        </w:rPr>
        <w:t>Sin embargo, en instituciones de educación superior aún no se define y establece de forma concreta un programa</w:t>
      </w:r>
      <w:r w:rsidR="005C31E3">
        <w:rPr>
          <w:rFonts w:ascii="Times New Roman" w:hAnsi="Times New Roman" w:cs="Times New Roman"/>
          <w:shd w:val="clear" w:color="auto" w:fill="FFFFFF"/>
        </w:rPr>
        <w:t xml:space="preserve">; </w:t>
      </w:r>
      <w:r w:rsidR="00E148D4">
        <w:rPr>
          <w:rFonts w:ascii="Times New Roman" w:hAnsi="Times New Roman" w:cs="Times New Roman"/>
          <w:shd w:val="clear" w:color="auto" w:fill="FFFFFF"/>
        </w:rPr>
        <w:t xml:space="preserve">para su continuidad </w:t>
      </w:r>
      <w:r w:rsidR="005C31E3">
        <w:rPr>
          <w:rFonts w:ascii="Times New Roman" w:hAnsi="Times New Roman" w:cs="Times New Roman"/>
          <w:shd w:val="clear" w:color="auto" w:fill="FFFFFF"/>
        </w:rPr>
        <w:t xml:space="preserve">se </w:t>
      </w:r>
      <w:r w:rsidR="00E148D4">
        <w:rPr>
          <w:rFonts w:ascii="Times New Roman" w:hAnsi="Times New Roman" w:cs="Times New Roman"/>
          <w:shd w:val="clear" w:color="auto" w:fill="FFFFFF"/>
        </w:rPr>
        <w:t xml:space="preserve">depende de las convocatorias y los recursos que estas provean. </w:t>
      </w:r>
    </w:p>
    <w:p w14:paraId="4F686D3C" w14:textId="6C1C0ACE" w:rsidR="00A147D7" w:rsidRDefault="00A528D3" w:rsidP="00FF6D96">
      <w:pPr>
        <w:spacing w:line="360" w:lineRule="auto"/>
        <w:ind w:firstLine="708"/>
        <w:jc w:val="both"/>
        <w:rPr>
          <w:rFonts w:ascii="Times New Roman" w:hAnsi="Times New Roman" w:cs="Times New Roman"/>
        </w:rPr>
      </w:pPr>
      <w:r>
        <w:rPr>
          <w:rFonts w:ascii="Times New Roman" w:hAnsi="Times New Roman" w:cs="Times New Roman"/>
          <w:shd w:val="clear" w:color="auto" w:fill="FFFFFF"/>
        </w:rPr>
        <w:lastRenderedPageBreak/>
        <w:t>De acuerdo con Simarro (2012)</w:t>
      </w:r>
      <w:r w:rsidR="005C31E3">
        <w:rPr>
          <w:rFonts w:ascii="Times New Roman" w:hAnsi="Times New Roman" w:cs="Times New Roman"/>
          <w:shd w:val="clear" w:color="auto" w:fill="FFFFFF"/>
        </w:rPr>
        <w:t>,</w:t>
      </w:r>
      <w:r>
        <w:rPr>
          <w:rFonts w:ascii="Times New Roman" w:hAnsi="Times New Roman" w:cs="Times New Roman"/>
          <w:shd w:val="clear" w:color="auto" w:fill="FFFFFF"/>
        </w:rPr>
        <w:t xml:space="preserve"> el mundo laboral necesita personas con competencias científico</w:t>
      </w:r>
      <w:r w:rsidR="00230F25">
        <w:rPr>
          <w:rFonts w:ascii="Times New Roman" w:hAnsi="Times New Roman" w:cs="Times New Roman"/>
          <w:shd w:val="clear" w:color="auto" w:fill="FFFFFF"/>
        </w:rPr>
        <w:t>-</w:t>
      </w:r>
      <w:r>
        <w:rPr>
          <w:rFonts w:ascii="Times New Roman" w:hAnsi="Times New Roman" w:cs="Times New Roman"/>
          <w:shd w:val="clear" w:color="auto" w:fill="FFFFFF"/>
        </w:rPr>
        <w:t xml:space="preserve">técnicas, así como </w:t>
      </w:r>
      <w:r w:rsidR="00BA66E2">
        <w:rPr>
          <w:rFonts w:ascii="Times New Roman" w:hAnsi="Times New Roman" w:cs="Times New Roman"/>
          <w:shd w:val="clear" w:color="auto" w:fill="FFFFFF"/>
        </w:rPr>
        <w:t xml:space="preserve">con </w:t>
      </w:r>
      <w:r>
        <w:rPr>
          <w:rFonts w:ascii="Times New Roman" w:hAnsi="Times New Roman" w:cs="Times New Roman"/>
          <w:shd w:val="clear" w:color="auto" w:fill="FFFFFF"/>
        </w:rPr>
        <w:t>habilidades para la indagación</w:t>
      </w:r>
      <w:r w:rsidR="00230F25">
        <w:rPr>
          <w:rFonts w:ascii="Times New Roman" w:hAnsi="Times New Roman" w:cs="Times New Roman"/>
          <w:shd w:val="clear" w:color="auto" w:fill="FFFFFF"/>
        </w:rPr>
        <w:t xml:space="preserve"> </w:t>
      </w:r>
      <w:r w:rsidR="00BA66E2">
        <w:rPr>
          <w:rFonts w:ascii="Times New Roman" w:hAnsi="Times New Roman" w:cs="Times New Roman"/>
          <w:shd w:val="clear" w:color="auto" w:fill="FFFFFF"/>
        </w:rPr>
        <w:t xml:space="preserve">asociadas a </w:t>
      </w:r>
      <w:r w:rsidR="00230F25">
        <w:rPr>
          <w:rFonts w:ascii="Times New Roman" w:hAnsi="Times New Roman" w:cs="Times New Roman"/>
          <w:shd w:val="clear" w:color="auto" w:fill="FFFFFF"/>
        </w:rPr>
        <w:t xml:space="preserve">la </w:t>
      </w:r>
      <w:r w:rsidR="00230F25" w:rsidRPr="00230F25">
        <w:rPr>
          <w:rFonts w:ascii="Times New Roman" w:hAnsi="Times New Roman" w:cs="Times New Roman"/>
        </w:rPr>
        <w:t xml:space="preserve">ciencia, tecnología, ingeniería </w:t>
      </w:r>
      <w:r w:rsidR="00BA66E2">
        <w:rPr>
          <w:rFonts w:ascii="Times New Roman" w:hAnsi="Times New Roman" w:cs="Times New Roman"/>
        </w:rPr>
        <w:t xml:space="preserve">y </w:t>
      </w:r>
      <w:r w:rsidR="00230F25" w:rsidRPr="00230F25">
        <w:rPr>
          <w:rFonts w:ascii="Times New Roman" w:hAnsi="Times New Roman" w:cs="Times New Roman"/>
        </w:rPr>
        <w:t xml:space="preserve">matemáticas y </w:t>
      </w:r>
      <w:r w:rsidR="008C6847">
        <w:rPr>
          <w:rFonts w:ascii="Times New Roman" w:hAnsi="Times New Roman" w:cs="Times New Roman"/>
        </w:rPr>
        <w:t>el arte</w:t>
      </w:r>
      <w:r w:rsidR="00601801">
        <w:rPr>
          <w:rFonts w:ascii="Times New Roman" w:hAnsi="Times New Roman" w:cs="Times New Roman"/>
        </w:rPr>
        <w:t>,</w:t>
      </w:r>
      <w:r w:rsidR="00E06294">
        <w:rPr>
          <w:rFonts w:ascii="Times New Roman" w:hAnsi="Times New Roman" w:cs="Times New Roman"/>
        </w:rPr>
        <w:t xml:space="preserve"> </w:t>
      </w:r>
      <w:r w:rsidR="00A147D7" w:rsidRPr="00A147D7">
        <w:rPr>
          <w:rFonts w:ascii="Times New Roman" w:hAnsi="Times New Roman" w:cs="Times New Roman"/>
        </w:rPr>
        <w:t>lo cual indica que las competencias no se relacionan únicamente con la aplicación de la teoría en un mundo laboral, implica la</w:t>
      </w:r>
      <w:r w:rsidR="00A147D7">
        <w:rPr>
          <w:rFonts w:ascii="Times New Roman" w:hAnsi="Times New Roman" w:cs="Times New Roman"/>
        </w:rPr>
        <w:t xml:space="preserve"> apertura e interés por las ciencias y la investigación que consoliden </w:t>
      </w:r>
      <w:r w:rsidR="008C6847">
        <w:rPr>
          <w:rFonts w:ascii="Times New Roman" w:hAnsi="Times New Roman" w:cs="Times New Roman"/>
        </w:rPr>
        <w:t>e</w:t>
      </w:r>
      <w:r w:rsidR="00A147D7">
        <w:rPr>
          <w:rFonts w:ascii="Times New Roman" w:hAnsi="Times New Roman" w:cs="Times New Roman"/>
        </w:rPr>
        <w:t>stas, lo cual generará un valor agregado en el saber-hacer del estudiante de nivel superior. C</w:t>
      </w:r>
      <w:r w:rsidR="00533117">
        <w:rPr>
          <w:rFonts w:ascii="Times New Roman" w:hAnsi="Times New Roman" w:cs="Times New Roman"/>
        </w:rPr>
        <w:t>ontrario a lo que considera</w:t>
      </w:r>
      <w:r w:rsidR="0098218C">
        <w:rPr>
          <w:rFonts w:ascii="Times New Roman" w:hAnsi="Times New Roman" w:cs="Times New Roman"/>
        </w:rPr>
        <w:t>n</w:t>
      </w:r>
      <w:r w:rsidR="00533117">
        <w:rPr>
          <w:rFonts w:ascii="Times New Roman" w:hAnsi="Times New Roman" w:cs="Times New Roman"/>
        </w:rPr>
        <w:t xml:space="preserve"> </w:t>
      </w:r>
      <w:r w:rsidR="0098218C">
        <w:rPr>
          <w:rFonts w:ascii="Times New Roman" w:hAnsi="Times New Roman" w:cs="Times New Roman"/>
        </w:rPr>
        <w:t xml:space="preserve">los </w:t>
      </w:r>
      <w:r w:rsidR="00533117">
        <w:rPr>
          <w:rFonts w:ascii="Times New Roman" w:hAnsi="Times New Roman" w:cs="Times New Roman"/>
        </w:rPr>
        <w:t>estudiante</w:t>
      </w:r>
      <w:r w:rsidR="0098218C">
        <w:rPr>
          <w:rFonts w:ascii="Times New Roman" w:hAnsi="Times New Roman" w:cs="Times New Roman"/>
        </w:rPr>
        <w:t>s de la muestra del presente trabajo</w:t>
      </w:r>
      <w:r w:rsidR="00533117">
        <w:rPr>
          <w:rFonts w:ascii="Times New Roman" w:hAnsi="Times New Roman" w:cs="Times New Roman"/>
        </w:rPr>
        <w:t xml:space="preserve">, </w:t>
      </w:r>
      <w:r w:rsidR="0098218C">
        <w:rPr>
          <w:rFonts w:ascii="Times New Roman" w:hAnsi="Times New Roman" w:cs="Times New Roman"/>
        </w:rPr>
        <w:t xml:space="preserve">puesto que </w:t>
      </w:r>
      <w:r w:rsidR="00533117" w:rsidRPr="00A147D7">
        <w:rPr>
          <w:rFonts w:ascii="Times New Roman" w:hAnsi="Times New Roman" w:cs="Times New Roman"/>
        </w:rPr>
        <w:t>77</w:t>
      </w:r>
      <w:r w:rsidR="004341B4">
        <w:rPr>
          <w:rFonts w:ascii="Times New Roman" w:hAnsi="Times New Roman" w:cs="Times New Roman"/>
        </w:rPr>
        <w:t>.0</w:t>
      </w:r>
      <w:r w:rsidR="0098218C">
        <w:rPr>
          <w:rFonts w:ascii="Times New Roman" w:hAnsi="Times New Roman" w:cs="Times New Roman"/>
        </w:rPr>
        <w:t> </w:t>
      </w:r>
      <w:r w:rsidR="00533117" w:rsidRPr="00A147D7">
        <w:rPr>
          <w:rFonts w:ascii="Times New Roman" w:hAnsi="Times New Roman" w:cs="Times New Roman"/>
        </w:rPr>
        <w:t>%</w:t>
      </w:r>
      <w:r w:rsidR="00533117">
        <w:rPr>
          <w:rFonts w:ascii="Times New Roman" w:hAnsi="Times New Roman" w:cs="Times New Roman"/>
        </w:rPr>
        <w:t xml:space="preserve"> tiene como objetivo incorporarse al sector productivo, omitiendo acciones precisas de ciencia e investigación en su preparación en el nivel </w:t>
      </w:r>
      <w:r w:rsidR="00A147D7">
        <w:rPr>
          <w:rFonts w:ascii="Times New Roman" w:hAnsi="Times New Roman" w:cs="Times New Roman"/>
        </w:rPr>
        <w:t>superior.</w:t>
      </w:r>
      <w:r w:rsidR="00601801">
        <w:rPr>
          <w:rFonts w:ascii="Times New Roman" w:hAnsi="Times New Roman" w:cs="Times New Roman"/>
        </w:rPr>
        <w:t xml:space="preserve"> </w:t>
      </w:r>
    </w:p>
    <w:p w14:paraId="1BE56E3C" w14:textId="2BC30625" w:rsidR="00A57AB8" w:rsidRDefault="00366D4E" w:rsidP="00FF6D96">
      <w:pPr>
        <w:spacing w:line="360" w:lineRule="auto"/>
        <w:ind w:firstLine="708"/>
        <w:jc w:val="both"/>
        <w:rPr>
          <w:rFonts w:ascii="Times New Roman" w:hAnsi="Times New Roman" w:cs="Times New Roman"/>
        </w:rPr>
      </w:pPr>
      <w:r>
        <w:rPr>
          <w:rFonts w:ascii="Times New Roman" w:hAnsi="Times New Roman" w:cs="Times New Roman"/>
        </w:rPr>
        <w:t>De ahí</w:t>
      </w:r>
      <w:r w:rsidR="00601801">
        <w:rPr>
          <w:rFonts w:ascii="Times New Roman" w:hAnsi="Times New Roman" w:cs="Times New Roman"/>
        </w:rPr>
        <w:t xml:space="preserve"> la relevancia del fomento de las vocaciones científicas y el esmero mediante el diseño de estrategias internas de las organizaciones sede de los eventos</w:t>
      </w:r>
      <w:r>
        <w:rPr>
          <w:rFonts w:ascii="Times New Roman" w:hAnsi="Times New Roman" w:cs="Times New Roman"/>
        </w:rPr>
        <w:t xml:space="preserve">. Sin duda </w:t>
      </w:r>
      <w:r w:rsidR="00601801">
        <w:rPr>
          <w:rFonts w:ascii="Times New Roman" w:hAnsi="Times New Roman" w:cs="Times New Roman"/>
        </w:rPr>
        <w:t>se requiere del trabajo integral de toda la estructura de las instituciones</w:t>
      </w:r>
      <w:r>
        <w:rPr>
          <w:rFonts w:ascii="Times New Roman" w:hAnsi="Times New Roman" w:cs="Times New Roman"/>
        </w:rPr>
        <w:t>.</w:t>
      </w:r>
      <w:r w:rsidR="00601801">
        <w:rPr>
          <w:rFonts w:ascii="Times New Roman" w:hAnsi="Times New Roman" w:cs="Times New Roman"/>
        </w:rPr>
        <w:t xml:space="preserve"> </w:t>
      </w:r>
      <w:r>
        <w:rPr>
          <w:rFonts w:ascii="Times New Roman" w:hAnsi="Times New Roman" w:cs="Times New Roman"/>
        </w:rPr>
        <w:t xml:space="preserve">La </w:t>
      </w:r>
      <w:r w:rsidR="00601801">
        <w:rPr>
          <w:rFonts w:ascii="Times New Roman" w:hAnsi="Times New Roman" w:cs="Times New Roman"/>
        </w:rPr>
        <w:t xml:space="preserve">vinculación interinstitucional juega un papel fundamental para </w:t>
      </w:r>
      <w:r w:rsidR="000B0ED6">
        <w:rPr>
          <w:rFonts w:ascii="Times New Roman" w:hAnsi="Times New Roman" w:cs="Times New Roman"/>
        </w:rPr>
        <w:t>l</w:t>
      </w:r>
      <w:r w:rsidR="00601801">
        <w:rPr>
          <w:rFonts w:ascii="Times New Roman" w:hAnsi="Times New Roman" w:cs="Times New Roman"/>
        </w:rPr>
        <w:t>legar a nuevos espacios y territorios en donde la juventud resida y pueda visualizar los esfuerzos contraídos para tal efecto</w:t>
      </w:r>
      <w:r w:rsidR="000B0ED6">
        <w:rPr>
          <w:rFonts w:ascii="Times New Roman" w:hAnsi="Times New Roman" w:cs="Times New Roman"/>
        </w:rPr>
        <w:t xml:space="preserve"> y las implicaciones tecnológicas y de recursos sean menos limitantes </w:t>
      </w:r>
      <w:r w:rsidR="00737D16">
        <w:rPr>
          <w:rFonts w:ascii="Times New Roman" w:hAnsi="Times New Roman" w:cs="Times New Roman"/>
        </w:rPr>
        <w:t xml:space="preserve">y más accesibles </w:t>
      </w:r>
      <w:r w:rsidR="000B0ED6">
        <w:rPr>
          <w:rFonts w:ascii="Times New Roman" w:hAnsi="Times New Roman" w:cs="Times New Roman"/>
        </w:rPr>
        <w:t>para estos</w:t>
      </w:r>
      <w:r w:rsidR="00601801">
        <w:rPr>
          <w:rFonts w:ascii="Times New Roman" w:hAnsi="Times New Roman" w:cs="Times New Roman"/>
        </w:rPr>
        <w:t xml:space="preserve">. </w:t>
      </w:r>
      <w:r w:rsidR="00763EB9">
        <w:rPr>
          <w:rFonts w:ascii="Times New Roman" w:hAnsi="Times New Roman" w:cs="Times New Roman"/>
        </w:rPr>
        <w:t>También se detecta la ausencia en técnicas y herramientas para la investigación dirigidas hacia los jóvenes en la enseñanza</w:t>
      </w:r>
      <w:r w:rsidR="001420E7">
        <w:rPr>
          <w:rFonts w:ascii="Times New Roman" w:hAnsi="Times New Roman" w:cs="Times New Roman"/>
        </w:rPr>
        <w:t>, así como la revisión precisa de los proyectos, tareas e investigaciones inherentes a las asignaturas en las instituciones, lo cual repercute en el interés y deseo por la investigación o ciencia, pero sobre todo en visualizar en estas un alto nivel de complejidad.</w:t>
      </w:r>
      <w:r w:rsidR="00601801">
        <w:rPr>
          <w:rFonts w:ascii="Times New Roman" w:hAnsi="Times New Roman" w:cs="Times New Roman"/>
        </w:rPr>
        <w:t xml:space="preserve"> </w:t>
      </w:r>
    </w:p>
    <w:p w14:paraId="3F6DD3B1" w14:textId="77777777" w:rsidR="00873588" w:rsidRPr="00230F25" w:rsidRDefault="00873588" w:rsidP="00FF6D96">
      <w:pPr>
        <w:spacing w:line="360" w:lineRule="auto"/>
        <w:ind w:firstLine="708"/>
        <w:jc w:val="both"/>
        <w:rPr>
          <w:rFonts w:ascii="Times New Roman" w:hAnsi="Times New Roman" w:cs="Times New Roman"/>
          <w:shd w:val="clear" w:color="auto" w:fill="FFFFFF"/>
        </w:rPr>
      </w:pPr>
    </w:p>
    <w:p w14:paraId="674D7EB7" w14:textId="2B8EAF3C" w:rsidR="00370CD5" w:rsidRPr="00075DC5" w:rsidRDefault="00370CD5" w:rsidP="003D62E4">
      <w:pPr>
        <w:spacing w:line="360" w:lineRule="auto"/>
        <w:jc w:val="center"/>
        <w:rPr>
          <w:rFonts w:ascii="Times New Roman" w:hAnsi="Times New Roman" w:cs="Times New Roman"/>
          <w:b/>
          <w:bCs/>
          <w:sz w:val="32"/>
          <w:shd w:val="clear" w:color="auto" w:fill="FFFFFF"/>
        </w:rPr>
      </w:pPr>
      <w:r w:rsidRPr="00075DC5">
        <w:rPr>
          <w:rFonts w:ascii="Times New Roman" w:hAnsi="Times New Roman" w:cs="Times New Roman"/>
          <w:b/>
          <w:bCs/>
          <w:sz w:val="32"/>
          <w:shd w:val="clear" w:color="auto" w:fill="FFFFFF"/>
        </w:rPr>
        <w:t>Conclusiones</w:t>
      </w:r>
    </w:p>
    <w:p w14:paraId="56934E0A" w14:textId="692C8E9C" w:rsidR="00DB7BB0" w:rsidRDefault="00F227BC"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En general</w:t>
      </w:r>
      <w:r w:rsidR="00366D4E">
        <w:rPr>
          <w:rFonts w:ascii="Times New Roman" w:hAnsi="Times New Roman" w:cs="Times New Roman"/>
          <w:shd w:val="clear" w:color="auto" w:fill="FFFFFF"/>
        </w:rPr>
        <w:t>,</w:t>
      </w:r>
      <w:r w:rsidR="00370CD5">
        <w:rPr>
          <w:rFonts w:ascii="Times New Roman" w:hAnsi="Times New Roman" w:cs="Times New Roman"/>
          <w:shd w:val="clear" w:color="auto" w:fill="FFFFFF"/>
        </w:rPr>
        <w:t xml:space="preserve"> se pudo detectar que bajo la modalidad en línea </w:t>
      </w:r>
      <w:r w:rsidR="00370CD5" w:rsidRPr="00370CD5">
        <w:rPr>
          <w:rFonts w:ascii="Times New Roman" w:hAnsi="Times New Roman" w:cs="Times New Roman"/>
          <w:shd w:val="clear" w:color="auto" w:fill="FFFFFF"/>
        </w:rPr>
        <w:t>el fomento de las vocaciones científicas en los jóvenes de Yucatán</w:t>
      </w:r>
      <w:r w:rsidR="00B2031B">
        <w:rPr>
          <w:rFonts w:ascii="Times New Roman" w:hAnsi="Times New Roman" w:cs="Times New Roman"/>
          <w:shd w:val="clear" w:color="auto" w:fill="FFFFFF"/>
        </w:rPr>
        <w:t xml:space="preserve"> </w:t>
      </w:r>
      <w:r w:rsidR="00427344" w:rsidRPr="00427344">
        <w:rPr>
          <w:rFonts w:ascii="Times New Roman" w:hAnsi="Times New Roman" w:cs="Times New Roman"/>
          <w:shd w:val="clear" w:color="auto" w:fill="FFFFFF"/>
        </w:rPr>
        <w:t xml:space="preserve">durante la pandemia </w:t>
      </w:r>
      <w:r w:rsidR="00427344" w:rsidRPr="00B2031B">
        <w:rPr>
          <w:rFonts w:ascii="Times New Roman" w:hAnsi="Times New Roman" w:cs="Times New Roman"/>
          <w:shd w:val="clear" w:color="auto" w:fill="FFFFFF"/>
        </w:rPr>
        <w:t xml:space="preserve">de la </w:t>
      </w:r>
      <w:r w:rsidR="00366D4E">
        <w:rPr>
          <w:rFonts w:ascii="Times New Roman" w:hAnsi="Times New Roman" w:cs="Times New Roman"/>
          <w:shd w:val="clear" w:color="auto" w:fill="FFFFFF"/>
        </w:rPr>
        <w:t>c</w:t>
      </w:r>
      <w:r w:rsidR="00427344" w:rsidRPr="00B2031B">
        <w:rPr>
          <w:rFonts w:ascii="Times New Roman" w:hAnsi="Times New Roman" w:cs="Times New Roman"/>
          <w:shd w:val="clear" w:color="auto" w:fill="FFFFFF"/>
        </w:rPr>
        <w:t xml:space="preserve">ovid-19 estimuló </w:t>
      </w:r>
      <w:r w:rsidR="00427344" w:rsidRPr="00427344">
        <w:rPr>
          <w:rFonts w:ascii="Times New Roman" w:hAnsi="Times New Roman" w:cs="Times New Roman"/>
          <w:shd w:val="clear" w:color="auto" w:fill="FFFFFF"/>
        </w:rPr>
        <w:t>las actividades de investigación</w:t>
      </w:r>
      <w:r w:rsidR="00427344">
        <w:rPr>
          <w:rFonts w:ascii="Times New Roman" w:hAnsi="Times New Roman" w:cs="Times New Roman"/>
          <w:b/>
          <w:bCs/>
          <w:shd w:val="clear" w:color="auto" w:fill="FFFFFF"/>
        </w:rPr>
        <w:t xml:space="preserve"> </w:t>
      </w:r>
      <w:r w:rsidR="00427344">
        <w:rPr>
          <w:rFonts w:ascii="Times New Roman" w:hAnsi="Times New Roman" w:cs="Times New Roman"/>
          <w:shd w:val="clear" w:color="auto" w:fill="FFFFFF"/>
        </w:rPr>
        <w:t>en Yucatán y otras entidades federativas que participaron</w:t>
      </w:r>
      <w:r w:rsidR="00366D4E">
        <w:rPr>
          <w:rFonts w:ascii="Times New Roman" w:hAnsi="Times New Roman" w:cs="Times New Roman"/>
          <w:shd w:val="clear" w:color="auto" w:fill="FFFFFF"/>
        </w:rPr>
        <w:t>.</w:t>
      </w:r>
      <w:r w:rsidR="00427344">
        <w:rPr>
          <w:rFonts w:ascii="Times New Roman" w:hAnsi="Times New Roman" w:cs="Times New Roman"/>
          <w:shd w:val="clear" w:color="auto" w:fill="FFFFFF"/>
        </w:rPr>
        <w:t xml:space="preserve"> </w:t>
      </w:r>
      <w:r w:rsidR="00366D4E">
        <w:rPr>
          <w:rFonts w:ascii="Times New Roman" w:hAnsi="Times New Roman" w:cs="Times New Roman"/>
          <w:shd w:val="clear" w:color="auto" w:fill="FFFFFF"/>
        </w:rPr>
        <w:t xml:space="preserve">Bajo </w:t>
      </w:r>
      <w:r w:rsidR="00427344">
        <w:rPr>
          <w:rFonts w:ascii="Times New Roman" w:hAnsi="Times New Roman" w:cs="Times New Roman"/>
          <w:shd w:val="clear" w:color="auto" w:fill="FFFFFF"/>
        </w:rPr>
        <w:t xml:space="preserve">este enfoque se va transitando </w:t>
      </w:r>
      <w:r w:rsidR="00B2031B">
        <w:rPr>
          <w:rFonts w:ascii="Times New Roman" w:hAnsi="Times New Roman" w:cs="Times New Roman"/>
          <w:shd w:val="clear" w:color="auto" w:fill="FFFFFF"/>
        </w:rPr>
        <w:t xml:space="preserve">hacia una </w:t>
      </w:r>
      <w:r w:rsidR="00427344">
        <w:rPr>
          <w:rFonts w:ascii="Times New Roman" w:hAnsi="Times New Roman" w:cs="Times New Roman"/>
          <w:shd w:val="clear" w:color="auto" w:fill="FFFFFF"/>
        </w:rPr>
        <w:t>cultura</w:t>
      </w:r>
      <w:r w:rsidR="00296412">
        <w:rPr>
          <w:rFonts w:ascii="Times New Roman" w:hAnsi="Times New Roman" w:cs="Times New Roman"/>
          <w:shd w:val="clear" w:color="auto" w:fill="FFFFFF"/>
        </w:rPr>
        <w:t xml:space="preserve"> </w:t>
      </w:r>
      <w:r w:rsidR="00EA4540" w:rsidRPr="00A15768">
        <w:rPr>
          <w:rFonts w:ascii="Times New Roman" w:hAnsi="Times New Roman" w:cs="Times New Roman"/>
          <w:shd w:val="clear" w:color="auto" w:fill="FFFFFF"/>
        </w:rPr>
        <w:t>educativa y de enseñanza, afianzando la investigación y el sustento</w:t>
      </w:r>
      <w:r w:rsidR="00296412">
        <w:rPr>
          <w:rFonts w:ascii="Times New Roman" w:hAnsi="Times New Roman" w:cs="Times New Roman"/>
          <w:shd w:val="clear" w:color="auto" w:fill="FFFFFF"/>
        </w:rPr>
        <w:t xml:space="preserve"> </w:t>
      </w:r>
      <w:r w:rsidR="00EA4540" w:rsidRPr="00A15768">
        <w:rPr>
          <w:rFonts w:ascii="Times New Roman" w:hAnsi="Times New Roman" w:cs="Times New Roman"/>
          <w:shd w:val="clear" w:color="auto" w:fill="FFFFFF"/>
        </w:rPr>
        <w:t xml:space="preserve">de esta a través de la búsqueda de información en bases de datos académicas y especializadas que permitan productos, proyectos e investigaciones de mejor calidad de los profesores, investigadores, pero principalmente </w:t>
      </w:r>
      <w:r w:rsidR="00A15768" w:rsidRPr="00A15768">
        <w:rPr>
          <w:rFonts w:ascii="Times New Roman" w:hAnsi="Times New Roman" w:cs="Times New Roman"/>
          <w:shd w:val="clear" w:color="auto" w:fill="FFFFFF"/>
        </w:rPr>
        <w:t>guiar hacia ese camino al estudiante de nivel superior.</w:t>
      </w:r>
      <w:r w:rsidR="00A15768">
        <w:rPr>
          <w:rFonts w:ascii="Times New Roman" w:hAnsi="Times New Roman" w:cs="Times New Roman"/>
          <w:shd w:val="clear" w:color="auto" w:fill="FFFFFF"/>
        </w:rPr>
        <w:t xml:space="preserve"> </w:t>
      </w:r>
      <w:r w:rsidR="00F90D40">
        <w:rPr>
          <w:rFonts w:ascii="Times New Roman" w:hAnsi="Times New Roman" w:cs="Times New Roman"/>
          <w:shd w:val="clear" w:color="auto" w:fill="FFFFFF"/>
        </w:rPr>
        <w:t>Es en efecto el nivel de educación superior un espacio para consolidar la ciencia y tecnología, para que el estudiante vislumbre el escenario de los posgrados como un espacio de integración en áreas afines a su especialidad.</w:t>
      </w:r>
      <w:r w:rsidR="00591783">
        <w:rPr>
          <w:rFonts w:ascii="Times New Roman" w:hAnsi="Times New Roman" w:cs="Times New Roman"/>
          <w:shd w:val="clear" w:color="auto" w:fill="FFFFFF"/>
        </w:rPr>
        <w:t xml:space="preserve"> </w:t>
      </w:r>
    </w:p>
    <w:p w14:paraId="7519393C" w14:textId="6D8B94D4" w:rsidR="00764F77" w:rsidRPr="003D62E4" w:rsidRDefault="00764F77" w:rsidP="003D62E4">
      <w:pPr>
        <w:spacing w:line="360" w:lineRule="auto"/>
        <w:jc w:val="center"/>
        <w:rPr>
          <w:rFonts w:ascii="Times New Roman" w:hAnsi="Times New Roman" w:cs="Times New Roman"/>
          <w:b/>
          <w:bCs/>
          <w:sz w:val="28"/>
          <w:szCs w:val="22"/>
          <w:shd w:val="clear" w:color="auto" w:fill="FFFFFF"/>
        </w:rPr>
      </w:pPr>
      <w:r w:rsidRPr="003D62E4">
        <w:rPr>
          <w:rFonts w:ascii="Times New Roman" w:hAnsi="Times New Roman" w:cs="Times New Roman"/>
          <w:b/>
          <w:bCs/>
          <w:sz w:val="28"/>
          <w:szCs w:val="22"/>
          <w:shd w:val="clear" w:color="auto" w:fill="FFFFFF"/>
        </w:rPr>
        <w:lastRenderedPageBreak/>
        <w:t>Futuras líneas de investigación</w:t>
      </w:r>
    </w:p>
    <w:p w14:paraId="1ED97EE1" w14:textId="681F2AF2" w:rsidR="00764F77" w:rsidRDefault="005E7631" w:rsidP="00FF6D96">
      <w:pPr>
        <w:spacing w:line="360" w:lineRule="auto"/>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De este modo</w:t>
      </w:r>
      <w:r w:rsidR="00764F77">
        <w:rPr>
          <w:rFonts w:ascii="Times New Roman" w:hAnsi="Times New Roman" w:cs="Times New Roman"/>
          <w:shd w:val="clear" w:color="auto" w:fill="FFFFFF"/>
        </w:rPr>
        <w:t xml:space="preserve"> se pueden plantear las siguientes líneas de investigación que podrán orientar el esfuerzo </w:t>
      </w:r>
      <w:r w:rsidR="00306E45">
        <w:rPr>
          <w:rFonts w:ascii="Times New Roman" w:hAnsi="Times New Roman" w:cs="Times New Roman"/>
          <w:shd w:val="clear" w:color="auto" w:fill="FFFFFF"/>
        </w:rPr>
        <w:t xml:space="preserve">para el fomento de las </w:t>
      </w:r>
      <w:r w:rsidR="00366D4E">
        <w:rPr>
          <w:rFonts w:ascii="Times New Roman" w:hAnsi="Times New Roman" w:cs="Times New Roman"/>
          <w:shd w:val="clear" w:color="auto" w:fill="FFFFFF"/>
        </w:rPr>
        <w:t>v</w:t>
      </w:r>
      <w:r w:rsidR="00306E45">
        <w:rPr>
          <w:rFonts w:ascii="Times New Roman" w:hAnsi="Times New Roman" w:cs="Times New Roman"/>
          <w:shd w:val="clear" w:color="auto" w:fill="FFFFFF"/>
        </w:rPr>
        <w:t xml:space="preserve">ocaciones </w:t>
      </w:r>
      <w:r w:rsidR="00366D4E">
        <w:rPr>
          <w:rFonts w:ascii="Times New Roman" w:hAnsi="Times New Roman" w:cs="Times New Roman"/>
          <w:shd w:val="clear" w:color="auto" w:fill="FFFFFF"/>
        </w:rPr>
        <w:t>c</w:t>
      </w:r>
      <w:r w:rsidR="00306E45">
        <w:rPr>
          <w:rFonts w:ascii="Times New Roman" w:hAnsi="Times New Roman" w:cs="Times New Roman"/>
          <w:shd w:val="clear" w:color="auto" w:fill="FFFFFF"/>
        </w:rPr>
        <w:t xml:space="preserve">ientíficas </w:t>
      </w:r>
      <w:r>
        <w:rPr>
          <w:rFonts w:ascii="Times New Roman" w:hAnsi="Times New Roman" w:cs="Times New Roman"/>
          <w:shd w:val="clear" w:color="auto" w:fill="FFFFFF"/>
        </w:rPr>
        <w:t xml:space="preserve">y </w:t>
      </w:r>
      <w:r w:rsidR="00306E45">
        <w:rPr>
          <w:rFonts w:ascii="Times New Roman" w:hAnsi="Times New Roman" w:cs="Times New Roman"/>
          <w:shd w:val="clear" w:color="auto" w:fill="FFFFFF"/>
        </w:rPr>
        <w:t xml:space="preserve">que </w:t>
      </w:r>
      <w:r w:rsidR="00075DC5">
        <w:rPr>
          <w:rFonts w:ascii="Times New Roman" w:hAnsi="Times New Roman" w:cs="Times New Roman"/>
          <w:shd w:val="clear" w:color="auto" w:fill="FFFFFF"/>
        </w:rPr>
        <w:t>coadyuve</w:t>
      </w:r>
      <w:r w:rsidR="00306E45">
        <w:rPr>
          <w:rFonts w:ascii="Times New Roman" w:hAnsi="Times New Roman" w:cs="Times New Roman"/>
          <w:shd w:val="clear" w:color="auto" w:fill="FFFFFF"/>
        </w:rPr>
        <w:t xml:space="preserve"> en la integración de los jóvenes de educación superior por decisión y elección profesional </w:t>
      </w:r>
      <w:r>
        <w:rPr>
          <w:rFonts w:ascii="Times New Roman" w:hAnsi="Times New Roman" w:cs="Times New Roman"/>
          <w:shd w:val="clear" w:color="auto" w:fill="FFFFFF"/>
        </w:rPr>
        <w:t xml:space="preserve">hacia </w:t>
      </w:r>
      <w:r w:rsidR="00306E45">
        <w:rPr>
          <w:rFonts w:ascii="Times New Roman" w:hAnsi="Times New Roman" w:cs="Times New Roman"/>
          <w:shd w:val="clear" w:color="auto" w:fill="FFFFFF"/>
        </w:rPr>
        <w:t xml:space="preserve">los posgrados alineados a la investigación y ciencia: </w:t>
      </w:r>
      <w:r w:rsidR="00306E45" w:rsidRPr="00421EB7">
        <w:rPr>
          <w:rFonts w:ascii="Times New Roman" w:hAnsi="Times New Roman" w:cs="Times New Roman"/>
          <w:i/>
          <w:iCs/>
          <w:shd w:val="clear" w:color="auto" w:fill="FFFFFF"/>
        </w:rPr>
        <w:t>a)</w:t>
      </w:r>
      <w:r w:rsidR="00306E45">
        <w:rPr>
          <w:rFonts w:ascii="Times New Roman" w:hAnsi="Times New Roman" w:cs="Times New Roman"/>
          <w:shd w:val="clear" w:color="auto" w:fill="FFFFFF"/>
        </w:rPr>
        <w:t xml:space="preserve"> </w:t>
      </w:r>
      <w:r w:rsidR="00366D4E">
        <w:rPr>
          <w:rFonts w:ascii="Times New Roman" w:hAnsi="Times New Roman" w:cs="Times New Roman"/>
          <w:shd w:val="clear" w:color="auto" w:fill="FFFFFF"/>
        </w:rPr>
        <w:t xml:space="preserve">perspectiva </w:t>
      </w:r>
      <w:r>
        <w:rPr>
          <w:rFonts w:ascii="Times New Roman" w:hAnsi="Times New Roman" w:cs="Times New Roman"/>
          <w:shd w:val="clear" w:color="auto" w:fill="FFFFFF"/>
        </w:rPr>
        <w:t>de género en las vocaciones científicas</w:t>
      </w:r>
      <w:r w:rsidR="00366D4E">
        <w:rPr>
          <w:rFonts w:ascii="Times New Roman" w:hAnsi="Times New Roman" w:cs="Times New Roman"/>
          <w:shd w:val="clear" w:color="auto" w:fill="FFFFFF"/>
        </w:rPr>
        <w:t xml:space="preserve"> y</w:t>
      </w:r>
      <w:r w:rsidR="00306E45">
        <w:rPr>
          <w:rFonts w:ascii="Times New Roman" w:hAnsi="Times New Roman" w:cs="Times New Roman"/>
          <w:shd w:val="clear" w:color="auto" w:fill="FFFFFF"/>
        </w:rPr>
        <w:t xml:space="preserve"> </w:t>
      </w:r>
      <w:r w:rsidR="00306E45" w:rsidRPr="00421EB7">
        <w:rPr>
          <w:rFonts w:ascii="Times New Roman" w:hAnsi="Times New Roman" w:cs="Times New Roman"/>
          <w:i/>
          <w:iCs/>
          <w:shd w:val="clear" w:color="auto" w:fill="FFFFFF"/>
        </w:rPr>
        <w:t>b)</w:t>
      </w:r>
      <w:r w:rsidR="00306E45">
        <w:rPr>
          <w:rFonts w:ascii="Times New Roman" w:hAnsi="Times New Roman" w:cs="Times New Roman"/>
          <w:shd w:val="clear" w:color="auto" w:fill="FFFFFF"/>
        </w:rPr>
        <w:t xml:space="preserve"> </w:t>
      </w:r>
      <w:r w:rsidR="00366D4E">
        <w:rPr>
          <w:rFonts w:ascii="Times New Roman" w:hAnsi="Times New Roman" w:cs="Times New Roman"/>
          <w:shd w:val="clear" w:color="auto" w:fill="FFFFFF"/>
        </w:rPr>
        <w:t>c</w:t>
      </w:r>
      <w:r>
        <w:rPr>
          <w:rFonts w:ascii="Times New Roman" w:hAnsi="Times New Roman" w:cs="Times New Roman"/>
          <w:shd w:val="clear" w:color="auto" w:fill="FFFFFF"/>
        </w:rPr>
        <w:t>ultura científica</w:t>
      </w:r>
      <w:r w:rsidR="00002B04">
        <w:rPr>
          <w:rFonts w:ascii="Times New Roman" w:hAnsi="Times New Roman" w:cs="Times New Roman"/>
          <w:shd w:val="clear" w:color="auto" w:fill="FFFFFF"/>
        </w:rPr>
        <w:t>.</w:t>
      </w:r>
    </w:p>
    <w:p w14:paraId="4B734DFB" w14:textId="77777777" w:rsidR="00873588" w:rsidRDefault="00873588" w:rsidP="00FF6D96">
      <w:pPr>
        <w:spacing w:line="360" w:lineRule="auto"/>
        <w:ind w:firstLine="708"/>
        <w:jc w:val="both"/>
        <w:rPr>
          <w:rFonts w:ascii="Times New Roman" w:hAnsi="Times New Roman" w:cs="Times New Roman"/>
          <w:shd w:val="clear" w:color="auto" w:fill="FFFFFF"/>
        </w:rPr>
      </w:pPr>
    </w:p>
    <w:p w14:paraId="4511309D" w14:textId="58871890" w:rsidR="00291915" w:rsidRPr="00235FF2" w:rsidRDefault="00291915" w:rsidP="00421EB7">
      <w:pPr>
        <w:spacing w:line="360" w:lineRule="auto"/>
        <w:rPr>
          <w:rFonts w:cstheme="minorHAnsi"/>
          <w:b/>
          <w:bCs/>
          <w:sz w:val="28"/>
          <w:szCs w:val="22"/>
          <w:shd w:val="clear" w:color="auto" w:fill="FFFFFF"/>
          <w:lang w:val="es-MX"/>
        </w:rPr>
      </w:pPr>
      <w:r w:rsidRPr="00D96F86">
        <w:rPr>
          <w:rFonts w:cstheme="minorHAnsi"/>
          <w:b/>
          <w:bCs/>
          <w:sz w:val="28"/>
          <w:szCs w:val="22"/>
          <w:shd w:val="clear" w:color="auto" w:fill="FFFFFF"/>
          <w:lang w:val="es-MX"/>
        </w:rPr>
        <w:t>Referencias</w:t>
      </w:r>
    </w:p>
    <w:p w14:paraId="2EBBC777" w14:textId="5F0CB57D" w:rsidR="007E17FA" w:rsidRPr="00421EB7" w:rsidRDefault="007E17FA" w:rsidP="00FF6D96">
      <w:pPr>
        <w:pStyle w:val="Bibliografa"/>
        <w:spacing w:line="360" w:lineRule="auto"/>
        <w:ind w:left="720" w:hanging="709"/>
        <w:jc w:val="both"/>
        <w:rPr>
          <w:rFonts w:ascii="Times New Roman" w:hAnsi="Times New Roman" w:cs="Times New Roman"/>
          <w:lang w:val="en-US"/>
        </w:rPr>
      </w:pPr>
      <w:r w:rsidRPr="00235FF2">
        <w:rPr>
          <w:rFonts w:ascii="Times New Roman" w:hAnsi="Times New Roman" w:cs="Times New Roman"/>
          <w:lang w:val="es-MX"/>
        </w:rPr>
        <w:t xml:space="preserve">Ackerman, P. L. </w:t>
      </w:r>
      <w:r w:rsidR="00555D8D" w:rsidRPr="00235FF2">
        <w:rPr>
          <w:rFonts w:ascii="Times New Roman" w:hAnsi="Times New Roman" w:cs="Times New Roman"/>
          <w:lang w:val="es-MX"/>
        </w:rPr>
        <w:t>&amp;</w:t>
      </w:r>
      <w:r w:rsidRPr="00235FF2">
        <w:rPr>
          <w:rFonts w:ascii="Times New Roman" w:hAnsi="Times New Roman" w:cs="Times New Roman"/>
          <w:lang w:val="es-MX"/>
        </w:rPr>
        <w:t xml:space="preserve"> </w:t>
      </w:r>
      <w:proofErr w:type="spellStart"/>
      <w:r w:rsidRPr="00235FF2">
        <w:rPr>
          <w:rFonts w:ascii="Times New Roman" w:hAnsi="Times New Roman" w:cs="Times New Roman"/>
          <w:lang w:val="es-MX"/>
        </w:rPr>
        <w:t>Heggestad</w:t>
      </w:r>
      <w:proofErr w:type="spellEnd"/>
      <w:r w:rsidRPr="00235FF2">
        <w:rPr>
          <w:rFonts w:ascii="Times New Roman" w:hAnsi="Times New Roman" w:cs="Times New Roman"/>
          <w:lang w:val="es-MX"/>
        </w:rPr>
        <w:t xml:space="preserve">, E. D. (1997). </w:t>
      </w:r>
      <w:r w:rsidRPr="007E17FA">
        <w:rPr>
          <w:rFonts w:ascii="Times New Roman" w:hAnsi="Times New Roman" w:cs="Times New Roman"/>
          <w:lang w:val="en-US"/>
        </w:rPr>
        <w:t xml:space="preserve">Intelligence, personality, and interests: Evidence for overlapping traits. </w:t>
      </w:r>
      <w:r w:rsidRPr="00421EB7">
        <w:rPr>
          <w:rFonts w:ascii="Times New Roman" w:hAnsi="Times New Roman" w:cs="Times New Roman"/>
          <w:i/>
          <w:iCs/>
          <w:lang w:val="en-US"/>
        </w:rPr>
        <w:t>Psychological Bulletin</w:t>
      </w:r>
      <w:r w:rsidRPr="00421EB7">
        <w:rPr>
          <w:rFonts w:ascii="Times New Roman" w:hAnsi="Times New Roman" w:cs="Times New Roman"/>
          <w:lang w:val="en-US"/>
        </w:rPr>
        <w:t xml:space="preserve">, </w:t>
      </w:r>
      <w:r w:rsidRPr="00421EB7">
        <w:rPr>
          <w:rFonts w:ascii="Times New Roman" w:hAnsi="Times New Roman" w:cs="Times New Roman"/>
          <w:i/>
          <w:iCs/>
          <w:lang w:val="en-US"/>
        </w:rPr>
        <w:t>121</w:t>
      </w:r>
      <w:r w:rsidRPr="00421EB7">
        <w:rPr>
          <w:rFonts w:ascii="Times New Roman" w:hAnsi="Times New Roman" w:cs="Times New Roman"/>
          <w:lang w:val="en-US"/>
        </w:rPr>
        <w:t xml:space="preserve">(2), 219-245. </w:t>
      </w:r>
      <w:r w:rsidR="00765525" w:rsidRPr="00421EB7">
        <w:rPr>
          <w:rFonts w:ascii="Times New Roman" w:hAnsi="Times New Roman" w:cs="Times New Roman"/>
          <w:lang w:val="en-US"/>
        </w:rPr>
        <w:t xml:space="preserve">Retrieved from </w:t>
      </w:r>
      <w:r w:rsidR="0073653D" w:rsidRPr="00421EB7">
        <w:rPr>
          <w:rFonts w:ascii="Times New Roman" w:hAnsi="Times New Roman" w:cs="Times New Roman"/>
          <w:lang w:val="en-US"/>
        </w:rPr>
        <w:t>https://psycnet.apa.org/record/1997-02872-004</w:t>
      </w:r>
      <w:r w:rsidR="00765525" w:rsidRPr="00421EB7">
        <w:rPr>
          <w:rFonts w:ascii="Times New Roman" w:hAnsi="Times New Roman" w:cs="Times New Roman"/>
          <w:lang w:val="en-US"/>
        </w:rPr>
        <w:t>.</w:t>
      </w:r>
    </w:p>
    <w:p w14:paraId="1F3CCD19" w14:textId="15B5B581" w:rsidR="003471DB" w:rsidRPr="007E17FA" w:rsidRDefault="003471DB" w:rsidP="00FF6D96">
      <w:pPr>
        <w:pStyle w:val="Bibliografa"/>
        <w:spacing w:line="360" w:lineRule="auto"/>
        <w:ind w:left="720" w:hanging="709"/>
        <w:jc w:val="both"/>
        <w:rPr>
          <w:rFonts w:ascii="Times New Roman" w:hAnsi="Times New Roman" w:cs="Times New Roman"/>
          <w:noProof/>
          <w:lang w:val="es-ES"/>
        </w:rPr>
      </w:pPr>
      <w:r w:rsidRPr="00421EB7">
        <w:rPr>
          <w:rFonts w:ascii="Times New Roman" w:hAnsi="Times New Roman" w:cs="Times New Roman"/>
          <w:noProof/>
          <w:lang w:val="en-US"/>
        </w:rPr>
        <w:t xml:space="preserve">Bernasconi, A. (2015). </w:t>
      </w:r>
      <w:r w:rsidRPr="007E17FA">
        <w:rPr>
          <w:rFonts w:ascii="Times New Roman" w:hAnsi="Times New Roman" w:cs="Times New Roman"/>
          <w:noProof/>
          <w:lang w:val="es-ES"/>
        </w:rPr>
        <w:t xml:space="preserve">La </w:t>
      </w:r>
      <w:r w:rsidR="00F36F0D">
        <w:rPr>
          <w:rFonts w:ascii="Times New Roman" w:hAnsi="Times New Roman" w:cs="Times New Roman"/>
          <w:noProof/>
          <w:lang w:val="es-ES"/>
        </w:rPr>
        <w:t>e</w:t>
      </w:r>
      <w:r w:rsidRPr="007E17FA">
        <w:rPr>
          <w:rFonts w:ascii="Times New Roman" w:hAnsi="Times New Roman" w:cs="Times New Roman"/>
          <w:noProof/>
          <w:lang w:val="es-ES"/>
        </w:rPr>
        <w:t xml:space="preserve">ducación </w:t>
      </w:r>
      <w:r w:rsidR="00F36F0D">
        <w:rPr>
          <w:rFonts w:ascii="Times New Roman" w:hAnsi="Times New Roman" w:cs="Times New Roman"/>
          <w:noProof/>
          <w:lang w:val="es-ES"/>
        </w:rPr>
        <w:t>s</w:t>
      </w:r>
      <w:r w:rsidRPr="007E17FA">
        <w:rPr>
          <w:rFonts w:ascii="Times New Roman" w:hAnsi="Times New Roman" w:cs="Times New Roman"/>
          <w:noProof/>
          <w:lang w:val="es-ES"/>
        </w:rPr>
        <w:t xml:space="preserve">uperior de Chile: </w:t>
      </w:r>
      <w:r w:rsidR="00F36F0D">
        <w:rPr>
          <w:rFonts w:ascii="Times New Roman" w:hAnsi="Times New Roman" w:cs="Times New Roman"/>
          <w:noProof/>
          <w:lang w:val="es-ES"/>
        </w:rPr>
        <w:t>t</w:t>
      </w:r>
      <w:r w:rsidRPr="007E17FA">
        <w:rPr>
          <w:rFonts w:ascii="Times New Roman" w:hAnsi="Times New Roman" w:cs="Times New Roman"/>
          <w:noProof/>
          <w:lang w:val="es-ES"/>
        </w:rPr>
        <w:t>ransformación</w:t>
      </w:r>
      <w:r w:rsidR="00BA5AF0">
        <w:rPr>
          <w:rFonts w:ascii="Times New Roman" w:hAnsi="Times New Roman" w:cs="Times New Roman"/>
          <w:noProof/>
          <w:lang w:val="es-ES"/>
        </w:rPr>
        <w:t>,</w:t>
      </w:r>
      <w:r w:rsidRPr="007E17FA">
        <w:rPr>
          <w:rFonts w:ascii="Times New Roman" w:hAnsi="Times New Roman" w:cs="Times New Roman"/>
          <w:noProof/>
          <w:lang w:val="es-ES"/>
        </w:rPr>
        <w:t xml:space="preserve"> </w:t>
      </w:r>
      <w:r w:rsidR="00F36F0D">
        <w:rPr>
          <w:rFonts w:ascii="Times New Roman" w:hAnsi="Times New Roman" w:cs="Times New Roman"/>
          <w:noProof/>
          <w:lang w:val="es-ES"/>
        </w:rPr>
        <w:t>d</w:t>
      </w:r>
      <w:r w:rsidRPr="007E17FA">
        <w:rPr>
          <w:rFonts w:ascii="Times New Roman" w:hAnsi="Times New Roman" w:cs="Times New Roman"/>
          <w:noProof/>
          <w:lang w:val="es-ES"/>
        </w:rPr>
        <w:t xml:space="preserve">esarrollo y </w:t>
      </w:r>
      <w:r w:rsidR="00F36F0D">
        <w:rPr>
          <w:rFonts w:ascii="Times New Roman" w:hAnsi="Times New Roman" w:cs="Times New Roman"/>
          <w:noProof/>
          <w:lang w:val="es-ES"/>
        </w:rPr>
        <w:t>c</w:t>
      </w:r>
      <w:r w:rsidRPr="007E17FA">
        <w:rPr>
          <w:rFonts w:ascii="Times New Roman" w:hAnsi="Times New Roman" w:cs="Times New Roman"/>
          <w:noProof/>
          <w:lang w:val="es-ES"/>
        </w:rPr>
        <w:t xml:space="preserve">risis. </w:t>
      </w:r>
      <w:r w:rsidRPr="007E17FA">
        <w:rPr>
          <w:rFonts w:ascii="Times New Roman" w:hAnsi="Times New Roman" w:cs="Times New Roman"/>
          <w:i/>
          <w:iCs/>
          <w:noProof/>
          <w:lang w:val="es-ES"/>
        </w:rPr>
        <w:t>Páginas de Educación, 8</w:t>
      </w:r>
      <w:r w:rsidRPr="007E17FA">
        <w:rPr>
          <w:rFonts w:ascii="Times New Roman" w:hAnsi="Times New Roman" w:cs="Times New Roman"/>
          <w:noProof/>
          <w:lang w:val="es-ES"/>
        </w:rPr>
        <w:t xml:space="preserve">(1). </w:t>
      </w:r>
      <w:r w:rsidR="00F36F0D">
        <w:rPr>
          <w:rFonts w:ascii="Times New Roman" w:hAnsi="Times New Roman" w:cs="Times New Roman"/>
          <w:noProof/>
          <w:lang w:val="es-ES"/>
        </w:rPr>
        <w:t xml:space="preserve">Recuperado de </w:t>
      </w:r>
      <w:r w:rsidRPr="00716897">
        <w:rPr>
          <w:rFonts w:ascii="Times New Roman" w:hAnsi="Times New Roman" w:cs="Times New Roman"/>
          <w:noProof/>
          <w:lang w:val="es-ES"/>
        </w:rPr>
        <w:t>http://www.scielo.edu.uy/scielo.php?script=sci_arttext&amp;pid=S1688-74682015000100008</w:t>
      </w:r>
      <w:r w:rsidR="00F36F0D">
        <w:rPr>
          <w:rFonts w:ascii="Times New Roman" w:hAnsi="Times New Roman" w:cs="Times New Roman"/>
          <w:noProof/>
          <w:lang w:val="es-ES"/>
        </w:rPr>
        <w:t>.</w:t>
      </w:r>
    </w:p>
    <w:p w14:paraId="6A8CA051" w14:textId="74867CC8" w:rsidR="00F0370B" w:rsidRDefault="00F0370B" w:rsidP="00FF6D96">
      <w:pPr>
        <w:pStyle w:val="Bibliografa"/>
        <w:spacing w:line="360" w:lineRule="auto"/>
        <w:ind w:left="720" w:hanging="709"/>
        <w:jc w:val="both"/>
        <w:rPr>
          <w:rFonts w:ascii="Times New Roman" w:hAnsi="Times New Roman" w:cs="Times New Roman"/>
          <w:noProof/>
          <w:lang w:val="es-ES"/>
        </w:rPr>
      </w:pPr>
      <w:r w:rsidRPr="00F0370B">
        <w:rPr>
          <w:rFonts w:ascii="Times New Roman" w:hAnsi="Times New Roman" w:cs="Times New Roman"/>
          <w:noProof/>
          <w:lang w:val="es-ES"/>
        </w:rPr>
        <w:t>Briceño, M</w:t>
      </w:r>
      <w:r>
        <w:rPr>
          <w:rFonts w:ascii="Times New Roman" w:hAnsi="Times New Roman" w:cs="Times New Roman"/>
          <w:noProof/>
          <w:lang w:val="es-ES"/>
        </w:rPr>
        <w:t>.</w:t>
      </w:r>
      <w:r w:rsidRPr="00F0370B">
        <w:rPr>
          <w:rFonts w:ascii="Times New Roman" w:hAnsi="Times New Roman" w:cs="Times New Roman"/>
          <w:noProof/>
          <w:lang w:val="es-ES"/>
        </w:rPr>
        <w:t xml:space="preserve"> A</w:t>
      </w:r>
      <w:r>
        <w:rPr>
          <w:rFonts w:ascii="Times New Roman" w:hAnsi="Times New Roman" w:cs="Times New Roman"/>
          <w:noProof/>
          <w:lang w:val="es-ES"/>
        </w:rPr>
        <w:t>.</w:t>
      </w:r>
      <w:r w:rsidRPr="00F0370B">
        <w:rPr>
          <w:rFonts w:ascii="Times New Roman" w:hAnsi="Times New Roman" w:cs="Times New Roman"/>
          <w:noProof/>
          <w:lang w:val="es-ES"/>
        </w:rPr>
        <w:t xml:space="preserve"> (2012). La importancia de la divulgación científica. </w:t>
      </w:r>
      <w:r w:rsidRPr="00F0370B">
        <w:rPr>
          <w:rFonts w:ascii="Times New Roman" w:hAnsi="Times New Roman" w:cs="Times New Roman"/>
          <w:i/>
          <w:iCs/>
          <w:noProof/>
          <w:lang w:val="es-ES"/>
        </w:rPr>
        <w:t>Visión Gerencial</w:t>
      </w:r>
      <w:r w:rsidRPr="00F0370B">
        <w:rPr>
          <w:rFonts w:ascii="Times New Roman" w:hAnsi="Times New Roman" w:cs="Times New Roman"/>
          <w:noProof/>
          <w:lang w:val="es-ES"/>
        </w:rPr>
        <w:t>,</w:t>
      </w:r>
      <w:r w:rsidR="00296412">
        <w:rPr>
          <w:rFonts w:ascii="Times New Roman" w:hAnsi="Times New Roman" w:cs="Times New Roman"/>
          <w:noProof/>
          <w:lang w:val="es-ES"/>
        </w:rPr>
        <w:t xml:space="preserve"> </w:t>
      </w:r>
      <w:r w:rsidRPr="00F0370B">
        <w:rPr>
          <w:rFonts w:ascii="Times New Roman" w:hAnsi="Times New Roman" w:cs="Times New Roman"/>
          <w:noProof/>
          <w:lang w:val="es-ES"/>
        </w:rPr>
        <w:t xml:space="preserve">(1), 3-4. </w:t>
      </w:r>
      <w:r w:rsidR="00C1301F">
        <w:rPr>
          <w:rFonts w:ascii="Times New Roman" w:hAnsi="Times New Roman" w:cs="Times New Roman"/>
          <w:noProof/>
          <w:lang w:val="es-ES"/>
        </w:rPr>
        <w:t xml:space="preserve">Recuperado de </w:t>
      </w:r>
      <w:r w:rsidRPr="00F0370B">
        <w:rPr>
          <w:rFonts w:ascii="Times New Roman" w:hAnsi="Times New Roman" w:cs="Times New Roman"/>
          <w:noProof/>
          <w:lang w:val="es-ES"/>
        </w:rPr>
        <w:t>https://www.redalyc.org/articulo.oa?id=465545892001</w:t>
      </w:r>
      <w:r w:rsidR="00C1301F">
        <w:rPr>
          <w:rFonts w:ascii="Times New Roman" w:hAnsi="Times New Roman" w:cs="Times New Roman"/>
          <w:noProof/>
          <w:lang w:val="es-ES"/>
        </w:rPr>
        <w:t>.</w:t>
      </w:r>
    </w:p>
    <w:p w14:paraId="4233EF8C" w14:textId="4B2F1B5E" w:rsidR="003471DB" w:rsidRPr="00DC6E80" w:rsidRDefault="003471DB" w:rsidP="00FF6D96">
      <w:pPr>
        <w:spacing w:line="360" w:lineRule="auto"/>
        <w:ind w:left="709" w:hanging="709"/>
        <w:jc w:val="both"/>
        <w:rPr>
          <w:rFonts w:ascii="Times New Roman" w:hAnsi="Times New Roman" w:cs="Times New Roman"/>
        </w:rPr>
      </w:pPr>
      <w:r w:rsidRPr="00DC6E80">
        <w:rPr>
          <w:rFonts w:ascii="Times New Roman" w:hAnsi="Times New Roman" w:cs="Times New Roman"/>
        </w:rPr>
        <w:t xml:space="preserve">Cárdenas, M., Carranza, W. D., Plua, K. A., Solís, M. </w:t>
      </w:r>
      <w:r w:rsidR="00325C08">
        <w:rPr>
          <w:rFonts w:ascii="Times New Roman" w:hAnsi="Times New Roman" w:cs="Times New Roman"/>
        </w:rPr>
        <w:t>y</w:t>
      </w:r>
      <w:r w:rsidRPr="00DC6E80">
        <w:rPr>
          <w:rFonts w:ascii="Times New Roman" w:hAnsi="Times New Roman" w:cs="Times New Roman"/>
        </w:rPr>
        <w:t xml:space="preserve"> Morales, M. (2021). La educación virtual en tiempos del covid-19: una experiencia en la maestría de educación. </w:t>
      </w:r>
      <w:r w:rsidRPr="00DC6E80">
        <w:rPr>
          <w:rFonts w:ascii="Times New Roman" w:hAnsi="Times New Roman" w:cs="Times New Roman"/>
          <w:i/>
          <w:iCs/>
        </w:rPr>
        <w:t>Revista Universidad y Sociedad</w:t>
      </w:r>
      <w:r w:rsidRPr="00DC6E80">
        <w:rPr>
          <w:rFonts w:ascii="Times New Roman" w:hAnsi="Times New Roman" w:cs="Times New Roman"/>
        </w:rPr>
        <w:t>, </w:t>
      </w:r>
      <w:r w:rsidRPr="00DC6E80">
        <w:rPr>
          <w:rFonts w:ascii="Times New Roman" w:hAnsi="Times New Roman" w:cs="Times New Roman"/>
          <w:i/>
          <w:iCs/>
        </w:rPr>
        <w:t>13</w:t>
      </w:r>
      <w:r w:rsidRPr="00DC6E80">
        <w:rPr>
          <w:rFonts w:ascii="Times New Roman" w:hAnsi="Times New Roman" w:cs="Times New Roman"/>
        </w:rPr>
        <w:t>(3), 243-251.</w:t>
      </w:r>
      <w:r w:rsidR="00325C08">
        <w:rPr>
          <w:rFonts w:ascii="Times New Roman" w:hAnsi="Times New Roman" w:cs="Times New Roman"/>
        </w:rPr>
        <w:t xml:space="preserve"> Recuperado de</w:t>
      </w:r>
      <w:r w:rsidRPr="00DC6E80">
        <w:rPr>
          <w:rFonts w:ascii="Times New Roman" w:hAnsi="Times New Roman" w:cs="Times New Roman"/>
        </w:rPr>
        <w:t xml:space="preserve"> </w:t>
      </w:r>
      <w:r w:rsidRPr="00716897">
        <w:rPr>
          <w:rFonts w:ascii="Times New Roman" w:hAnsi="Times New Roman" w:cs="Times New Roman"/>
        </w:rPr>
        <w:t>http://scielo.sld.cu/scielo.php?script=sci_arttext&amp;pid=S2218-36202021000300243&amp;lng=es&amp;tlng=es</w:t>
      </w:r>
      <w:r w:rsidRPr="00DC6E80">
        <w:rPr>
          <w:rFonts w:ascii="Times New Roman" w:hAnsi="Times New Roman" w:cs="Times New Roman"/>
        </w:rPr>
        <w:t>.</w:t>
      </w:r>
    </w:p>
    <w:p w14:paraId="5D79A380" w14:textId="4689A803" w:rsidR="003471DB" w:rsidRPr="00DC6E80" w:rsidRDefault="003471DB" w:rsidP="00FF6D96">
      <w:pPr>
        <w:pStyle w:val="Bibliografa"/>
        <w:spacing w:line="360" w:lineRule="auto"/>
        <w:ind w:left="720" w:hanging="709"/>
        <w:jc w:val="both"/>
        <w:rPr>
          <w:rFonts w:ascii="Times New Roman" w:hAnsi="Times New Roman" w:cs="Times New Roman"/>
          <w:noProof/>
          <w:lang w:val="es-ES"/>
        </w:rPr>
      </w:pPr>
      <w:r w:rsidRPr="00DC6E80">
        <w:rPr>
          <w:rFonts w:ascii="Times New Roman" w:hAnsi="Times New Roman" w:cs="Times New Roman"/>
          <w:noProof/>
          <w:lang w:val="es-ES"/>
        </w:rPr>
        <w:t xml:space="preserve">Casais, D. </w:t>
      </w:r>
      <w:r w:rsidR="00903E8F">
        <w:rPr>
          <w:rFonts w:ascii="Times New Roman" w:hAnsi="Times New Roman" w:cs="Times New Roman"/>
          <w:noProof/>
          <w:lang w:val="es-ES"/>
        </w:rPr>
        <w:t>y</w:t>
      </w:r>
      <w:r w:rsidRPr="00DC6E80">
        <w:rPr>
          <w:rFonts w:ascii="Times New Roman" w:hAnsi="Times New Roman" w:cs="Times New Roman"/>
          <w:noProof/>
          <w:lang w:val="es-ES"/>
        </w:rPr>
        <w:t xml:space="preserve"> Ortega, I. (2015). </w:t>
      </w:r>
      <w:r w:rsidR="00B96CCD" w:rsidRPr="00DC6E80">
        <w:rPr>
          <w:rFonts w:ascii="Times New Roman" w:hAnsi="Times New Roman" w:cs="Times New Roman"/>
          <w:noProof/>
          <w:lang w:val="es-ES"/>
        </w:rPr>
        <w:t xml:space="preserve">Pobreza y deserción escolar en el nivel secundaria en </w:t>
      </w:r>
      <w:r w:rsidR="00C65313">
        <w:rPr>
          <w:rFonts w:ascii="Times New Roman" w:hAnsi="Times New Roman" w:cs="Times New Roman"/>
          <w:noProof/>
          <w:lang w:val="es-ES"/>
        </w:rPr>
        <w:t>Y</w:t>
      </w:r>
      <w:r w:rsidR="00C65313" w:rsidRPr="00DC6E80">
        <w:rPr>
          <w:rFonts w:ascii="Times New Roman" w:hAnsi="Times New Roman" w:cs="Times New Roman"/>
          <w:noProof/>
          <w:lang w:val="es-ES"/>
        </w:rPr>
        <w:t>ucatán</w:t>
      </w:r>
      <w:r w:rsidRPr="00DC6E80">
        <w:rPr>
          <w:rFonts w:ascii="Times New Roman" w:hAnsi="Times New Roman" w:cs="Times New Roman"/>
          <w:noProof/>
          <w:lang w:val="es-ES"/>
        </w:rPr>
        <w:t xml:space="preserve">. </w:t>
      </w:r>
      <w:r w:rsidRPr="00DC6E80">
        <w:rPr>
          <w:rFonts w:ascii="Times New Roman" w:hAnsi="Times New Roman" w:cs="Times New Roman"/>
          <w:i/>
          <w:iCs/>
          <w:noProof/>
          <w:lang w:val="es-ES"/>
        </w:rPr>
        <w:t xml:space="preserve">Revista de Economía, </w:t>
      </w:r>
      <w:r w:rsidR="00903E8F">
        <w:rPr>
          <w:rFonts w:ascii="Times New Roman" w:hAnsi="Times New Roman" w:cs="Times New Roman"/>
          <w:i/>
          <w:iCs/>
          <w:noProof/>
          <w:lang w:val="es-ES"/>
        </w:rPr>
        <w:t>32</w:t>
      </w:r>
      <w:r w:rsidRPr="00DC6E80">
        <w:rPr>
          <w:rFonts w:ascii="Times New Roman" w:hAnsi="Times New Roman" w:cs="Times New Roman"/>
          <w:noProof/>
          <w:lang w:val="es-ES"/>
        </w:rPr>
        <w:t xml:space="preserve">(84), 51-77. </w:t>
      </w:r>
      <w:r w:rsidR="00903E8F">
        <w:rPr>
          <w:rFonts w:ascii="Times New Roman" w:hAnsi="Times New Roman" w:cs="Times New Roman"/>
          <w:noProof/>
          <w:lang w:val="es-ES"/>
        </w:rPr>
        <w:t xml:space="preserve">Recuperado de </w:t>
      </w:r>
      <w:r w:rsidRPr="00716897">
        <w:rPr>
          <w:rFonts w:ascii="Times New Roman" w:hAnsi="Times New Roman" w:cs="Times New Roman"/>
          <w:noProof/>
          <w:lang w:val="es-ES"/>
        </w:rPr>
        <w:t>https://www.revista.economia.uady.mx/index.php/reveco/article/download/53/56/</w:t>
      </w:r>
      <w:r w:rsidR="00903E8F">
        <w:rPr>
          <w:rFonts w:ascii="Times New Roman" w:hAnsi="Times New Roman" w:cs="Times New Roman"/>
          <w:noProof/>
          <w:lang w:val="es-ES"/>
        </w:rPr>
        <w:t>.</w:t>
      </w:r>
    </w:p>
    <w:p w14:paraId="2DFF5119" w14:textId="44613503" w:rsidR="00A842E8" w:rsidRPr="00196474" w:rsidRDefault="00A842E8" w:rsidP="00FF6D96">
      <w:pPr>
        <w:pStyle w:val="Bibliografa"/>
        <w:spacing w:line="360" w:lineRule="auto"/>
        <w:ind w:left="720" w:hanging="709"/>
        <w:jc w:val="both"/>
        <w:rPr>
          <w:rFonts w:ascii="Times New Roman" w:hAnsi="Times New Roman" w:cs="Times New Roman"/>
        </w:rPr>
      </w:pPr>
      <w:r w:rsidRPr="00421EB7">
        <w:rPr>
          <w:rFonts w:ascii="Times New Roman" w:hAnsi="Times New Roman" w:cs="Times New Roman"/>
          <w:lang w:val="es-MX"/>
        </w:rPr>
        <w:t>Cassany</w:t>
      </w:r>
      <w:r w:rsidR="00063F52" w:rsidRPr="00421EB7">
        <w:rPr>
          <w:rFonts w:ascii="Times New Roman" w:hAnsi="Times New Roman" w:cs="Times New Roman"/>
          <w:lang w:val="es-MX"/>
        </w:rPr>
        <w:t xml:space="preserve">, D., López, C. </w:t>
      </w:r>
      <w:r w:rsidR="00BA0C14" w:rsidRPr="00421EB7">
        <w:rPr>
          <w:rFonts w:ascii="Times New Roman" w:hAnsi="Times New Roman" w:cs="Times New Roman"/>
          <w:lang w:val="es-MX"/>
        </w:rPr>
        <w:t>y</w:t>
      </w:r>
      <w:r w:rsidR="00063F52" w:rsidRPr="00421EB7">
        <w:rPr>
          <w:rFonts w:ascii="Times New Roman" w:hAnsi="Times New Roman" w:cs="Times New Roman"/>
          <w:lang w:val="es-MX"/>
        </w:rPr>
        <w:t xml:space="preserve"> Martí, J. (2000</w:t>
      </w:r>
      <w:r w:rsidRPr="00421EB7">
        <w:rPr>
          <w:rFonts w:ascii="Times New Roman" w:hAnsi="Times New Roman" w:cs="Times New Roman"/>
          <w:lang w:val="es-MX"/>
        </w:rPr>
        <w:t xml:space="preserve">). </w:t>
      </w:r>
      <w:r w:rsidRPr="00063F52">
        <w:rPr>
          <w:rFonts w:ascii="Times New Roman" w:hAnsi="Times New Roman" w:cs="Times New Roman"/>
        </w:rPr>
        <w:t xml:space="preserve">Divulgación del discurso científico. La transformación de redes conceptuales. Hipótesis, modelo y estrategias. </w:t>
      </w:r>
      <w:r w:rsidRPr="006231C8">
        <w:rPr>
          <w:rFonts w:ascii="Times New Roman" w:hAnsi="Times New Roman" w:cs="Times New Roman"/>
          <w:i/>
          <w:iCs/>
        </w:rPr>
        <w:t>Revista Discurso y Sociedad</w:t>
      </w:r>
      <w:r w:rsidRPr="00063F52">
        <w:rPr>
          <w:rFonts w:ascii="Times New Roman" w:hAnsi="Times New Roman" w:cs="Times New Roman"/>
        </w:rPr>
        <w:t xml:space="preserve">, </w:t>
      </w:r>
      <w:r w:rsidRPr="00421EB7">
        <w:rPr>
          <w:rFonts w:ascii="Times New Roman" w:hAnsi="Times New Roman" w:cs="Times New Roman"/>
          <w:i/>
          <w:iCs/>
        </w:rPr>
        <w:t>2</w:t>
      </w:r>
      <w:r w:rsidRPr="00063F52">
        <w:rPr>
          <w:rFonts w:ascii="Times New Roman" w:hAnsi="Times New Roman" w:cs="Times New Roman"/>
        </w:rPr>
        <w:t>(2), 73-103.</w:t>
      </w:r>
    </w:p>
    <w:p w14:paraId="134E5724" w14:textId="612436A0" w:rsidR="00D832BF" w:rsidRPr="00DC6E80" w:rsidRDefault="00D832BF" w:rsidP="00D832BF">
      <w:pPr>
        <w:pStyle w:val="Bibliografa"/>
        <w:spacing w:line="360" w:lineRule="auto"/>
        <w:ind w:left="720" w:hanging="709"/>
        <w:jc w:val="both"/>
        <w:rPr>
          <w:rFonts w:ascii="Times New Roman" w:hAnsi="Times New Roman" w:cs="Times New Roman"/>
          <w:noProof/>
          <w:lang w:val="es-ES"/>
        </w:rPr>
      </w:pPr>
      <w:r w:rsidRPr="00FB75D9">
        <w:rPr>
          <w:rFonts w:ascii="Times New Roman" w:hAnsi="Times New Roman" w:cs="Times New Roman"/>
          <w:noProof/>
          <w:lang w:val="es-ES"/>
        </w:rPr>
        <w:t>Claverie</w:t>
      </w:r>
      <w:r>
        <w:rPr>
          <w:rFonts w:ascii="Times New Roman" w:hAnsi="Times New Roman" w:cs="Times New Roman"/>
          <w:noProof/>
          <w:lang w:val="es-ES"/>
        </w:rPr>
        <w:t>, J</w:t>
      </w:r>
      <w:r w:rsidRPr="00DC6E80">
        <w:rPr>
          <w:rFonts w:ascii="Times New Roman" w:hAnsi="Times New Roman" w:cs="Times New Roman"/>
          <w:noProof/>
          <w:lang w:val="es-ES"/>
        </w:rPr>
        <w:t>. (201</w:t>
      </w:r>
      <w:r w:rsidR="0000296D">
        <w:rPr>
          <w:rFonts w:ascii="Times New Roman" w:hAnsi="Times New Roman" w:cs="Times New Roman"/>
          <w:noProof/>
          <w:lang w:val="es-ES"/>
        </w:rPr>
        <w:t>2</w:t>
      </w:r>
      <w:r w:rsidRPr="00DC6E80">
        <w:rPr>
          <w:rFonts w:ascii="Times New Roman" w:hAnsi="Times New Roman" w:cs="Times New Roman"/>
          <w:noProof/>
          <w:lang w:val="es-ES"/>
        </w:rPr>
        <w:t xml:space="preserve">). </w:t>
      </w:r>
      <w:r w:rsidRPr="00770367">
        <w:rPr>
          <w:rFonts w:ascii="Times New Roman" w:hAnsi="Times New Roman" w:cs="Times New Roman"/>
          <w:noProof/>
          <w:lang w:val="es-ES"/>
        </w:rPr>
        <w:t>Brunner, J y Ferrada Hurtado, R. (editores) (2011). Educación Superior en Iberoamérica. Informe 2011. Providencia, Santiago: Centro Interuniversitario de Desarrollo (CINDA)</w:t>
      </w:r>
      <w:r w:rsidRPr="00DC6E80">
        <w:rPr>
          <w:rFonts w:ascii="Times New Roman" w:hAnsi="Times New Roman" w:cs="Times New Roman"/>
          <w:noProof/>
          <w:lang w:val="es-ES"/>
        </w:rPr>
        <w:t xml:space="preserve">. </w:t>
      </w:r>
      <w:r w:rsidRPr="00DC6E80">
        <w:rPr>
          <w:rFonts w:ascii="Times New Roman" w:hAnsi="Times New Roman" w:cs="Times New Roman"/>
          <w:i/>
          <w:iCs/>
          <w:noProof/>
          <w:lang w:val="es-ES"/>
        </w:rPr>
        <w:t>Revista Argentina de Educación Superior</w:t>
      </w:r>
      <w:r>
        <w:rPr>
          <w:rFonts w:ascii="Times New Roman" w:hAnsi="Times New Roman" w:cs="Times New Roman"/>
          <w:i/>
          <w:iCs/>
          <w:noProof/>
          <w:lang w:val="es-ES"/>
        </w:rPr>
        <w:t>, 4</w:t>
      </w:r>
      <w:r w:rsidRPr="00DC6E80">
        <w:rPr>
          <w:rFonts w:ascii="Times New Roman" w:hAnsi="Times New Roman" w:cs="Times New Roman"/>
          <w:noProof/>
          <w:lang w:val="es-ES"/>
        </w:rPr>
        <w:t xml:space="preserve">(4), 196-201. </w:t>
      </w:r>
      <w:r>
        <w:rPr>
          <w:rFonts w:ascii="Times New Roman" w:hAnsi="Times New Roman" w:cs="Times New Roman"/>
          <w:noProof/>
          <w:lang w:val="es-ES"/>
        </w:rPr>
        <w:t xml:space="preserve">Recuperado de </w:t>
      </w:r>
      <w:r w:rsidRPr="00716897">
        <w:rPr>
          <w:rFonts w:ascii="Times New Roman" w:hAnsi="Times New Roman" w:cs="Times New Roman"/>
          <w:noProof/>
          <w:lang w:val="es-ES"/>
        </w:rPr>
        <w:t>https://dialnet.unirioja.es/servlet/articulo?codigo=6524017</w:t>
      </w:r>
      <w:r>
        <w:rPr>
          <w:rFonts w:ascii="Times New Roman" w:hAnsi="Times New Roman" w:cs="Times New Roman"/>
          <w:noProof/>
          <w:lang w:val="es-ES"/>
        </w:rPr>
        <w:t>.</w:t>
      </w:r>
    </w:p>
    <w:p w14:paraId="094E358B" w14:textId="6650C5AF" w:rsidR="003471DB" w:rsidRPr="00DC6E80" w:rsidRDefault="00C52CFF" w:rsidP="00FF6D96">
      <w:pPr>
        <w:pStyle w:val="Bibliografa"/>
        <w:spacing w:line="360" w:lineRule="auto"/>
        <w:ind w:left="720" w:hanging="709"/>
        <w:jc w:val="both"/>
        <w:rPr>
          <w:rFonts w:ascii="Times New Roman" w:hAnsi="Times New Roman" w:cs="Times New Roman"/>
          <w:noProof/>
          <w:lang w:val="es-ES"/>
        </w:rPr>
      </w:pPr>
      <w:r w:rsidRPr="00C52CFF">
        <w:rPr>
          <w:rFonts w:ascii="Times New Roman" w:hAnsi="Times New Roman" w:cs="Times New Roman"/>
          <w:noProof/>
          <w:lang w:val="es-ES"/>
        </w:rPr>
        <w:lastRenderedPageBreak/>
        <w:t xml:space="preserve">Comisión Económica para América Latina y el Caribe </w:t>
      </w:r>
      <w:r>
        <w:rPr>
          <w:rFonts w:ascii="Times New Roman" w:hAnsi="Times New Roman" w:cs="Times New Roman"/>
          <w:noProof/>
          <w:lang w:val="es-ES"/>
        </w:rPr>
        <w:t>[</w:t>
      </w:r>
      <w:r w:rsidRPr="00DC6E80">
        <w:rPr>
          <w:rFonts w:ascii="Times New Roman" w:hAnsi="Times New Roman" w:cs="Times New Roman"/>
          <w:noProof/>
          <w:lang w:val="es-ES"/>
        </w:rPr>
        <w:t>Cepal</w:t>
      </w:r>
      <w:r>
        <w:rPr>
          <w:rFonts w:ascii="Times New Roman" w:hAnsi="Times New Roman" w:cs="Times New Roman"/>
          <w:noProof/>
          <w:lang w:val="es-ES"/>
        </w:rPr>
        <w:t>]</w:t>
      </w:r>
      <w:r w:rsidR="003471DB" w:rsidRPr="00DC6E80">
        <w:rPr>
          <w:rFonts w:ascii="Times New Roman" w:hAnsi="Times New Roman" w:cs="Times New Roman"/>
          <w:noProof/>
          <w:lang w:val="es-ES"/>
        </w:rPr>
        <w:t xml:space="preserve">. (2021). </w:t>
      </w:r>
      <w:r w:rsidR="003471DB" w:rsidRPr="00DC6E80">
        <w:rPr>
          <w:rFonts w:ascii="Times New Roman" w:hAnsi="Times New Roman" w:cs="Times New Roman"/>
          <w:i/>
          <w:iCs/>
          <w:noProof/>
          <w:lang w:val="es-ES"/>
        </w:rPr>
        <w:t xml:space="preserve">Panorama </w:t>
      </w:r>
      <w:r w:rsidR="006057D4">
        <w:rPr>
          <w:rFonts w:ascii="Times New Roman" w:hAnsi="Times New Roman" w:cs="Times New Roman"/>
          <w:i/>
          <w:iCs/>
          <w:noProof/>
          <w:lang w:val="es-ES"/>
        </w:rPr>
        <w:t>s</w:t>
      </w:r>
      <w:r w:rsidR="003471DB" w:rsidRPr="00DC6E80">
        <w:rPr>
          <w:rFonts w:ascii="Times New Roman" w:hAnsi="Times New Roman" w:cs="Times New Roman"/>
          <w:i/>
          <w:iCs/>
          <w:noProof/>
          <w:lang w:val="es-ES"/>
        </w:rPr>
        <w:t>ocial de América Latina.</w:t>
      </w:r>
      <w:r w:rsidR="003471DB" w:rsidRPr="00DC6E80">
        <w:rPr>
          <w:rFonts w:ascii="Times New Roman" w:hAnsi="Times New Roman" w:cs="Times New Roman"/>
          <w:noProof/>
          <w:lang w:val="es-ES"/>
        </w:rPr>
        <w:t xml:space="preserve"> </w:t>
      </w:r>
      <w:r>
        <w:rPr>
          <w:rFonts w:ascii="Times New Roman" w:hAnsi="Times New Roman" w:cs="Times New Roman"/>
          <w:noProof/>
          <w:lang w:val="es-ES"/>
        </w:rPr>
        <w:t xml:space="preserve">Santiago, Chile: </w:t>
      </w:r>
      <w:r w:rsidR="003471DB" w:rsidRPr="00DC6E80">
        <w:rPr>
          <w:rFonts w:ascii="Times New Roman" w:hAnsi="Times New Roman" w:cs="Times New Roman"/>
          <w:noProof/>
          <w:lang w:val="es-ES"/>
        </w:rPr>
        <w:t xml:space="preserve">Naciones Unidas. </w:t>
      </w:r>
      <w:r>
        <w:rPr>
          <w:rFonts w:ascii="Times New Roman" w:hAnsi="Times New Roman" w:cs="Times New Roman"/>
          <w:noProof/>
          <w:lang w:val="es-ES"/>
        </w:rPr>
        <w:t xml:space="preserve">Recuperado de </w:t>
      </w:r>
      <w:r w:rsidR="003471DB" w:rsidRPr="00716897">
        <w:rPr>
          <w:rFonts w:ascii="Times New Roman" w:hAnsi="Times New Roman" w:cs="Times New Roman"/>
          <w:noProof/>
          <w:lang w:val="es-ES"/>
        </w:rPr>
        <w:t>https://www.cepal.org/sites/default/files/publication/files/46687/S2000966_es.pdf</w:t>
      </w:r>
      <w:r>
        <w:rPr>
          <w:rFonts w:ascii="Times New Roman" w:hAnsi="Times New Roman" w:cs="Times New Roman"/>
          <w:noProof/>
          <w:lang w:val="es-ES"/>
        </w:rPr>
        <w:t>.</w:t>
      </w:r>
    </w:p>
    <w:p w14:paraId="4DB98926" w14:textId="5B6240C5" w:rsidR="003E5F19" w:rsidRDefault="003E5F19" w:rsidP="00FF6D96">
      <w:pPr>
        <w:pStyle w:val="Bibliografa"/>
        <w:spacing w:line="360" w:lineRule="auto"/>
        <w:ind w:left="720" w:hanging="709"/>
        <w:jc w:val="both"/>
        <w:rPr>
          <w:rFonts w:ascii="Times New Roman" w:hAnsi="Times New Roman" w:cs="Times New Roman"/>
          <w:noProof/>
          <w:lang w:val="es-ES"/>
        </w:rPr>
      </w:pPr>
      <w:r>
        <w:rPr>
          <w:rFonts w:ascii="Times New Roman" w:hAnsi="Times New Roman" w:cs="Times New Roman"/>
          <w:noProof/>
          <w:lang w:val="es-ES"/>
        </w:rPr>
        <w:t xml:space="preserve">Congreso Estatal </w:t>
      </w:r>
      <w:r w:rsidR="006B76CA">
        <w:rPr>
          <w:rFonts w:ascii="Times New Roman" w:hAnsi="Times New Roman" w:cs="Times New Roman"/>
          <w:noProof/>
          <w:lang w:val="es-ES"/>
        </w:rPr>
        <w:t>l</w:t>
      </w:r>
      <w:r>
        <w:rPr>
          <w:rFonts w:ascii="Times New Roman" w:hAnsi="Times New Roman" w:cs="Times New Roman"/>
          <w:noProof/>
          <w:lang w:val="es-ES"/>
        </w:rPr>
        <w:t xml:space="preserve">as Vocaciones Científicas en Jóvenes de Yucatán (2020). </w:t>
      </w:r>
      <w:r w:rsidR="00121AFE">
        <w:rPr>
          <w:rFonts w:ascii="Times New Roman" w:hAnsi="Times New Roman" w:cs="Times New Roman"/>
          <w:noProof/>
          <w:lang w:val="es-ES"/>
        </w:rPr>
        <w:t xml:space="preserve">Recuperado de </w:t>
      </w:r>
      <w:r w:rsidRPr="00716897">
        <w:rPr>
          <w:rFonts w:ascii="Times New Roman" w:hAnsi="Times New Roman" w:cs="Times New Roman"/>
          <w:noProof/>
          <w:lang w:val="es-ES"/>
        </w:rPr>
        <w:t>http://vc20.utmetropolitana.edu.mx/</w:t>
      </w:r>
      <w:r w:rsidR="00121AFE">
        <w:rPr>
          <w:rFonts w:ascii="Times New Roman" w:hAnsi="Times New Roman" w:cs="Times New Roman"/>
          <w:noProof/>
          <w:lang w:val="es-ES"/>
        </w:rPr>
        <w:t>.</w:t>
      </w:r>
    </w:p>
    <w:p w14:paraId="12C6923F" w14:textId="4F3B30B7" w:rsidR="00861ACB" w:rsidRPr="009A217D" w:rsidRDefault="00861ACB"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t xml:space="preserve">Contreras, E. R. (2013). El concepto de estrategia como fundamento de la planeación estratégica. </w:t>
      </w:r>
      <w:r w:rsidRPr="009A217D">
        <w:rPr>
          <w:rFonts w:ascii="Times New Roman" w:hAnsi="Times New Roman" w:cs="Times New Roman"/>
          <w:i/>
          <w:iCs/>
          <w:noProof/>
          <w:lang w:val="es-ES"/>
        </w:rPr>
        <w:t>Pensamiento &amp; Gestión</w:t>
      </w:r>
      <w:r w:rsidRPr="009A217D">
        <w:rPr>
          <w:rFonts w:ascii="Times New Roman" w:hAnsi="Times New Roman" w:cs="Times New Roman"/>
          <w:noProof/>
          <w:lang w:val="es-ES"/>
        </w:rPr>
        <w:t>,</w:t>
      </w:r>
      <w:r w:rsidR="00296412">
        <w:rPr>
          <w:rFonts w:ascii="Times New Roman" w:hAnsi="Times New Roman" w:cs="Times New Roman"/>
          <w:noProof/>
          <w:lang w:val="es-ES"/>
        </w:rPr>
        <w:t xml:space="preserve"> </w:t>
      </w:r>
      <w:r w:rsidRPr="009A217D">
        <w:rPr>
          <w:rFonts w:ascii="Times New Roman" w:hAnsi="Times New Roman" w:cs="Times New Roman"/>
          <w:noProof/>
          <w:lang w:val="es-ES"/>
        </w:rPr>
        <w:t>(35),</w:t>
      </w:r>
      <w:r w:rsidR="00094ACE">
        <w:rPr>
          <w:rFonts w:ascii="Times New Roman" w:hAnsi="Times New Roman" w:cs="Times New Roman"/>
          <w:noProof/>
          <w:lang w:val="es-ES"/>
        </w:rPr>
        <w:t xml:space="preserve"> </w:t>
      </w:r>
      <w:r w:rsidRPr="009A217D">
        <w:rPr>
          <w:rFonts w:ascii="Times New Roman" w:hAnsi="Times New Roman" w:cs="Times New Roman"/>
          <w:noProof/>
          <w:lang w:val="es-ES"/>
        </w:rPr>
        <w:t xml:space="preserve">152-181. </w:t>
      </w:r>
      <w:r w:rsidR="00094ACE">
        <w:rPr>
          <w:rFonts w:ascii="Times New Roman" w:hAnsi="Times New Roman" w:cs="Times New Roman"/>
          <w:noProof/>
          <w:lang w:val="es-ES"/>
        </w:rPr>
        <w:t xml:space="preserve">Recuperado de </w:t>
      </w:r>
      <w:r w:rsidRPr="009A217D">
        <w:rPr>
          <w:rFonts w:ascii="Times New Roman" w:hAnsi="Times New Roman" w:cs="Times New Roman"/>
          <w:noProof/>
          <w:lang w:val="es-ES"/>
        </w:rPr>
        <w:t>https://www.redalyc.org/articulo.oa?id=64629832007</w:t>
      </w:r>
      <w:r w:rsidR="00094ACE">
        <w:rPr>
          <w:rFonts w:ascii="Times New Roman" w:hAnsi="Times New Roman" w:cs="Times New Roman"/>
          <w:noProof/>
          <w:lang w:val="es-ES"/>
        </w:rPr>
        <w:t>.</w:t>
      </w:r>
    </w:p>
    <w:p w14:paraId="1D25DAB3" w14:textId="448BC03F" w:rsidR="00444E0A" w:rsidRPr="00444E0A" w:rsidRDefault="0016708D" w:rsidP="00FF6D96">
      <w:pPr>
        <w:pStyle w:val="art-title"/>
        <w:shd w:val="clear" w:color="auto" w:fill="FFFFFF"/>
        <w:spacing w:before="0" w:beforeAutospacing="0" w:after="0" w:afterAutospacing="0" w:line="360" w:lineRule="auto"/>
        <w:ind w:left="709" w:hanging="709"/>
        <w:jc w:val="both"/>
      </w:pPr>
      <w:r w:rsidRPr="009A217D">
        <w:rPr>
          <w:noProof/>
        </w:rPr>
        <w:t xml:space="preserve">Cortassa, C., Wursten, A., Andrés, G. </w:t>
      </w:r>
      <w:r w:rsidR="00444E0A" w:rsidRPr="009A217D">
        <w:rPr>
          <w:noProof/>
        </w:rPr>
        <w:t>y</w:t>
      </w:r>
      <w:r w:rsidRPr="009A217D">
        <w:rPr>
          <w:noProof/>
        </w:rPr>
        <w:t xml:space="preserve"> L</w:t>
      </w:r>
      <w:r w:rsidR="00444E0A" w:rsidRPr="009A217D">
        <w:rPr>
          <w:noProof/>
        </w:rPr>
        <w:t>e</w:t>
      </w:r>
      <w:r w:rsidRPr="009A217D">
        <w:rPr>
          <w:noProof/>
        </w:rPr>
        <w:t xml:space="preserve">garia, J. </w:t>
      </w:r>
      <w:r w:rsidR="00444E0A" w:rsidRPr="009A217D">
        <w:rPr>
          <w:noProof/>
        </w:rPr>
        <w:t xml:space="preserve">I. (2020). Comunicar las ciencias desde las instituciones: dos modelos de análisis aplicados al caso UNER. </w:t>
      </w:r>
      <w:r w:rsidR="00444E0A" w:rsidRPr="00421EB7">
        <w:rPr>
          <w:i/>
          <w:iCs/>
          <w:noProof/>
        </w:rPr>
        <w:t>Ciencia, Docencia y Tecnología</w:t>
      </w:r>
      <w:r w:rsidR="00444E0A" w:rsidRPr="009A217D">
        <w:rPr>
          <w:noProof/>
        </w:rPr>
        <w:t xml:space="preserve">, </w:t>
      </w:r>
      <w:r w:rsidR="00444E0A" w:rsidRPr="00421EB7">
        <w:rPr>
          <w:i/>
          <w:iCs/>
          <w:noProof/>
        </w:rPr>
        <w:t>31</w:t>
      </w:r>
      <w:r w:rsidR="00444E0A" w:rsidRPr="009A217D">
        <w:rPr>
          <w:noProof/>
        </w:rPr>
        <w:t xml:space="preserve">(61), 1-35. </w:t>
      </w:r>
      <w:hyperlink r:id="rId11" w:tgtFrame="_blank" w:history="1">
        <w:r w:rsidR="00444E0A" w:rsidRPr="009A217D">
          <w:rPr>
            <w:rStyle w:val="Hipervnculo"/>
            <w:rFonts w:eastAsiaTheme="minorEastAsia"/>
            <w:color w:val="auto"/>
            <w:u w:val="none"/>
            <w:shd w:val="clear" w:color="auto" w:fill="FFFFFF"/>
          </w:rPr>
          <w:t>https://doi.org/10.33255/3161/783</w:t>
        </w:r>
      </w:hyperlink>
    </w:p>
    <w:p w14:paraId="1868CEBE" w14:textId="7BD4C4A2" w:rsidR="003471DB" w:rsidRPr="00DC6E80" w:rsidRDefault="003471DB" w:rsidP="00FF6D96">
      <w:pPr>
        <w:pStyle w:val="Bibliografa"/>
        <w:spacing w:line="360" w:lineRule="auto"/>
        <w:ind w:left="720" w:hanging="709"/>
        <w:jc w:val="both"/>
        <w:rPr>
          <w:rFonts w:ascii="Times New Roman" w:hAnsi="Times New Roman" w:cs="Times New Roman"/>
          <w:noProof/>
          <w:lang w:val="es-ES"/>
        </w:rPr>
      </w:pPr>
      <w:r w:rsidRPr="00E25BB0">
        <w:rPr>
          <w:rFonts w:ascii="Times New Roman" w:hAnsi="Times New Roman" w:cs="Times New Roman"/>
          <w:noProof/>
          <w:lang w:val="es-ES"/>
        </w:rPr>
        <w:t xml:space="preserve">Cruz, S. </w:t>
      </w:r>
      <w:r w:rsidR="00C44CA0">
        <w:rPr>
          <w:rFonts w:ascii="Times New Roman" w:hAnsi="Times New Roman" w:cs="Times New Roman"/>
          <w:noProof/>
          <w:lang w:val="es-ES"/>
        </w:rPr>
        <w:t>y</w:t>
      </w:r>
      <w:r w:rsidRPr="00E25BB0">
        <w:rPr>
          <w:rFonts w:ascii="Times New Roman" w:hAnsi="Times New Roman" w:cs="Times New Roman"/>
          <w:noProof/>
          <w:lang w:val="es-ES"/>
        </w:rPr>
        <w:t xml:space="preserve"> Sandí, J.</w:t>
      </w:r>
      <w:r w:rsidR="00C2345A">
        <w:rPr>
          <w:rFonts w:ascii="Times New Roman" w:hAnsi="Times New Roman" w:cs="Times New Roman"/>
          <w:noProof/>
          <w:lang w:val="es-ES"/>
        </w:rPr>
        <w:t xml:space="preserve"> C.</w:t>
      </w:r>
      <w:r w:rsidRPr="00E25BB0">
        <w:rPr>
          <w:rFonts w:ascii="Times New Roman" w:hAnsi="Times New Roman" w:cs="Times New Roman"/>
          <w:noProof/>
          <w:lang w:val="es-ES"/>
        </w:rPr>
        <w:t xml:space="preserve"> (2014). </w:t>
      </w:r>
      <w:r w:rsidR="009516CA" w:rsidRPr="00E25BB0">
        <w:rPr>
          <w:rFonts w:ascii="Times New Roman" w:hAnsi="Times New Roman" w:cs="Times New Roman"/>
          <w:noProof/>
          <w:lang w:val="es-ES"/>
        </w:rPr>
        <w:t>Importancia de la educación superior en el desarrollo profesional para la población estudiantil</w:t>
      </w:r>
      <w:r w:rsidRPr="00E25BB0">
        <w:rPr>
          <w:rFonts w:ascii="Times New Roman" w:hAnsi="Times New Roman" w:cs="Times New Roman"/>
          <w:noProof/>
          <w:lang w:val="es-ES"/>
        </w:rPr>
        <w:t xml:space="preserve">. </w:t>
      </w:r>
      <w:r w:rsidR="0017150D">
        <w:rPr>
          <w:rFonts w:ascii="Times New Roman" w:hAnsi="Times New Roman" w:cs="Times New Roman"/>
          <w:noProof/>
          <w:lang w:val="es-ES"/>
        </w:rPr>
        <w:t xml:space="preserve">Ponencia presentada en el </w:t>
      </w:r>
      <w:r w:rsidR="00B65E4E" w:rsidRPr="00E25BB0">
        <w:rPr>
          <w:rFonts w:ascii="Times New Roman" w:hAnsi="Times New Roman" w:cs="Times New Roman"/>
          <w:shd w:val="clear" w:color="auto" w:fill="FFFFFF"/>
        </w:rPr>
        <w:t xml:space="preserve">III Congreso Internacional de Educación Superior (CIESUP). </w:t>
      </w:r>
      <w:r w:rsidR="0017150D">
        <w:rPr>
          <w:rFonts w:ascii="Times New Roman" w:hAnsi="Times New Roman" w:cs="Times New Roman"/>
          <w:shd w:val="clear" w:color="auto" w:fill="FFFFFF"/>
        </w:rPr>
        <w:t>Costa Rica</w:t>
      </w:r>
      <w:r w:rsidR="005C2748">
        <w:rPr>
          <w:rFonts w:ascii="Times New Roman" w:hAnsi="Times New Roman" w:cs="Times New Roman"/>
          <w:shd w:val="clear" w:color="auto" w:fill="FFFFFF"/>
        </w:rPr>
        <w:t>, 2014</w:t>
      </w:r>
      <w:r w:rsidR="0017150D">
        <w:rPr>
          <w:rFonts w:ascii="Times New Roman" w:hAnsi="Times New Roman" w:cs="Times New Roman"/>
          <w:shd w:val="clear" w:color="auto" w:fill="FFFFFF"/>
        </w:rPr>
        <w:t xml:space="preserve">. </w:t>
      </w:r>
      <w:r w:rsidR="0017150D">
        <w:rPr>
          <w:rFonts w:ascii="Times New Roman" w:hAnsi="Times New Roman" w:cs="Times New Roman"/>
          <w:noProof/>
          <w:lang w:val="es-ES"/>
        </w:rPr>
        <w:t>Recuperado de</w:t>
      </w:r>
      <w:r w:rsidR="00B65E4E" w:rsidRPr="00E25BB0">
        <w:rPr>
          <w:rFonts w:ascii="Times New Roman" w:hAnsi="Times New Roman" w:cs="Times New Roman"/>
          <w:noProof/>
          <w:lang w:val="es-ES"/>
        </w:rPr>
        <w:t xml:space="preserve"> </w:t>
      </w:r>
      <w:r w:rsidRPr="00716897">
        <w:rPr>
          <w:rFonts w:ascii="Times New Roman" w:hAnsi="Times New Roman" w:cs="Times New Roman"/>
          <w:noProof/>
          <w:lang w:val="es-ES"/>
        </w:rPr>
        <w:t>http://sedici.unlp.edu.ar/handle/10915/46200</w:t>
      </w:r>
      <w:r w:rsidR="0017150D">
        <w:rPr>
          <w:rFonts w:ascii="Times New Roman" w:hAnsi="Times New Roman" w:cs="Times New Roman"/>
          <w:noProof/>
          <w:lang w:val="es-ES"/>
        </w:rPr>
        <w:t>.</w:t>
      </w:r>
    </w:p>
    <w:p w14:paraId="07D0202D" w14:textId="5BCC7E3E" w:rsidR="003471DB" w:rsidRPr="009A217D" w:rsidRDefault="003471DB"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t xml:space="preserve">Duarte, J., Gargiulo, C. </w:t>
      </w:r>
      <w:r w:rsidR="00151BD3">
        <w:rPr>
          <w:rFonts w:ascii="Times New Roman" w:hAnsi="Times New Roman" w:cs="Times New Roman"/>
          <w:noProof/>
          <w:lang w:val="es-ES"/>
        </w:rPr>
        <w:t>y</w:t>
      </w:r>
      <w:r w:rsidRPr="009A217D">
        <w:rPr>
          <w:rFonts w:ascii="Times New Roman" w:hAnsi="Times New Roman" w:cs="Times New Roman"/>
          <w:noProof/>
          <w:lang w:val="es-ES"/>
        </w:rPr>
        <w:t xml:space="preserve"> Moreno, M. (2011). </w:t>
      </w:r>
      <w:r w:rsidRPr="00421EB7">
        <w:rPr>
          <w:rFonts w:ascii="Times New Roman" w:hAnsi="Times New Roman" w:cs="Times New Roman"/>
          <w:i/>
          <w:iCs/>
          <w:noProof/>
          <w:lang w:val="es-ES"/>
        </w:rPr>
        <w:t xml:space="preserve">Infraestructura </w:t>
      </w:r>
      <w:r w:rsidR="000E3DB6" w:rsidRPr="00421EB7">
        <w:rPr>
          <w:rFonts w:ascii="Times New Roman" w:hAnsi="Times New Roman" w:cs="Times New Roman"/>
          <w:i/>
          <w:iCs/>
          <w:noProof/>
          <w:lang w:val="es-ES"/>
        </w:rPr>
        <w:t>e</w:t>
      </w:r>
      <w:r w:rsidR="00151BD3" w:rsidRPr="00421EB7">
        <w:rPr>
          <w:rFonts w:ascii="Times New Roman" w:hAnsi="Times New Roman" w:cs="Times New Roman"/>
          <w:i/>
          <w:iCs/>
          <w:noProof/>
          <w:lang w:val="es-ES"/>
        </w:rPr>
        <w:t xml:space="preserve">scolar y aprendizajes en la educación básica latinoamericana: un análisis a partir </w:t>
      </w:r>
      <w:r w:rsidRPr="00421EB7">
        <w:rPr>
          <w:rFonts w:ascii="Times New Roman" w:hAnsi="Times New Roman" w:cs="Times New Roman"/>
          <w:i/>
          <w:iCs/>
          <w:noProof/>
          <w:lang w:val="es-ES"/>
        </w:rPr>
        <w:t>del SERCE</w:t>
      </w:r>
      <w:r w:rsidRPr="009A217D">
        <w:rPr>
          <w:rFonts w:ascii="Times New Roman" w:hAnsi="Times New Roman" w:cs="Times New Roman"/>
          <w:noProof/>
          <w:lang w:val="es-ES"/>
        </w:rPr>
        <w:t xml:space="preserve">. </w:t>
      </w:r>
      <w:r w:rsidRPr="00421EB7">
        <w:rPr>
          <w:rFonts w:ascii="Times New Roman" w:hAnsi="Times New Roman" w:cs="Times New Roman"/>
          <w:noProof/>
          <w:lang w:val="es-ES"/>
        </w:rPr>
        <w:t>Banco Interamericano de Desarrollo</w:t>
      </w:r>
      <w:r w:rsidRPr="009A217D">
        <w:rPr>
          <w:rFonts w:ascii="Times New Roman" w:hAnsi="Times New Roman" w:cs="Times New Roman"/>
          <w:noProof/>
          <w:lang w:val="es-ES"/>
        </w:rPr>
        <w:t>.</w:t>
      </w:r>
      <w:r w:rsidR="00151BD3">
        <w:rPr>
          <w:rFonts w:ascii="Times New Roman" w:hAnsi="Times New Roman" w:cs="Times New Roman"/>
          <w:noProof/>
          <w:lang w:val="es-ES"/>
        </w:rPr>
        <w:t xml:space="preserve"> Recuperado de</w:t>
      </w:r>
      <w:r w:rsidRPr="009A217D">
        <w:rPr>
          <w:rFonts w:ascii="Times New Roman" w:hAnsi="Times New Roman" w:cs="Times New Roman"/>
          <w:noProof/>
          <w:lang w:val="es-ES"/>
        </w:rPr>
        <w:t xml:space="preserve"> </w:t>
      </w:r>
      <w:r w:rsidRPr="00716897">
        <w:rPr>
          <w:rFonts w:ascii="Times New Roman" w:hAnsi="Times New Roman" w:cs="Times New Roman"/>
          <w:noProof/>
          <w:lang w:val="es-ES"/>
        </w:rPr>
        <w:t>https://www.researchgate.net/publication/238048592</w:t>
      </w:r>
      <w:r w:rsidR="00151BD3">
        <w:rPr>
          <w:rFonts w:ascii="Times New Roman" w:hAnsi="Times New Roman" w:cs="Times New Roman"/>
          <w:noProof/>
          <w:lang w:val="es-ES"/>
        </w:rPr>
        <w:t>.</w:t>
      </w:r>
    </w:p>
    <w:p w14:paraId="70A81A7D" w14:textId="1B417853" w:rsidR="00931084" w:rsidRPr="009A217D" w:rsidRDefault="00931084"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shd w:val="clear" w:color="auto" w:fill="FFFFFF"/>
        </w:rPr>
        <w:t>Escobar, J.</w:t>
      </w:r>
      <w:r w:rsidR="00B539B8">
        <w:rPr>
          <w:rFonts w:ascii="Times New Roman" w:hAnsi="Times New Roman" w:cs="Times New Roman"/>
          <w:shd w:val="clear" w:color="auto" w:fill="FFFFFF"/>
        </w:rPr>
        <w:t xml:space="preserve"> y</w:t>
      </w:r>
      <w:r w:rsidRPr="009A217D">
        <w:rPr>
          <w:rFonts w:ascii="Times New Roman" w:hAnsi="Times New Roman" w:cs="Times New Roman"/>
          <w:shd w:val="clear" w:color="auto" w:fill="FFFFFF"/>
        </w:rPr>
        <w:t xml:space="preserve"> Rincón, A. (2018). La divulgación científica y sus modelos comunicativos: algunas reflexiones teóricas para la enseñanza de las ciencias. </w:t>
      </w:r>
      <w:r w:rsidRPr="009A217D">
        <w:rPr>
          <w:rStyle w:val="nfasis"/>
          <w:rFonts w:ascii="Times New Roman" w:hAnsi="Times New Roman" w:cs="Times New Roman"/>
          <w:shd w:val="clear" w:color="auto" w:fill="FFFFFF"/>
        </w:rPr>
        <w:t>Revista Colombiana de Ciencias Sociales, 10</w:t>
      </w:r>
      <w:r w:rsidRPr="009A217D">
        <w:rPr>
          <w:rFonts w:ascii="Times New Roman" w:hAnsi="Times New Roman" w:cs="Times New Roman"/>
          <w:shd w:val="clear" w:color="auto" w:fill="FFFFFF"/>
        </w:rPr>
        <w:t xml:space="preserve">(1), 135-154. </w:t>
      </w:r>
      <w:r w:rsidR="00B539B8">
        <w:rPr>
          <w:rFonts w:ascii="Times New Roman" w:hAnsi="Times New Roman" w:cs="Times New Roman"/>
          <w:shd w:val="clear" w:color="auto" w:fill="FFFFFF"/>
        </w:rPr>
        <w:t xml:space="preserve">Recuperado de </w:t>
      </w:r>
      <w:r w:rsidRPr="00716897">
        <w:rPr>
          <w:rFonts w:ascii="Times New Roman" w:hAnsi="Times New Roman" w:cs="Times New Roman"/>
          <w:shd w:val="clear" w:color="auto" w:fill="FFFFFF"/>
        </w:rPr>
        <w:t>https://doi.org/10.21501/22161201.3062</w:t>
      </w:r>
      <w:r w:rsidR="00B539B8">
        <w:rPr>
          <w:rFonts w:ascii="Times New Roman" w:hAnsi="Times New Roman" w:cs="Times New Roman"/>
          <w:noProof/>
          <w:lang w:val="es-ES"/>
        </w:rPr>
        <w:t>.</w:t>
      </w:r>
    </w:p>
    <w:p w14:paraId="392D8836" w14:textId="728080C5" w:rsidR="00410C9E" w:rsidRPr="009A217D" w:rsidRDefault="00410C9E" w:rsidP="00FF6D96">
      <w:pPr>
        <w:spacing w:line="360" w:lineRule="auto"/>
        <w:ind w:left="709" w:hanging="709"/>
        <w:jc w:val="both"/>
        <w:rPr>
          <w:rFonts w:ascii="Times New Roman" w:hAnsi="Times New Roman" w:cs="Times New Roman"/>
          <w:noProof/>
          <w:lang w:val="es-ES"/>
        </w:rPr>
      </w:pPr>
      <w:r w:rsidRPr="009A217D">
        <w:rPr>
          <w:rFonts w:ascii="Times New Roman" w:hAnsi="Times New Roman" w:cs="Times New Roman"/>
          <w:noProof/>
          <w:lang w:val="es-ES"/>
        </w:rPr>
        <w:t xml:space="preserve">Fonseca, R. y Cascante, C. H. (2019). </w:t>
      </w:r>
      <w:r w:rsidRPr="009A217D">
        <w:rPr>
          <w:rFonts w:ascii="Times New Roman" w:hAnsi="Times New Roman" w:cs="Times New Roman"/>
        </w:rPr>
        <w:t xml:space="preserve">Características del perfil de las personas egresadas del posgrado en Relaciones Internacionales </w:t>
      </w:r>
      <w:r w:rsidRPr="00421EB7">
        <w:rPr>
          <w:rFonts w:ascii="Times New Roman" w:hAnsi="Times New Roman" w:cs="Times New Roman"/>
          <w:i/>
          <w:iCs/>
        </w:rPr>
        <w:t>Revista Educación</w:t>
      </w:r>
      <w:r w:rsidRPr="009A217D">
        <w:rPr>
          <w:rFonts w:ascii="Times New Roman" w:hAnsi="Times New Roman" w:cs="Times New Roman"/>
        </w:rPr>
        <w:t xml:space="preserve">, </w:t>
      </w:r>
      <w:r w:rsidRPr="00421EB7">
        <w:rPr>
          <w:rFonts w:ascii="Times New Roman" w:hAnsi="Times New Roman" w:cs="Times New Roman"/>
          <w:i/>
          <w:iCs/>
        </w:rPr>
        <w:t>43</w:t>
      </w:r>
      <w:r w:rsidRPr="009A217D">
        <w:rPr>
          <w:rFonts w:ascii="Times New Roman" w:hAnsi="Times New Roman" w:cs="Times New Roman"/>
        </w:rPr>
        <w:t>(2).</w:t>
      </w:r>
      <w:r w:rsidR="008A3EDA">
        <w:rPr>
          <w:rFonts w:ascii="Times New Roman" w:hAnsi="Times New Roman" w:cs="Times New Roman"/>
        </w:rPr>
        <w:t xml:space="preserve"> Recuperado de</w:t>
      </w:r>
      <w:r w:rsidRPr="009A217D">
        <w:rPr>
          <w:rFonts w:ascii="Times New Roman" w:hAnsi="Times New Roman" w:cs="Times New Roman"/>
        </w:rPr>
        <w:t xml:space="preserve"> </w:t>
      </w:r>
      <w:hyperlink r:id="rId12" w:tgtFrame="_blank" w:history="1">
        <w:r w:rsidRPr="009A217D">
          <w:rPr>
            <w:rStyle w:val="Hipervnculo"/>
            <w:rFonts w:ascii="Times New Roman" w:hAnsi="Times New Roman" w:cs="Times New Roman"/>
            <w:color w:val="auto"/>
            <w:u w:val="none"/>
            <w:shd w:val="clear" w:color="auto" w:fill="FFFFFF"/>
          </w:rPr>
          <w:t>https://doi.org/10.15517/revedu.v43i2.31870</w:t>
        </w:r>
      </w:hyperlink>
      <w:r w:rsidR="008A3EDA">
        <w:rPr>
          <w:rStyle w:val="Hipervnculo"/>
          <w:rFonts w:ascii="Times New Roman" w:hAnsi="Times New Roman" w:cs="Times New Roman"/>
          <w:color w:val="auto"/>
          <w:u w:val="none"/>
          <w:shd w:val="clear" w:color="auto" w:fill="FFFFFF"/>
        </w:rPr>
        <w:t>.</w:t>
      </w:r>
    </w:p>
    <w:p w14:paraId="7AD934BE" w14:textId="0CD39E5B" w:rsidR="000208D2" w:rsidRPr="009A217D" w:rsidRDefault="000208D2" w:rsidP="00FF6D96">
      <w:pPr>
        <w:spacing w:line="360" w:lineRule="auto"/>
        <w:ind w:left="709" w:hanging="709"/>
        <w:jc w:val="both"/>
        <w:rPr>
          <w:rFonts w:ascii="Times New Roman" w:eastAsia="Times New Roman" w:hAnsi="Times New Roman" w:cs="Times New Roman"/>
          <w:lang w:val="es-MX" w:eastAsia="es-MX"/>
        </w:rPr>
      </w:pPr>
      <w:r w:rsidRPr="009A217D">
        <w:rPr>
          <w:rFonts w:ascii="Times New Roman" w:hAnsi="Times New Roman" w:cs="Times New Roman"/>
          <w:noProof/>
          <w:lang w:val="es-ES"/>
        </w:rPr>
        <w:t>Fundación Lilly</w:t>
      </w:r>
      <w:r w:rsidR="002C3E91">
        <w:rPr>
          <w:rFonts w:ascii="Times New Roman" w:hAnsi="Times New Roman" w:cs="Times New Roman"/>
          <w:noProof/>
          <w:lang w:val="es-ES"/>
        </w:rPr>
        <w:t>.</w:t>
      </w:r>
      <w:r w:rsidRPr="009A217D">
        <w:rPr>
          <w:rFonts w:ascii="Times New Roman" w:hAnsi="Times New Roman" w:cs="Times New Roman"/>
          <w:noProof/>
          <w:lang w:val="es-ES"/>
        </w:rPr>
        <w:t xml:space="preserve"> (</w:t>
      </w:r>
      <w:r w:rsidR="00737EB4">
        <w:rPr>
          <w:rFonts w:ascii="Times New Roman" w:hAnsi="Times New Roman" w:cs="Times New Roman"/>
          <w:noProof/>
          <w:lang w:val="es-ES"/>
        </w:rPr>
        <w:t xml:space="preserve">8 de febrero de </w:t>
      </w:r>
      <w:r w:rsidRPr="009A217D">
        <w:rPr>
          <w:rFonts w:ascii="Times New Roman" w:hAnsi="Times New Roman" w:cs="Times New Roman"/>
          <w:noProof/>
          <w:lang w:val="es-ES"/>
        </w:rPr>
        <w:t xml:space="preserve">2018). </w:t>
      </w:r>
      <w:r w:rsidRPr="009A217D">
        <w:rPr>
          <w:rFonts w:ascii="Times New Roman" w:hAnsi="Times New Roman" w:cs="Times New Roman"/>
        </w:rPr>
        <w:t xml:space="preserve">Fomentar una ciencia cercana y familiar, clave para estimular las vocaciones científicas entre jóvenes. </w:t>
      </w:r>
      <w:r w:rsidR="002C3E91" w:rsidRPr="002C3E91">
        <w:rPr>
          <w:rFonts w:ascii="Times New Roman" w:hAnsi="Times New Roman" w:cs="Times New Roman"/>
        </w:rPr>
        <w:t>Fundación para el Conocimiento madri+d</w:t>
      </w:r>
      <w:r w:rsidR="002C3E91">
        <w:rPr>
          <w:rFonts w:ascii="Times New Roman" w:hAnsi="Times New Roman" w:cs="Times New Roman"/>
        </w:rPr>
        <w:t>.</w:t>
      </w:r>
      <w:r w:rsidR="002C3E91" w:rsidRPr="002C3E91" w:rsidDel="002C3E91">
        <w:rPr>
          <w:rFonts w:ascii="Times New Roman" w:hAnsi="Times New Roman" w:cs="Times New Roman"/>
        </w:rPr>
        <w:t xml:space="preserve"> </w:t>
      </w:r>
      <w:r w:rsidR="002C3E91">
        <w:rPr>
          <w:rFonts w:ascii="Times New Roman" w:hAnsi="Times New Roman" w:cs="Times New Roman"/>
        </w:rPr>
        <w:t xml:space="preserve">Recuperado de </w:t>
      </w:r>
      <w:r w:rsidR="00EA4773" w:rsidRPr="00716897">
        <w:rPr>
          <w:rFonts w:ascii="Times New Roman" w:hAnsi="Times New Roman" w:cs="Times New Roman"/>
        </w:rPr>
        <w:t>https://www.madrimasd.org/notiweb/noticias/fomentar-una-ciencia-cercana-familiar-clave-estimular-las-vocaciones-cientificas-entre-jovenes</w:t>
      </w:r>
      <w:r w:rsidR="002C3E91">
        <w:rPr>
          <w:rFonts w:ascii="Times New Roman" w:hAnsi="Times New Roman" w:cs="Times New Roman"/>
        </w:rPr>
        <w:t>.</w:t>
      </w:r>
    </w:p>
    <w:p w14:paraId="24E327CE" w14:textId="77777777" w:rsidR="00C23DC2" w:rsidRDefault="00C23DC2" w:rsidP="00FF6D96">
      <w:pPr>
        <w:pStyle w:val="Bibliografa"/>
        <w:spacing w:line="360" w:lineRule="auto"/>
        <w:ind w:left="720" w:hanging="709"/>
        <w:jc w:val="both"/>
        <w:rPr>
          <w:rFonts w:ascii="Times New Roman" w:hAnsi="Times New Roman" w:cs="Times New Roman"/>
          <w:noProof/>
          <w:lang w:val="es-ES"/>
        </w:rPr>
      </w:pPr>
    </w:p>
    <w:p w14:paraId="13BEEF46" w14:textId="7041BC56" w:rsidR="001A5FCC" w:rsidRPr="009A217D" w:rsidRDefault="001A5FCC"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lastRenderedPageBreak/>
        <w:t xml:space="preserve">García, F., Fonseca, G. </w:t>
      </w:r>
      <w:r w:rsidR="002B7601">
        <w:rPr>
          <w:rFonts w:ascii="Times New Roman" w:hAnsi="Times New Roman" w:cs="Times New Roman"/>
          <w:noProof/>
          <w:lang w:val="es-ES"/>
        </w:rPr>
        <w:t>y</w:t>
      </w:r>
      <w:r w:rsidRPr="009A217D">
        <w:rPr>
          <w:rFonts w:ascii="Times New Roman" w:hAnsi="Times New Roman" w:cs="Times New Roman"/>
          <w:noProof/>
          <w:lang w:val="es-ES"/>
        </w:rPr>
        <w:t xml:space="preserve"> Concha, L. (2015). Aprendizaje y rendimiento académico en educación superior: un estudio comparado. </w:t>
      </w:r>
      <w:r w:rsidRPr="009A217D">
        <w:rPr>
          <w:rFonts w:ascii="Times New Roman" w:hAnsi="Times New Roman" w:cs="Times New Roman"/>
          <w:i/>
          <w:iCs/>
          <w:noProof/>
          <w:lang w:val="es-ES"/>
        </w:rPr>
        <w:t>Actualidades Investigativas en Educación</w:t>
      </w:r>
      <w:r w:rsidRPr="009A217D">
        <w:rPr>
          <w:rFonts w:ascii="Times New Roman" w:hAnsi="Times New Roman" w:cs="Times New Roman"/>
          <w:noProof/>
          <w:lang w:val="es-ES"/>
        </w:rPr>
        <w:t xml:space="preserve">, </w:t>
      </w:r>
      <w:r w:rsidRPr="00421EB7">
        <w:rPr>
          <w:rFonts w:ascii="Times New Roman" w:hAnsi="Times New Roman" w:cs="Times New Roman"/>
          <w:i/>
          <w:iCs/>
          <w:noProof/>
          <w:lang w:val="es-ES"/>
        </w:rPr>
        <w:t>15</w:t>
      </w:r>
      <w:r w:rsidRPr="009A217D">
        <w:rPr>
          <w:rFonts w:ascii="Times New Roman" w:hAnsi="Times New Roman" w:cs="Times New Roman"/>
          <w:noProof/>
          <w:lang w:val="es-ES"/>
        </w:rPr>
        <w:t>(3),</w:t>
      </w:r>
      <w:r w:rsidR="002B7601">
        <w:rPr>
          <w:rFonts w:ascii="Times New Roman" w:hAnsi="Times New Roman" w:cs="Times New Roman"/>
          <w:noProof/>
          <w:lang w:val="es-ES"/>
        </w:rPr>
        <w:t xml:space="preserve"> </w:t>
      </w:r>
      <w:r w:rsidRPr="009A217D">
        <w:rPr>
          <w:rFonts w:ascii="Times New Roman" w:hAnsi="Times New Roman" w:cs="Times New Roman"/>
          <w:noProof/>
          <w:lang w:val="es-ES"/>
        </w:rPr>
        <w:t xml:space="preserve">1-26. </w:t>
      </w:r>
      <w:r w:rsidR="002B7601">
        <w:rPr>
          <w:rFonts w:ascii="Times New Roman" w:hAnsi="Times New Roman" w:cs="Times New Roman"/>
          <w:noProof/>
          <w:lang w:val="es-ES"/>
        </w:rPr>
        <w:t xml:space="preserve">Recuperado de </w:t>
      </w:r>
      <w:r w:rsidRPr="009A217D">
        <w:rPr>
          <w:rFonts w:ascii="Times New Roman" w:hAnsi="Times New Roman" w:cs="Times New Roman"/>
          <w:noProof/>
          <w:lang w:val="es-ES"/>
        </w:rPr>
        <w:t>https://www.redalyc.org/articulo.oa?id=44741347019</w:t>
      </w:r>
      <w:r w:rsidR="002B7601">
        <w:rPr>
          <w:rFonts w:ascii="Times New Roman" w:hAnsi="Times New Roman" w:cs="Times New Roman"/>
          <w:noProof/>
          <w:lang w:val="es-ES"/>
        </w:rPr>
        <w:t>.</w:t>
      </w:r>
    </w:p>
    <w:p w14:paraId="5E0AF2B7" w14:textId="2134D8DA" w:rsidR="00D8497F" w:rsidRPr="009A217D" w:rsidRDefault="00D8497F"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t>Guevara, E. S.</w:t>
      </w:r>
      <w:r w:rsidR="00C15477">
        <w:rPr>
          <w:rFonts w:ascii="Times New Roman" w:hAnsi="Times New Roman" w:cs="Times New Roman"/>
          <w:noProof/>
          <w:lang w:val="es-ES"/>
        </w:rPr>
        <w:t xml:space="preserve"> y</w:t>
      </w:r>
      <w:r w:rsidRPr="009A217D">
        <w:rPr>
          <w:rFonts w:ascii="Times New Roman" w:hAnsi="Times New Roman" w:cs="Times New Roman"/>
          <w:noProof/>
          <w:lang w:val="es-ES"/>
        </w:rPr>
        <w:t xml:space="preserve"> Flores, M. G. (2018). Educación científica de las niñas, vocaciones científicas e identidades femeninas. Experiencias de estudiantes universitarias. </w:t>
      </w:r>
      <w:r w:rsidRPr="009A217D">
        <w:rPr>
          <w:rFonts w:ascii="Times New Roman" w:hAnsi="Times New Roman" w:cs="Times New Roman"/>
          <w:i/>
          <w:iCs/>
          <w:noProof/>
          <w:lang w:val="es-ES"/>
        </w:rPr>
        <w:t>Actualidades Investigativas en Educación</w:t>
      </w:r>
      <w:r w:rsidRPr="009A217D">
        <w:rPr>
          <w:rFonts w:ascii="Times New Roman" w:hAnsi="Times New Roman" w:cs="Times New Roman"/>
          <w:noProof/>
          <w:lang w:val="es-ES"/>
        </w:rPr>
        <w:t xml:space="preserve">, </w:t>
      </w:r>
      <w:r w:rsidRPr="00421EB7">
        <w:rPr>
          <w:rFonts w:ascii="Times New Roman" w:hAnsi="Times New Roman" w:cs="Times New Roman"/>
          <w:i/>
          <w:iCs/>
          <w:noProof/>
          <w:lang w:val="es-ES"/>
        </w:rPr>
        <w:t>18</w:t>
      </w:r>
      <w:r w:rsidRPr="009A217D">
        <w:rPr>
          <w:rFonts w:ascii="Times New Roman" w:hAnsi="Times New Roman" w:cs="Times New Roman"/>
          <w:noProof/>
          <w:lang w:val="es-ES"/>
        </w:rPr>
        <w:t xml:space="preserve">(2),1-31. </w:t>
      </w:r>
      <w:r w:rsidR="00C15477">
        <w:rPr>
          <w:rFonts w:ascii="Times New Roman" w:hAnsi="Times New Roman" w:cs="Times New Roman"/>
          <w:noProof/>
          <w:lang w:val="es-ES"/>
        </w:rPr>
        <w:t xml:space="preserve">Recuperado de </w:t>
      </w:r>
      <w:r w:rsidRPr="00716897">
        <w:rPr>
          <w:rFonts w:ascii="Times New Roman" w:hAnsi="Times New Roman" w:cs="Times New Roman"/>
          <w:noProof/>
          <w:lang w:val="es-ES"/>
        </w:rPr>
        <w:t>https://www.redalyc.org/articulo.oa?id=44758022008</w:t>
      </w:r>
      <w:r w:rsidR="00C15477">
        <w:rPr>
          <w:rFonts w:ascii="Times New Roman" w:hAnsi="Times New Roman" w:cs="Times New Roman"/>
          <w:noProof/>
          <w:lang w:val="es-ES"/>
        </w:rPr>
        <w:t>.</w:t>
      </w:r>
    </w:p>
    <w:p w14:paraId="455E8910" w14:textId="40ECF9ED" w:rsidR="005142AF" w:rsidRDefault="005142AF" w:rsidP="00FF6D96">
      <w:pPr>
        <w:pStyle w:val="Bibliografa"/>
        <w:spacing w:line="360" w:lineRule="auto"/>
        <w:ind w:left="720" w:hanging="709"/>
        <w:jc w:val="both"/>
        <w:rPr>
          <w:rFonts w:ascii="Times New Roman" w:hAnsi="Times New Roman" w:cs="Times New Roman"/>
          <w:noProof/>
          <w:lang w:val="es-ES"/>
        </w:rPr>
      </w:pPr>
      <w:r>
        <w:rPr>
          <w:rFonts w:ascii="Times New Roman" w:hAnsi="Times New Roman" w:cs="Times New Roman"/>
          <w:noProof/>
          <w:lang w:val="es-ES"/>
        </w:rPr>
        <w:t xml:space="preserve">Hernández, R., Fernández, C. y Baptista, P. (2016). Metodología de la investigación </w:t>
      </w:r>
      <w:r w:rsidR="003066B7">
        <w:rPr>
          <w:rFonts w:ascii="Times New Roman" w:hAnsi="Times New Roman" w:cs="Times New Roman"/>
          <w:noProof/>
          <w:lang w:val="es-ES"/>
        </w:rPr>
        <w:t>(</w:t>
      </w:r>
      <w:r>
        <w:rPr>
          <w:rFonts w:ascii="Times New Roman" w:hAnsi="Times New Roman" w:cs="Times New Roman"/>
          <w:noProof/>
          <w:lang w:val="es-ES"/>
        </w:rPr>
        <w:t>6</w:t>
      </w:r>
      <w:r w:rsidR="003066B7">
        <w:rPr>
          <w:rFonts w:ascii="Times New Roman" w:hAnsi="Times New Roman" w:cs="Times New Roman"/>
          <w:noProof/>
          <w:lang w:val="es-ES"/>
        </w:rPr>
        <w:t>.</w:t>
      </w:r>
      <w:r w:rsidR="003066B7" w:rsidRPr="00421EB7">
        <w:rPr>
          <w:rFonts w:ascii="Times New Roman" w:hAnsi="Times New Roman" w:cs="Times New Roman"/>
          <w:noProof/>
          <w:vertAlign w:val="superscript"/>
          <w:lang w:val="es-ES"/>
        </w:rPr>
        <w:t>a</w:t>
      </w:r>
      <w:r w:rsidR="003066B7">
        <w:rPr>
          <w:rFonts w:ascii="Times New Roman" w:hAnsi="Times New Roman" w:cs="Times New Roman"/>
          <w:noProof/>
          <w:lang w:val="es-ES"/>
        </w:rPr>
        <w:t xml:space="preserve"> ed.)</w:t>
      </w:r>
      <w:r>
        <w:rPr>
          <w:rFonts w:ascii="Times New Roman" w:hAnsi="Times New Roman" w:cs="Times New Roman"/>
          <w:noProof/>
          <w:lang w:val="es-ES"/>
        </w:rPr>
        <w:t xml:space="preserve">. </w:t>
      </w:r>
      <w:r w:rsidR="003066B7">
        <w:rPr>
          <w:rFonts w:ascii="Times New Roman" w:hAnsi="Times New Roman" w:cs="Times New Roman"/>
          <w:noProof/>
          <w:lang w:val="es-ES"/>
        </w:rPr>
        <w:t>México: McGraw-</w:t>
      </w:r>
      <w:r>
        <w:rPr>
          <w:rFonts w:ascii="Times New Roman" w:hAnsi="Times New Roman" w:cs="Times New Roman"/>
          <w:noProof/>
          <w:lang w:val="es-ES"/>
        </w:rPr>
        <w:t>Hill.</w:t>
      </w:r>
      <w:r w:rsidR="00555D8D">
        <w:rPr>
          <w:rFonts w:ascii="Times New Roman" w:hAnsi="Times New Roman" w:cs="Times New Roman"/>
          <w:noProof/>
          <w:lang w:val="es-ES"/>
        </w:rPr>
        <w:t xml:space="preserve"> </w:t>
      </w:r>
    </w:p>
    <w:p w14:paraId="4D59BEF6" w14:textId="756D5656" w:rsidR="00F52CBE" w:rsidRDefault="00F52CBE" w:rsidP="00FF6D96">
      <w:pPr>
        <w:pStyle w:val="Bibliografa"/>
        <w:spacing w:line="360" w:lineRule="auto"/>
        <w:ind w:left="720" w:hanging="709"/>
        <w:jc w:val="both"/>
        <w:rPr>
          <w:rFonts w:ascii="Times New Roman" w:hAnsi="Times New Roman" w:cs="Times New Roman"/>
          <w:noProof/>
          <w:lang w:val="es-ES"/>
        </w:rPr>
      </w:pPr>
      <w:r>
        <w:rPr>
          <w:rFonts w:ascii="Times New Roman" w:hAnsi="Times New Roman" w:cs="Times New Roman"/>
          <w:noProof/>
          <w:lang w:val="es-ES"/>
        </w:rPr>
        <w:t xml:space="preserve">Hernández-Sampieri, R. y Mendoza, C. P. (2018). Metodología de la investigación: las rutas cuantitativa, cualitativa y mixta. </w:t>
      </w:r>
      <w:r w:rsidR="00555D8D">
        <w:rPr>
          <w:rFonts w:ascii="Times New Roman" w:hAnsi="Times New Roman" w:cs="Times New Roman"/>
          <w:noProof/>
          <w:lang w:val="es-ES"/>
        </w:rPr>
        <w:t>México: McGraw-Hill.</w:t>
      </w:r>
    </w:p>
    <w:p w14:paraId="4A8B8437" w14:textId="5D923720" w:rsidR="00C440B8" w:rsidRPr="009A217D" w:rsidRDefault="00845622" w:rsidP="00FF6D96">
      <w:pPr>
        <w:pStyle w:val="Bibliografa"/>
        <w:spacing w:line="360" w:lineRule="auto"/>
        <w:ind w:left="720" w:hanging="709"/>
        <w:jc w:val="both"/>
        <w:rPr>
          <w:rFonts w:ascii="Times New Roman" w:hAnsi="Times New Roman" w:cs="Times New Roman"/>
          <w:noProof/>
          <w:lang w:val="es-ES"/>
        </w:rPr>
      </w:pPr>
      <w:r w:rsidRPr="00845622">
        <w:rPr>
          <w:rFonts w:ascii="Times New Roman" w:hAnsi="Times New Roman" w:cs="Times New Roman"/>
          <w:noProof/>
          <w:lang w:val="es-ES"/>
        </w:rPr>
        <w:t>Instituto Nacional de Estadística y Geografía</w:t>
      </w:r>
      <w:r w:rsidRPr="00845622" w:rsidDel="00845622">
        <w:rPr>
          <w:rFonts w:ascii="Times New Roman" w:hAnsi="Times New Roman" w:cs="Times New Roman"/>
          <w:noProof/>
          <w:lang w:val="es-ES"/>
        </w:rPr>
        <w:t xml:space="preserve"> </w:t>
      </w:r>
      <w:r>
        <w:rPr>
          <w:rFonts w:ascii="Times New Roman" w:hAnsi="Times New Roman" w:cs="Times New Roman"/>
          <w:noProof/>
          <w:lang w:val="es-ES"/>
        </w:rPr>
        <w:t xml:space="preserve">[Inegi]. </w:t>
      </w:r>
      <w:r w:rsidR="00C440B8" w:rsidRPr="009A217D">
        <w:rPr>
          <w:rFonts w:ascii="Times New Roman" w:hAnsi="Times New Roman" w:cs="Times New Roman"/>
          <w:noProof/>
          <w:lang w:val="es-ES"/>
        </w:rPr>
        <w:t>(</w:t>
      </w:r>
      <w:r w:rsidR="00D40661">
        <w:rPr>
          <w:rFonts w:ascii="Times New Roman" w:hAnsi="Times New Roman" w:cs="Times New Roman"/>
          <w:noProof/>
          <w:lang w:val="es-ES"/>
        </w:rPr>
        <w:t xml:space="preserve">10 de agosto de </w:t>
      </w:r>
      <w:r w:rsidR="00C440B8" w:rsidRPr="009A217D">
        <w:rPr>
          <w:rFonts w:ascii="Times New Roman" w:hAnsi="Times New Roman" w:cs="Times New Roman"/>
          <w:noProof/>
          <w:lang w:val="es-ES"/>
        </w:rPr>
        <w:t xml:space="preserve">2020). Estadísticas a propósito del </w:t>
      </w:r>
      <w:r w:rsidR="00D40661">
        <w:rPr>
          <w:rFonts w:ascii="Times New Roman" w:hAnsi="Times New Roman" w:cs="Times New Roman"/>
          <w:noProof/>
          <w:lang w:val="es-ES"/>
        </w:rPr>
        <w:t>D</w:t>
      </w:r>
      <w:r w:rsidR="00C440B8" w:rsidRPr="009A217D">
        <w:rPr>
          <w:rFonts w:ascii="Times New Roman" w:hAnsi="Times New Roman" w:cs="Times New Roman"/>
          <w:noProof/>
          <w:lang w:val="es-ES"/>
        </w:rPr>
        <w:t xml:space="preserve">ía </w:t>
      </w:r>
      <w:r w:rsidR="00D40661">
        <w:rPr>
          <w:rFonts w:ascii="Times New Roman" w:hAnsi="Times New Roman" w:cs="Times New Roman"/>
          <w:noProof/>
          <w:lang w:val="es-ES"/>
        </w:rPr>
        <w:t>I</w:t>
      </w:r>
      <w:r w:rsidR="00D40661" w:rsidRPr="009A217D">
        <w:rPr>
          <w:rFonts w:ascii="Times New Roman" w:hAnsi="Times New Roman" w:cs="Times New Roman"/>
          <w:noProof/>
          <w:lang w:val="es-ES"/>
        </w:rPr>
        <w:t xml:space="preserve">nternacional </w:t>
      </w:r>
      <w:r w:rsidR="00C440B8" w:rsidRPr="009A217D">
        <w:rPr>
          <w:rFonts w:ascii="Times New Roman" w:hAnsi="Times New Roman" w:cs="Times New Roman"/>
          <w:noProof/>
          <w:lang w:val="es-ES"/>
        </w:rPr>
        <w:t xml:space="preserve">de la </w:t>
      </w:r>
      <w:r w:rsidR="00D40661">
        <w:rPr>
          <w:rFonts w:ascii="Times New Roman" w:hAnsi="Times New Roman" w:cs="Times New Roman"/>
          <w:noProof/>
          <w:lang w:val="es-ES"/>
        </w:rPr>
        <w:t>J</w:t>
      </w:r>
      <w:r w:rsidR="00D40661" w:rsidRPr="009A217D">
        <w:rPr>
          <w:rFonts w:ascii="Times New Roman" w:hAnsi="Times New Roman" w:cs="Times New Roman"/>
          <w:noProof/>
          <w:lang w:val="es-ES"/>
        </w:rPr>
        <w:t xml:space="preserve">uventud </w:t>
      </w:r>
      <w:r w:rsidR="00C440B8" w:rsidRPr="009A217D">
        <w:rPr>
          <w:rFonts w:ascii="Times New Roman" w:hAnsi="Times New Roman" w:cs="Times New Roman"/>
          <w:noProof/>
          <w:lang w:val="es-ES"/>
        </w:rPr>
        <w:t xml:space="preserve">(12 de agosto). Datos </w:t>
      </w:r>
      <w:r w:rsidR="00D40661">
        <w:rPr>
          <w:rFonts w:ascii="Times New Roman" w:hAnsi="Times New Roman" w:cs="Times New Roman"/>
          <w:noProof/>
          <w:lang w:val="es-ES"/>
        </w:rPr>
        <w:t>n</w:t>
      </w:r>
      <w:r w:rsidR="00C440B8" w:rsidRPr="009A217D">
        <w:rPr>
          <w:rFonts w:ascii="Times New Roman" w:hAnsi="Times New Roman" w:cs="Times New Roman"/>
          <w:noProof/>
          <w:lang w:val="es-ES"/>
        </w:rPr>
        <w:t xml:space="preserve">acionales. </w:t>
      </w:r>
      <w:r w:rsidR="001E0E6E">
        <w:rPr>
          <w:rFonts w:ascii="Times New Roman" w:hAnsi="Times New Roman" w:cs="Times New Roman"/>
          <w:noProof/>
          <w:lang w:val="es-ES"/>
        </w:rPr>
        <w:t>(</w:t>
      </w:r>
      <w:r w:rsidR="00C440B8" w:rsidRPr="00421EB7">
        <w:rPr>
          <w:rFonts w:ascii="Times New Roman" w:hAnsi="Times New Roman" w:cs="Times New Roman"/>
          <w:noProof/>
          <w:lang w:val="es-ES"/>
        </w:rPr>
        <w:t xml:space="preserve">Comunicado de </w:t>
      </w:r>
      <w:r w:rsidR="001E0E6E" w:rsidRPr="00421EB7">
        <w:rPr>
          <w:rFonts w:ascii="Times New Roman" w:hAnsi="Times New Roman" w:cs="Times New Roman"/>
          <w:noProof/>
          <w:lang w:val="es-ES"/>
        </w:rPr>
        <w:t>p</w:t>
      </w:r>
      <w:r w:rsidR="00C440B8" w:rsidRPr="00421EB7">
        <w:rPr>
          <w:rFonts w:ascii="Times New Roman" w:hAnsi="Times New Roman" w:cs="Times New Roman"/>
          <w:noProof/>
          <w:lang w:val="es-ES"/>
        </w:rPr>
        <w:t>rensa</w:t>
      </w:r>
      <w:r w:rsidR="00C440B8" w:rsidRPr="009A217D">
        <w:rPr>
          <w:rFonts w:ascii="Times New Roman" w:hAnsi="Times New Roman" w:cs="Times New Roman"/>
          <w:noProof/>
          <w:lang w:val="es-ES"/>
        </w:rPr>
        <w:t xml:space="preserve"> </w:t>
      </w:r>
      <w:r w:rsidR="001E0E6E">
        <w:rPr>
          <w:rFonts w:ascii="Times New Roman" w:hAnsi="Times New Roman" w:cs="Times New Roman"/>
          <w:noProof/>
          <w:lang w:val="es-ES"/>
        </w:rPr>
        <w:t>n</w:t>
      </w:r>
      <w:r w:rsidR="00C440B8" w:rsidRPr="009A217D">
        <w:rPr>
          <w:rFonts w:ascii="Times New Roman" w:hAnsi="Times New Roman" w:cs="Times New Roman"/>
          <w:noProof/>
          <w:lang w:val="es-ES"/>
        </w:rPr>
        <w:t>úm</w:t>
      </w:r>
      <w:r w:rsidR="001E0E6E">
        <w:rPr>
          <w:rFonts w:ascii="Times New Roman" w:hAnsi="Times New Roman" w:cs="Times New Roman"/>
          <w:noProof/>
          <w:lang w:val="es-ES"/>
        </w:rPr>
        <w:t>.</w:t>
      </w:r>
      <w:r w:rsidR="00C440B8" w:rsidRPr="009A217D">
        <w:rPr>
          <w:rFonts w:ascii="Times New Roman" w:hAnsi="Times New Roman" w:cs="Times New Roman"/>
          <w:noProof/>
          <w:lang w:val="es-ES"/>
        </w:rPr>
        <w:t xml:space="preserve"> 393/20</w:t>
      </w:r>
      <w:r w:rsidR="001E0E6E">
        <w:rPr>
          <w:rFonts w:ascii="Times New Roman" w:hAnsi="Times New Roman" w:cs="Times New Roman"/>
          <w:noProof/>
          <w:lang w:val="es-ES"/>
        </w:rPr>
        <w:t>)</w:t>
      </w:r>
      <w:r w:rsidR="00C440B8" w:rsidRPr="009A217D">
        <w:rPr>
          <w:rFonts w:ascii="Times New Roman" w:hAnsi="Times New Roman" w:cs="Times New Roman"/>
          <w:noProof/>
          <w:lang w:val="es-ES"/>
        </w:rPr>
        <w:t>.</w:t>
      </w:r>
      <w:r w:rsidR="001E0E6E">
        <w:rPr>
          <w:rFonts w:ascii="Times New Roman" w:hAnsi="Times New Roman" w:cs="Times New Roman"/>
          <w:noProof/>
          <w:lang w:val="es-ES"/>
        </w:rPr>
        <w:t xml:space="preserve"> Recuperado de</w:t>
      </w:r>
      <w:r w:rsidR="00C440B8" w:rsidRPr="009A217D">
        <w:rPr>
          <w:rFonts w:ascii="Times New Roman" w:hAnsi="Times New Roman" w:cs="Times New Roman"/>
          <w:noProof/>
          <w:lang w:val="es-ES"/>
        </w:rPr>
        <w:t xml:space="preserve"> </w:t>
      </w:r>
      <w:r w:rsidRPr="003D62E4">
        <w:rPr>
          <w:rFonts w:ascii="Times New Roman" w:hAnsi="Times New Roman" w:cs="Times New Roman"/>
          <w:noProof/>
          <w:lang w:val="es-ES"/>
        </w:rPr>
        <w:t>https://www.inegi.org.mx/contenidos/saladeprensa/aproposito/2020/Juventud2020_Nal.pdf</w:t>
      </w:r>
      <w:r w:rsidR="001E0E6E">
        <w:rPr>
          <w:rFonts w:ascii="Times New Roman" w:hAnsi="Times New Roman" w:cs="Times New Roman"/>
          <w:noProof/>
          <w:lang w:val="es-ES"/>
        </w:rPr>
        <w:t>.</w:t>
      </w:r>
    </w:p>
    <w:p w14:paraId="18E316F2" w14:textId="77777777" w:rsidR="00296412" w:rsidRPr="009A217D" w:rsidRDefault="00296412" w:rsidP="00296412">
      <w:pPr>
        <w:pStyle w:val="Bibliografa"/>
        <w:spacing w:line="360" w:lineRule="auto"/>
        <w:ind w:left="720" w:hanging="709"/>
        <w:jc w:val="both"/>
        <w:rPr>
          <w:rFonts w:ascii="Times New Roman" w:hAnsi="Times New Roman" w:cs="Times New Roman"/>
          <w:lang w:val="es-MX"/>
        </w:rPr>
      </w:pPr>
      <w:r w:rsidRPr="00845622">
        <w:rPr>
          <w:rFonts w:ascii="Times New Roman" w:hAnsi="Times New Roman" w:cs="Times New Roman"/>
          <w:noProof/>
          <w:lang w:val="es-ES"/>
        </w:rPr>
        <w:t>Instituto Nacional de Estadística y Geografía</w:t>
      </w:r>
      <w:r w:rsidRPr="00845622" w:rsidDel="00845622">
        <w:rPr>
          <w:rFonts w:ascii="Times New Roman" w:hAnsi="Times New Roman" w:cs="Times New Roman"/>
          <w:noProof/>
          <w:lang w:val="es-ES"/>
        </w:rPr>
        <w:t xml:space="preserve"> </w:t>
      </w:r>
      <w:r>
        <w:rPr>
          <w:rFonts w:ascii="Times New Roman" w:hAnsi="Times New Roman" w:cs="Times New Roman"/>
          <w:noProof/>
          <w:lang w:val="es-ES"/>
        </w:rPr>
        <w:t xml:space="preserve">[Inegi]. </w:t>
      </w:r>
      <w:r w:rsidRPr="009A217D">
        <w:rPr>
          <w:rFonts w:ascii="Times New Roman" w:hAnsi="Times New Roman" w:cs="Times New Roman"/>
          <w:noProof/>
          <w:lang w:val="es-ES"/>
        </w:rPr>
        <w:t xml:space="preserve">(2021). </w:t>
      </w:r>
      <w:r w:rsidRPr="009A217D">
        <w:rPr>
          <w:rFonts w:ascii="Times New Roman" w:hAnsi="Times New Roman" w:cs="Times New Roman"/>
          <w:shd w:val="clear" w:color="auto" w:fill="FFFFFF"/>
        </w:rPr>
        <w:t xml:space="preserve">Encuesta para la Medición del Impacto COVID-19 en la Educación (ECOVID-ED) 2020. </w:t>
      </w:r>
      <w:r>
        <w:rPr>
          <w:rFonts w:ascii="Times New Roman" w:hAnsi="Times New Roman" w:cs="Times New Roman"/>
          <w:shd w:val="clear" w:color="auto" w:fill="FFFFFF"/>
        </w:rPr>
        <w:t xml:space="preserve">Recuperado de </w:t>
      </w:r>
      <w:r w:rsidRPr="00716897">
        <w:rPr>
          <w:rFonts w:ascii="Times New Roman" w:hAnsi="Times New Roman" w:cs="Times New Roman"/>
          <w:shd w:val="clear" w:color="auto" w:fill="FFFFFF"/>
          <w:lang w:val="es-MX"/>
        </w:rPr>
        <w:t>https://www.inegi.org.mx/investigacion/ecovided/2020/#Microdatos</w:t>
      </w:r>
      <w:r>
        <w:rPr>
          <w:rFonts w:ascii="Times New Roman" w:hAnsi="Times New Roman" w:cs="Times New Roman"/>
          <w:lang w:val="es-MX"/>
        </w:rPr>
        <w:t>.</w:t>
      </w:r>
    </w:p>
    <w:p w14:paraId="566F06F5" w14:textId="5FA3254B" w:rsidR="003471DB" w:rsidRPr="009A217D" w:rsidRDefault="00845622" w:rsidP="00FF6D96">
      <w:pPr>
        <w:pStyle w:val="Bibliografa"/>
        <w:spacing w:line="360" w:lineRule="auto"/>
        <w:ind w:left="720" w:hanging="709"/>
        <w:jc w:val="both"/>
        <w:rPr>
          <w:rFonts w:ascii="Times New Roman" w:hAnsi="Times New Roman" w:cs="Times New Roman"/>
          <w:noProof/>
          <w:lang w:val="es-ES"/>
        </w:rPr>
      </w:pPr>
      <w:r w:rsidRPr="00845622">
        <w:rPr>
          <w:rFonts w:ascii="Times New Roman" w:hAnsi="Times New Roman" w:cs="Times New Roman"/>
          <w:noProof/>
          <w:lang w:val="es-ES"/>
        </w:rPr>
        <w:t>Instituto Nacional de Estadística y Geografía</w:t>
      </w:r>
      <w:r w:rsidRPr="00845622" w:rsidDel="00845622">
        <w:rPr>
          <w:rFonts w:ascii="Times New Roman" w:hAnsi="Times New Roman" w:cs="Times New Roman"/>
          <w:noProof/>
          <w:lang w:val="es-ES"/>
        </w:rPr>
        <w:t xml:space="preserve"> </w:t>
      </w:r>
      <w:r>
        <w:rPr>
          <w:rFonts w:ascii="Times New Roman" w:hAnsi="Times New Roman" w:cs="Times New Roman"/>
          <w:noProof/>
          <w:lang w:val="es-ES"/>
        </w:rPr>
        <w:t xml:space="preserve">[Inegi]. </w:t>
      </w:r>
      <w:r w:rsidR="003471DB" w:rsidRPr="009A217D">
        <w:rPr>
          <w:rFonts w:ascii="Times New Roman" w:hAnsi="Times New Roman" w:cs="Times New Roman"/>
          <w:noProof/>
          <w:lang w:val="es-ES"/>
        </w:rPr>
        <w:t>(</w:t>
      </w:r>
      <w:r>
        <w:rPr>
          <w:rFonts w:ascii="Times New Roman" w:hAnsi="Times New Roman" w:cs="Times New Roman"/>
          <w:noProof/>
          <w:lang w:val="es-ES"/>
        </w:rPr>
        <w:t>23 de marzo de 2021</w:t>
      </w:r>
      <w:r w:rsidR="003471DB" w:rsidRPr="009A217D">
        <w:rPr>
          <w:rFonts w:ascii="Times New Roman" w:hAnsi="Times New Roman" w:cs="Times New Roman"/>
          <w:noProof/>
          <w:lang w:val="es-ES"/>
        </w:rPr>
        <w:t xml:space="preserve">). </w:t>
      </w:r>
      <w:r w:rsidR="008D6A95">
        <w:rPr>
          <w:rFonts w:ascii="Times New Roman" w:hAnsi="Times New Roman" w:cs="Times New Roman"/>
          <w:noProof/>
          <w:lang w:val="es-ES"/>
        </w:rPr>
        <w:t>Inegi presenta r</w:t>
      </w:r>
      <w:r w:rsidR="003471DB" w:rsidRPr="009A217D">
        <w:rPr>
          <w:rFonts w:ascii="Times New Roman" w:hAnsi="Times New Roman" w:cs="Times New Roman"/>
          <w:noProof/>
          <w:lang w:val="es-ES"/>
        </w:rPr>
        <w:t xml:space="preserve">esultados de la </w:t>
      </w:r>
      <w:r w:rsidR="008D6A95">
        <w:rPr>
          <w:rFonts w:ascii="Times New Roman" w:hAnsi="Times New Roman" w:cs="Times New Roman"/>
          <w:noProof/>
          <w:lang w:val="es-ES"/>
        </w:rPr>
        <w:t>E</w:t>
      </w:r>
      <w:r w:rsidR="003471DB" w:rsidRPr="009A217D">
        <w:rPr>
          <w:rFonts w:ascii="Times New Roman" w:hAnsi="Times New Roman" w:cs="Times New Roman"/>
          <w:noProof/>
          <w:lang w:val="es-ES"/>
        </w:rPr>
        <w:t xml:space="preserve">ncuesta para la </w:t>
      </w:r>
      <w:r w:rsidR="008D6A95">
        <w:rPr>
          <w:rFonts w:ascii="Times New Roman" w:hAnsi="Times New Roman" w:cs="Times New Roman"/>
          <w:noProof/>
          <w:lang w:val="es-ES"/>
        </w:rPr>
        <w:t>M</w:t>
      </w:r>
      <w:r w:rsidR="008D6A95" w:rsidRPr="009A217D">
        <w:rPr>
          <w:rFonts w:ascii="Times New Roman" w:hAnsi="Times New Roman" w:cs="Times New Roman"/>
          <w:noProof/>
          <w:lang w:val="es-ES"/>
        </w:rPr>
        <w:t xml:space="preserve">edición </w:t>
      </w:r>
      <w:r w:rsidR="008D6A95">
        <w:rPr>
          <w:rFonts w:ascii="Times New Roman" w:hAnsi="Times New Roman" w:cs="Times New Roman"/>
          <w:noProof/>
          <w:lang w:val="es-ES"/>
        </w:rPr>
        <w:t xml:space="preserve">del Impacto </w:t>
      </w:r>
      <w:r w:rsidR="008D6A95" w:rsidRPr="009A217D">
        <w:rPr>
          <w:rFonts w:ascii="Times New Roman" w:hAnsi="Times New Roman" w:cs="Times New Roman"/>
          <w:noProof/>
          <w:lang w:val="es-ES"/>
        </w:rPr>
        <w:t>COVID</w:t>
      </w:r>
      <w:r w:rsidR="003471DB" w:rsidRPr="009A217D">
        <w:rPr>
          <w:rFonts w:ascii="Times New Roman" w:hAnsi="Times New Roman" w:cs="Times New Roman"/>
          <w:noProof/>
          <w:lang w:val="es-ES"/>
        </w:rPr>
        <w:t xml:space="preserve">-19 en la Educación (ECOVID-ED) 2020. </w:t>
      </w:r>
      <w:r w:rsidR="001E0E6E">
        <w:rPr>
          <w:rFonts w:ascii="Times New Roman" w:hAnsi="Times New Roman" w:cs="Times New Roman"/>
          <w:noProof/>
          <w:lang w:val="es-ES"/>
        </w:rPr>
        <w:t>(</w:t>
      </w:r>
      <w:r w:rsidR="003471DB" w:rsidRPr="00421EB7">
        <w:rPr>
          <w:rFonts w:ascii="Times New Roman" w:hAnsi="Times New Roman" w:cs="Times New Roman"/>
          <w:noProof/>
          <w:lang w:val="es-ES"/>
        </w:rPr>
        <w:t>Comunicado de prensa</w:t>
      </w:r>
      <w:r w:rsidR="003471DB" w:rsidRPr="009A217D">
        <w:rPr>
          <w:rFonts w:ascii="Times New Roman" w:hAnsi="Times New Roman" w:cs="Times New Roman"/>
          <w:noProof/>
          <w:lang w:val="es-ES"/>
        </w:rPr>
        <w:t xml:space="preserve"> </w:t>
      </w:r>
      <w:r w:rsidR="006C5A7D">
        <w:rPr>
          <w:rFonts w:ascii="Times New Roman" w:hAnsi="Times New Roman" w:cs="Times New Roman"/>
          <w:noProof/>
          <w:lang w:val="es-ES"/>
        </w:rPr>
        <w:t xml:space="preserve">núm. </w:t>
      </w:r>
      <w:r w:rsidR="003471DB" w:rsidRPr="009A217D">
        <w:rPr>
          <w:rFonts w:ascii="Times New Roman" w:hAnsi="Times New Roman" w:cs="Times New Roman"/>
          <w:noProof/>
          <w:lang w:val="es-ES"/>
        </w:rPr>
        <w:t>185/21</w:t>
      </w:r>
      <w:r w:rsidR="001E0E6E">
        <w:rPr>
          <w:rFonts w:ascii="Times New Roman" w:hAnsi="Times New Roman" w:cs="Times New Roman"/>
          <w:noProof/>
          <w:lang w:val="es-ES"/>
        </w:rPr>
        <w:t>)</w:t>
      </w:r>
      <w:r w:rsidR="003471DB" w:rsidRPr="009A217D">
        <w:rPr>
          <w:rFonts w:ascii="Times New Roman" w:hAnsi="Times New Roman" w:cs="Times New Roman"/>
          <w:noProof/>
          <w:lang w:val="es-ES"/>
        </w:rPr>
        <w:t>.</w:t>
      </w:r>
      <w:r w:rsidR="006C5A7D">
        <w:rPr>
          <w:rFonts w:ascii="Times New Roman" w:hAnsi="Times New Roman" w:cs="Times New Roman"/>
          <w:noProof/>
          <w:lang w:val="es-ES"/>
        </w:rPr>
        <w:t xml:space="preserve"> Recuperado de</w:t>
      </w:r>
      <w:r w:rsidR="003471DB" w:rsidRPr="009A217D">
        <w:rPr>
          <w:rFonts w:ascii="Times New Roman" w:hAnsi="Times New Roman" w:cs="Times New Roman"/>
          <w:noProof/>
          <w:lang w:val="es-ES"/>
        </w:rPr>
        <w:t xml:space="preserve"> </w:t>
      </w:r>
      <w:r w:rsidR="003471DB" w:rsidRPr="00716897">
        <w:rPr>
          <w:rFonts w:ascii="Times New Roman" w:hAnsi="Times New Roman" w:cs="Times New Roman"/>
          <w:noProof/>
          <w:lang w:val="es-ES"/>
        </w:rPr>
        <w:t>https://www.inegi.org.mx/contenidos/saladeprensa/boletines/2021/OtrTemEcon/ECOVID-ED_2021_03.pdf</w:t>
      </w:r>
      <w:r w:rsidR="006C5A7D">
        <w:rPr>
          <w:rFonts w:ascii="Times New Roman" w:hAnsi="Times New Roman" w:cs="Times New Roman"/>
          <w:noProof/>
          <w:lang w:val="es-ES"/>
        </w:rPr>
        <w:t>.</w:t>
      </w:r>
    </w:p>
    <w:p w14:paraId="211BC0F6" w14:textId="02E45412" w:rsidR="00950BEF" w:rsidRPr="00421EB7" w:rsidRDefault="00950BEF" w:rsidP="00FF6D96">
      <w:pPr>
        <w:spacing w:line="360" w:lineRule="auto"/>
        <w:ind w:left="709" w:hanging="709"/>
        <w:jc w:val="both"/>
        <w:rPr>
          <w:rFonts w:ascii="Times New Roman" w:hAnsi="Times New Roman" w:cs="Times New Roman"/>
          <w:sz w:val="16"/>
          <w:szCs w:val="16"/>
          <w:lang w:val="pt-BR"/>
        </w:rPr>
      </w:pPr>
      <w:r w:rsidRPr="009A217D">
        <w:rPr>
          <w:rFonts w:ascii="Times New Roman" w:hAnsi="Times New Roman" w:cs="Times New Roman"/>
          <w:lang w:val="es-MX"/>
        </w:rPr>
        <w:t>Jerónimo</w:t>
      </w:r>
      <w:r w:rsidR="000F036D" w:rsidRPr="009A217D">
        <w:rPr>
          <w:rFonts w:ascii="Times New Roman" w:hAnsi="Times New Roman" w:cs="Times New Roman"/>
          <w:lang w:val="es-MX"/>
        </w:rPr>
        <w:t>, L. C.</w:t>
      </w:r>
      <w:r w:rsidRPr="009A217D">
        <w:rPr>
          <w:rFonts w:ascii="Times New Roman" w:hAnsi="Times New Roman" w:cs="Times New Roman"/>
          <w:lang w:val="es-MX"/>
        </w:rPr>
        <w:t xml:space="preserve"> y Yaniz, </w:t>
      </w:r>
      <w:r w:rsidR="000F036D" w:rsidRPr="009A217D">
        <w:rPr>
          <w:rFonts w:ascii="Times New Roman" w:hAnsi="Times New Roman" w:cs="Times New Roman"/>
          <w:lang w:val="es-MX"/>
        </w:rPr>
        <w:t xml:space="preserve">C. (2019). </w:t>
      </w:r>
      <w:r w:rsidR="000F036D" w:rsidRPr="009A217D">
        <w:rPr>
          <w:rFonts w:ascii="Times New Roman" w:hAnsi="Times New Roman" w:cs="Times New Roman"/>
          <w:shd w:val="clear" w:color="auto" w:fill="FFFFFF"/>
        </w:rPr>
        <w:t xml:space="preserve">Uso y </w:t>
      </w:r>
      <w:r w:rsidR="00B4264C" w:rsidRPr="009A217D">
        <w:rPr>
          <w:rFonts w:ascii="Times New Roman" w:hAnsi="Times New Roman" w:cs="Times New Roman"/>
          <w:shd w:val="clear" w:color="auto" w:fill="FFFFFF"/>
        </w:rPr>
        <w:t>desarrollo de estrategias de enseñanza en programas de educación: prácticas de estudiantes de grado y posgrado e</w:t>
      </w:r>
      <w:r w:rsidR="000F036D" w:rsidRPr="009A217D">
        <w:rPr>
          <w:rFonts w:ascii="Times New Roman" w:hAnsi="Times New Roman" w:cs="Times New Roman"/>
          <w:shd w:val="clear" w:color="auto" w:fill="FFFFFF"/>
        </w:rPr>
        <w:t>n Colombia.</w:t>
      </w:r>
      <w:r w:rsidR="00296412">
        <w:rPr>
          <w:rFonts w:ascii="Times New Roman" w:hAnsi="Times New Roman" w:cs="Times New Roman"/>
          <w:shd w:val="clear" w:color="auto" w:fill="FFFFFF"/>
        </w:rPr>
        <w:t xml:space="preserve"> </w:t>
      </w:r>
      <w:r w:rsidR="000F036D" w:rsidRPr="009A217D">
        <w:rPr>
          <w:rStyle w:val="journal"/>
          <w:rFonts w:ascii="Times New Roman" w:hAnsi="Times New Roman" w:cs="Times New Roman"/>
          <w:i/>
          <w:iCs/>
          <w:shd w:val="clear" w:color="auto" w:fill="FFFFFF"/>
        </w:rPr>
        <w:t>Revista Latinoamericana de Estudios Educativos</w:t>
      </w:r>
      <w:r w:rsidR="000F036D" w:rsidRPr="009A217D">
        <w:rPr>
          <w:rStyle w:val="volume"/>
          <w:rFonts w:ascii="Times New Roman" w:hAnsi="Times New Roman" w:cs="Times New Roman"/>
          <w:shd w:val="clear" w:color="auto" w:fill="FFFFFF"/>
        </w:rPr>
        <w:t xml:space="preserve">, </w:t>
      </w:r>
      <w:r w:rsidR="000F036D" w:rsidRPr="00421EB7">
        <w:rPr>
          <w:rStyle w:val="volume"/>
          <w:rFonts w:ascii="Times New Roman" w:hAnsi="Times New Roman" w:cs="Times New Roman"/>
          <w:i/>
          <w:iCs/>
          <w:shd w:val="clear" w:color="auto" w:fill="FFFFFF"/>
        </w:rPr>
        <w:t>15</w:t>
      </w:r>
      <w:r w:rsidR="000F036D" w:rsidRPr="009A217D">
        <w:rPr>
          <w:rStyle w:val="volume"/>
          <w:rFonts w:ascii="Times New Roman" w:hAnsi="Times New Roman" w:cs="Times New Roman"/>
          <w:shd w:val="clear" w:color="auto" w:fill="FFFFFF"/>
        </w:rPr>
        <w:t>(</w:t>
      </w:r>
      <w:r w:rsidR="000F036D" w:rsidRPr="009A217D">
        <w:rPr>
          <w:rStyle w:val="issue"/>
          <w:rFonts w:ascii="Times New Roman" w:hAnsi="Times New Roman" w:cs="Times New Roman"/>
          <w:shd w:val="clear" w:color="auto" w:fill="FFFFFF"/>
        </w:rPr>
        <w:t>2)</w:t>
      </w:r>
      <w:r w:rsidR="000F036D" w:rsidRPr="009A217D">
        <w:rPr>
          <w:rFonts w:ascii="Times New Roman" w:hAnsi="Times New Roman" w:cs="Times New Roman"/>
          <w:shd w:val="clear" w:color="auto" w:fill="FFFFFF"/>
        </w:rPr>
        <w:t xml:space="preserve">, 158-179. </w:t>
      </w:r>
      <w:r w:rsidR="001C4C95" w:rsidRPr="00421EB7">
        <w:rPr>
          <w:rFonts w:ascii="Times New Roman" w:hAnsi="Times New Roman" w:cs="Times New Roman"/>
          <w:shd w:val="clear" w:color="auto" w:fill="FFFFFF"/>
          <w:lang w:val="pt-BR"/>
        </w:rPr>
        <w:t xml:space="preserve">Recuperado de </w:t>
      </w:r>
      <w:r w:rsidR="00E46978" w:rsidRPr="00421EB7">
        <w:rPr>
          <w:rFonts w:ascii="Times New Roman" w:hAnsi="Times New Roman" w:cs="Times New Roman"/>
          <w:shd w:val="clear" w:color="auto" w:fill="FFFFFF"/>
          <w:lang w:val="pt-BR"/>
        </w:rPr>
        <w:t>https://revistasojs.ucaldas.edu.co/index.php/latinoamericana/article/view/251</w:t>
      </w:r>
      <w:r w:rsidR="001C4C95" w:rsidRPr="00421EB7">
        <w:rPr>
          <w:lang w:val="pt-BR"/>
        </w:rPr>
        <w:t>.</w:t>
      </w:r>
    </w:p>
    <w:p w14:paraId="28BD5866" w14:textId="7057FED2" w:rsidR="003471DB" w:rsidRPr="009A217D" w:rsidRDefault="003471DB" w:rsidP="00FF6D96">
      <w:pPr>
        <w:spacing w:line="360" w:lineRule="auto"/>
        <w:ind w:left="709" w:hanging="709"/>
        <w:jc w:val="both"/>
        <w:rPr>
          <w:rFonts w:ascii="Times New Roman" w:hAnsi="Times New Roman" w:cs="Times New Roman"/>
        </w:rPr>
      </w:pPr>
      <w:r w:rsidRPr="00421EB7">
        <w:rPr>
          <w:rFonts w:ascii="Times New Roman" w:hAnsi="Times New Roman" w:cs="Times New Roman"/>
          <w:lang w:val="pt-BR"/>
        </w:rPr>
        <w:t xml:space="preserve">Jordan, K., David, R., Phillips, T. </w:t>
      </w:r>
      <w:r w:rsidR="00325C08">
        <w:rPr>
          <w:rFonts w:ascii="Times New Roman" w:hAnsi="Times New Roman" w:cs="Times New Roman"/>
          <w:lang w:val="en-US"/>
        </w:rPr>
        <w:t>and</w:t>
      </w:r>
      <w:r w:rsidRPr="009A217D">
        <w:rPr>
          <w:rFonts w:ascii="Times New Roman" w:hAnsi="Times New Roman" w:cs="Times New Roman"/>
          <w:lang w:val="en-US"/>
        </w:rPr>
        <w:t xml:space="preserve"> Pellini, A. (2021). Education during the COVID-19 </w:t>
      </w:r>
      <w:r w:rsidR="00612AC4">
        <w:rPr>
          <w:rFonts w:ascii="Times New Roman" w:hAnsi="Times New Roman" w:cs="Times New Roman"/>
          <w:lang w:val="en-US"/>
        </w:rPr>
        <w:t>c</w:t>
      </w:r>
      <w:r w:rsidR="00612AC4" w:rsidRPr="009A217D">
        <w:rPr>
          <w:rFonts w:ascii="Times New Roman" w:hAnsi="Times New Roman" w:cs="Times New Roman"/>
          <w:lang w:val="en-US"/>
        </w:rPr>
        <w:t>risis</w:t>
      </w:r>
      <w:r w:rsidR="00191244">
        <w:rPr>
          <w:rFonts w:ascii="Times New Roman" w:hAnsi="Times New Roman" w:cs="Times New Roman"/>
          <w:lang w:val="en-US"/>
        </w:rPr>
        <w:t>:</w:t>
      </w:r>
      <w:r w:rsidR="00612AC4" w:rsidRPr="009A217D">
        <w:rPr>
          <w:rFonts w:ascii="Times New Roman" w:hAnsi="Times New Roman" w:cs="Times New Roman"/>
          <w:lang w:val="en-US"/>
        </w:rPr>
        <w:t xml:space="preserve"> </w:t>
      </w:r>
      <w:r w:rsidR="00191244">
        <w:rPr>
          <w:rFonts w:ascii="Times New Roman" w:hAnsi="Times New Roman" w:cs="Times New Roman"/>
          <w:lang w:val="en-US"/>
        </w:rPr>
        <w:t>O</w:t>
      </w:r>
      <w:r w:rsidR="00612AC4" w:rsidRPr="009A217D">
        <w:rPr>
          <w:rFonts w:ascii="Times New Roman" w:hAnsi="Times New Roman" w:cs="Times New Roman"/>
          <w:lang w:val="en-US"/>
        </w:rPr>
        <w:t xml:space="preserve">pportunities </w:t>
      </w:r>
      <w:r w:rsidRPr="009A217D">
        <w:rPr>
          <w:rFonts w:ascii="Times New Roman" w:hAnsi="Times New Roman" w:cs="Times New Roman"/>
          <w:lang w:val="en-US"/>
        </w:rPr>
        <w:t xml:space="preserve">and constraints of using EdTech in low-income countries. </w:t>
      </w:r>
      <w:r w:rsidR="006F587B" w:rsidRPr="00421EB7">
        <w:rPr>
          <w:rFonts w:ascii="Times New Roman" w:hAnsi="Times New Roman" w:cs="Times New Roman"/>
          <w:i/>
          <w:iCs/>
          <w:lang w:val="es-MX"/>
        </w:rPr>
        <w:t>RED:</w:t>
      </w:r>
      <w:r w:rsidR="006F587B" w:rsidRPr="00421EB7">
        <w:rPr>
          <w:rFonts w:ascii="Times New Roman" w:hAnsi="Times New Roman" w:cs="Times New Roman"/>
          <w:lang w:val="es-MX"/>
        </w:rPr>
        <w:t xml:space="preserve"> </w:t>
      </w:r>
      <w:r w:rsidRPr="009A217D">
        <w:rPr>
          <w:rFonts w:ascii="Times New Roman" w:hAnsi="Times New Roman" w:cs="Times New Roman"/>
          <w:i/>
          <w:iCs/>
        </w:rPr>
        <w:t>Revista de Educación a Distancia</w:t>
      </w:r>
      <w:r w:rsidR="006F587B">
        <w:rPr>
          <w:rFonts w:ascii="Times New Roman" w:hAnsi="Times New Roman" w:cs="Times New Roman"/>
        </w:rPr>
        <w:t xml:space="preserve">, </w:t>
      </w:r>
      <w:r w:rsidRPr="00421EB7">
        <w:rPr>
          <w:rFonts w:ascii="Times New Roman" w:hAnsi="Times New Roman" w:cs="Times New Roman"/>
          <w:i/>
          <w:iCs/>
        </w:rPr>
        <w:t>21</w:t>
      </w:r>
      <w:r w:rsidRPr="009A217D">
        <w:rPr>
          <w:rFonts w:ascii="Times New Roman" w:hAnsi="Times New Roman" w:cs="Times New Roman"/>
        </w:rPr>
        <w:t xml:space="preserve">(65). </w:t>
      </w:r>
      <w:r w:rsidR="00E46978">
        <w:rPr>
          <w:rFonts w:ascii="Times New Roman" w:hAnsi="Times New Roman" w:cs="Times New Roman"/>
        </w:rPr>
        <w:t>Retrieved from</w:t>
      </w:r>
      <w:r w:rsidR="006F587B">
        <w:rPr>
          <w:rFonts w:ascii="Times New Roman" w:hAnsi="Times New Roman" w:cs="Times New Roman"/>
        </w:rPr>
        <w:t xml:space="preserve"> </w:t>
      </w:r>
      <w:r w:rsidRPr="00716897">
        <w:rPr>
          <w:rFonts w:ascii="Times New Roman" w:hAnsi="Times New Roman" w:cs="Times New Roman"/>
        </w:rPr>
        <w:t>https://dialnet.unirioja.es/servlet/articulo?codigo=7710800</w:t>
      </w:r>
      <w:r w:rsidR="006F587B">
        <w:rPr>
          <w:rFonts w:ascii="Times New Roman" w:hAnsi="Times New Roman" w:cs="Times New Roman"/>
        </w:rPr>
        <w:t>.</w:t>
      </w:r>
    </w:p>
    <w:p w14:paraId="02F4FF53" w14:textId="405DA8D6" w:rsidR="003471DB" w:rsidRPr="009A217D" w:rsidRDefault="003471DB"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lastRenderedPageBreak/>
        <w:t xml:space="preserve">Lizcano, A. J. (1999). Importancia de la investigación y el debate en clave multidisciplinar. </w:t>
      </w:r>
      <w:r w:rsidRPr="009A217D">
        <w:rPr>
          <w:rFonts w:ascii="Times New Roman" w:hAnsi="Times New Roman" w:cs="Times New Roman"/>
          <w:i/>
          <w:iCs/>
          <w:noProof/>
          <w:lang w:val="es-ES"/>
        </w:rPr>
        <w:t xml:space="preserve">Encuentros </w:t>
      </w:r>
      <w:r w:rsidR="00BA0C14">
        <w:rPr>
          <w:rFonts w:ascii="Times New Roman" w:hAnsi="Times New Roman" w:cs="Times New Roman"/>
          <w:i/>
          <w:iCs/>
          <w:noProof/>
          <w:lang w:val="es-ES"/>
        </w:rPr>
        <w:t>M</w:t>
      </w:r>
      <w:r w:rsidR="00BA0C14" w:rsidRPr="009A217D">
        <w:rPr>
          <w:rFonts w:ascii="Times New Roman" w:hAnsi="Times New Roman" w:cs="Times New Roman"/>
          <w:i/>
          <w:iCs/>
          <w:noProof/>
          <w:lang w:val="es-ES"/>
        </w:rPr>
        <w:t>ultidisciplinares</w:t>
      </w:r>
      <w:r w:rsidRPr="009A217D">
        <w:rPr>
          <w:rFonts w:ascii="Times New Roman" w:hAnsi="Times New Roman" w:cs="Times New Roman"/>
          <w:i/>
          <w:iCs/>
          <w:noProof/>
          <w:lang w:val="es-ES"/>
        </w:rPr>
        <w:t>, 1</w:t>
      </w:r>
      <w:r w:rsidRPr="009A217D">
        <w:rPr>
          <w:rFonts w:ascii="Times New Roman" w:hAnsi="Times New Roman" w:cs="Times New Roman"/>
          <w:noProof/>
          <w:lang w:val="es-ES"/>
        </w:rPr>
        <w:t xml:space="preserve">(2), 1-3. </w:t>
      </w:r>
      <w:r w:rsidR="00BA0C14">
        <w:rPr>
          <w:rFonts w:ascii="Times New Roman" w:hAnsi="Times New Roman" w:cs="Times New Roman"/>
          <w:noProof/>
          <w:lang w:val="es-ES"/>
        </w:rPr>
        <w:t xml:space="preserve">Recuperado de </w:t>
      </w:r>
      <w:r w:rsidRPr="00716897">
        <w:rPr>
          <w:rFonts w:ascii="Times New Roman" w:hAnsi="Times New Roman" w:cs="Times New Roman"/>
          <w:noProof/>
          <w:lang w:val="es-ES"/>
        </w:rPr>
        <w:t>http://www.encuentros-multidisciplinares.org/Revistan%BA2/Jes%FAs%20Lizcano.pdf</w:t>
      </w:r>
      <w:r w:rsidR="00BA0C14">
        <w:rPr>
          <w:rFonts w:ascii="Times New Roman" w:hAnsi="Times New Roman" w:cs="Times New Roman"/>
          <w:noProof/>
          <w:lang w:val="es-ES"/>
        </w:rPr>
        <w:t>.</w:t>
      </w:r>
    </w:p>
    <w:p w14:paraId="09D30299" w14:textId="251C878A" w:rsidR="002D701F" w:rsidRPr="009A217D" w:rsidRDefault="002D701F" w:rsidP="00FF6D96">
      <w:pPr>
        <w:spacing w:line="360" w:lineRule="auto"/>
        <w:ind w:left="709" w:hanging="709"/>
        <w:jc w:val="both"/>
        <w:rPr>
          <w:rFonts w:ascii="Times New Roman" w:eastAsia="Times New Roman" w:hAnsi="Times New Roman" w:cs="Times New Roman"/>
          <w:lang w:val="es-MX" w:eastAsia="es-MX"/>
        </w:rPr>
      </w:pPr>
      <w:r w:rsidRPr="009A217D">
        <w:rPr>
          <w:rFonts w:ascii="Times New Roman" w:hAnsi="Times New Roman" w:cs="Times New Roman"/>
          <w:noProof/>
          <w:lang w:val="es-ES"/>
        </w:rPr>
        <w:t xml:space="preserve">Lupión, T., Franco, A. J. y Girón, J. R. (2019). </w:t>
      </w:r>
      <w:r w:rsidRPr="009A217D">
        <w:rPr>
          <w:rFonts w:ascii="Times New Roman" w:hAnsi="Times New Roman" w:cs="Times New Roman"/>
        </w:rPr>
        <w:t xml:space="preserve">Predictores de vocación en </w:t>
      </w:r>
      <w:r w:rsidR="00381F52">
        <w:rPr>
          <w:rFonts w:ascii="Times New Roman" w:hAnsi="Times New Roman" w:cs="Times New Roman"/>
        </w:rPr>
        <w:t>c</w:t>
      </w:r>
      <w:r w:rsidRPr="009A217D">
        <w:rPr>
          <w:rFonts w:ascii="Times New Roman" w:hAnsi="Times New Roman" w:cs="Times New Roman"/>
        </w:rPr>
        <w:t xml:space="preserve">iencia y </w:t>
      </w:r>
      <w:r w:rsidR="00381F52">
        <w:rPr>
          <w:rFonts w:ascii="Times New Roman" w:hAnsi="Times New Roman" w:cs="Times New Roman"/>
        </w:rPr>
        <w:t>t</w:t>
      </w:r>
      <w:r w:rsidRPr="009A217D">
        <w:rPr>
          <w:rFonts w:ascii="Times New Roman" w:hAnsi="Times New Roman" w:cs="Times New Roman"/>
        </w:rPr>
        <w:t xml:space="preserve">ecnología en jóvenes: Estudio de casos sobre percepciones de alumnado de secundaria y la influencia de participar en experiencias educativas innovadoras. </w:t>
      </w:r>
      <w:r w:rsidR="00DF46BD" w:rsidRPr="009A217D">
        <w:rPr>
          <w:rFonts w:ascii="Times New Roman" w:hAnsi="Times New Roman" w:cs="Times New Roman"/>
          <w:i/>
          <w:iCs/>
          <w:shd w:val="clear" w:color="auto" w:fill="FFFFFF"/>
        </w:rPr>
        <w:t>Revista Eureka sobre Enseñanza y Divulgación de las Ciencias</w:t>
      </w:r>
      <w:r w:rsidR="007843E2">
        <w:rPr>
          <w:rFonts w:ascii="Times New Roman" w:hAnsi="Times New Roman" w:cs="Times New Roman"/>
          <w:shd w:val="clear" w:color="auto" w:fill="FFFFFF"/>
        </w:rPr>
        <w:t>,</w:t>
      </w:r>
      <w:r w:rsidR="00DF46BD" w:rsidRPr="009A217D">
        <w:rPr>
          <w:rFonts w:ascii="Times New Roman" w:hAnsi="Times New Roman" w:cs="Times New Roman"/>
          <w:shd w:val="clear" w:color="auto" w:fill="FFFFFF"/>
        </w:rPr>
        <w:t xml:space="preserve"> </w:t>
      </w:r>
      <w:r w:rsidRPr="00421EB7">
        <w:rPr>
          <w:rFonts w:ascii="Times New Roman" w:hAnsi="Times New Roman" w:cs="Times New Roman"/>
          <w:i/>
          <w:iCs/>
        </w:rPr>
        <w:t>16</w:t>
      </w:r>
      <w:r w:rsidRPr="009A217D">
        <w:rPr>
          <w:rFonts w:ascii="Times New Roman" w:hAnsi="Times New Roman" w:cs="Times New Roman"/>
        </w:rPr>
        <w:t xml:space="preserve">(3), </w:t>
      </w:r>
      <w:r w:rsidR="00A852F5" w:rsidRPr="00A852F5">
        <w:rPr>
          <w:rFonts w:ascii="Times New Roman" w:hAnsi="Times New Roman" w:cs="Times New Roman"/>
        </w:rPr>
        <w:t>310201-310221</w:t>
      </w:r>
      <w:r w:rsidR="00DF46BD" w:rsidRPr="009A217D">
        <w:rPr>
          <w:rFonts w:ascii="Times New Roman" w:hAnsi="Times New Roman" w:cs="Times New Roman"/>
        </w:rPr>
        <w:t xml:space="preserve">. </w:t>
      </w:r>
      <w:r w:rsidR="007843E2">
        <w:rPr>
          <w:rFonts w:ascii="Times New Roman" w:hAnsi="Times New Roman" w:cs="Times New Roman"/>
        </w:rPr>
        <w:t xml:space="preserve">Recuperado de </w:t>
      </w:r>
      <w:r w:rsidR="00DF46BD" w:rsidRPr="00716897">
        <w:rPr>
          <w:rFonts w:ascii="Times New Roman" w:hAnsi="Times New Roman" w:cs="Times New Roman"/>
          <w:shd w:val="clear" w:color="auto" w:fill="FFFFFF"/>
        </w:rPr>
        <w:t>http://dx.doi.org/10.25267/Rev_Eureka_ensen_divulg_cienc.2019.v16.i3.3102</w:t>
      </w:r>
      <w:r w:rsidR="007843E2">
        <w:rPr>
          <w:rFonts w:ascii="Times New Roman" w:hAnsi="Times New Roman" w:cs="Times New Roman"/>
          <w:shd w:val="clear" w:color="auto" w:fill="FFFFFF"/>
        </w:rPr>
        <w:t>.</w:t>
      </w:r>
    </w:p>
    <w:p w14:paraId="060E3319" w14:textId="296FA41A" w:rsidR="00A25B2E" w:rsidRPr="009A217D" w:rsidRDefault="00A25B2E" w:rsidP="00FF6D96">
      <w:pPr>
        <w:shd w:val="clear" w:color="auto" w:fill="FFFFFF"/>
        <w:spacing w:line="360" w:lineRule="auto"/>
        <w:ind w:left="709" w:hanging="709"/>
        <w:jc w:val="both"/>
        <w:rPr>
          <w:rFonts w:ascii="Times New Roman" w:hAnsi="Times New Roman" w:cs="Times New Roman"/>
          <w:shd w:val="clear" w:color="auto" w:fill="FFFFFF"/>
        </w:rPr>
      </w:pPr>
      <w:r w:rsidRPr="009A217D">
        <w:rPr>
          <w:rFonts w:ascii="Times New Roman" w:hAnsi="Times New Roman" w:cs="Times New Roman"/>
          <w:shd w:val="clear" w:color="auto" w:fill="FFFFFF"/>
        </w:rPr>
        <w:t>Martín, D. y Parejo, M. (2016). Nuevas fórmulas de comunicación corporativas basadas en la colaboración interuniversitaria: proyecto Semillas de Ciencia</w:t>
      </w:r>
      <w:r w:rsidR="000740AD">
        <w:rPr>
          <w:rFonts w:ascii="Times New Roman" w:hAnsi="Times New Roman" w:cs="Times New Roman"/>
          <w:shd w:val="clear" w:color="auto" w:fill="FFFFFF"/>
        </w:rPr>
        <w:t>.</w:t>
      </w:r>
      <w:r w:rsidRPr="009A217D">
        <w:rPr>
          <w:rFonts w:ascii="Times New Roman" w:hAnsi="Times New Roman" w:cs="Times New Roman"/>
          <w:shd w:val="clear" w:color="auto" w:fill="FFFFFF"/>
        </w:rPr>
        <w:t xml:space="preserve"> </w:t>
      </w:r>
      <w:r w:rsidRPr="00421EB7">
        <w:rPr>
          <w:rFonts w:ascii="Times New Roman" w:hAnsi="Times New Roman" w:cs="Times New Roman"/>
          <w:i/>
          <w:iCs/>
          <w:shd w:val="clear" w:color="auto" w:fill="FFFFFF"/>
        </w:rPr>
        <w:t>Documentación de las Ciencias de la Información</w:t>
      </w:r>
      <w:r w:rsidRPr="009A217D">
        <w:rPr>
          <w:rFonts w:ascii="Times New Roman" w:hAnsi="Times New Roman" w:cs="Times New Roman"/>
          <w:shd w:val="clear" w:color="auto" w:fill="FFFFFF"/>
        </w:rPr>
        <w:t xml:space="preserve">, </w:t>
      </w:r>
      <w:r w:rsidRPr="00421EB7">
        <w:rPr>
          <w:rFonts w:ascii="Times New Roman" w:hAnsi="Times New Roman" w:cs="Times New Roman"/>
          <w:i/>
          <w:iCs/>
          <w:shd w:val="clear" w:color="auto" w:fill="FFFFFF"/>
        </w:rPr>
        <w:t>39</w:t>
      </w:r>
      <w:r w:rsidRPr="009A217D">
        <w:rPr>
          <w:rFonts w:ascii="Times New Roman" w:hAnsi="Times New Roman" w:cs="Times New Roman"/>
          <w:shd w:val="clear" w:color="auto" w:fill="FFFFFF"/>
        </w:rPr>
        <w:t>, 151-163.</w:t>
      </w:r>
      <w:r w:rsidR="00EC2F8F" w:rsidRPr="009A217D">
        <w:rPr>
          <w:rFonts w:ascii="Times New Roman" w:hAnsi="Times New Roman" w:cs="Times New Roman"/>
          <w:shd w:val="clear" w:color="auto" w:fill="FFFFFF"/>
        </w:rPr>
        <w:t xml:space="preserve"> </w:t>
      </w:r>
      <w:r w:rsidR="000740AD">
        <w:rPr>
          <w:rFonts w:ascii="Times New Roman" w:hAnsi="Times New Roman" w:cs="Times New Roman"/>
          <w:shd w:val="clear" w:color="auto" w:fill="FFFFFF"/>
        </w:rPr>
        <w:t xml:space="preserve">Recuperado de </w:t>
      </w:r>
      <w:r w:rsidR="000740AD" w:rsidRPr="003D62E4">
        <w:rPr>
          <w:rFonts w:ascii="Times New Roman" w:hAnsi="Times New Roman" w:cs="Times New Roman"/>
          <w:shd w:val="clear" w:color="auto" w:fill="FFFFFF"/>
        </w:rPr>
        <w:t>https://doi.org/10.5209/DCIN.54414</w:t>
      </w:r>
      <w:r w:rsidR="000740AD">
        <w:rPr>
          <w:rFonts w:ascii="Times New Roman" w:hAnsi="Times New Roman" w:cs="Times New Roman"/>
          <w:shd w:val="clear" w:color="auto" w:fill="FFFFFF"/>
        </w:rPr>
        <w:t>.</w:t>
      </w:r>
    </w:p>
    <w:p w14:paraId="716D8396" w14:textId="159FFA34" w:rsidR="00960DFB" w:rsidRPr="009A217D" w:rsidRDefault="00960DFB" w:rsidP="00FF6D96">
      <w:pPr>
        <w:shd w:val="clear" w:color="auto" w:fill="FFFFFF"/>
        <w:spacing w:line="360" w:lineRule="auto"/>
        <w:ind w:left="709" w:hanging="709"/>
        <w:jc w:val="both"/>
        <w:rPr>
          <w:rFonts w:ascii="Times New Roman" w:hAnsi="Times New Roman" w:cs="Times New Roman"/>
          <w:lang w:val="es-MX"/>
        </w:rPr>
      </w:pPr>
      <w:r w:rsidRPr="009A217D">
        <w:rPr>
          <w:rFonts w:ascii="Times New Roman" w:hAnsi="Times New Roman" w:cs="Times New Roman"/>
        </w:rPr>
        <w:t xml:space="preserve">Martín, D., Parejo, M. y Vivas, C. (2018). Radio educativa para fomentar las vocaciones científicas: el proyecto Ratones de Laboratorio. </w:t>
      </w:r>
      <w:r w:rsidR="00274F24">
        <w:rPr>
          <w:rFonts w:ascii="Times New Roman" w:hAnsi="Times New Roman" w:cs="Times New Roman"/>
          <w:i/>
          <w:iCs/>
        </w:rPr>
        <w:t>I</w:t>
      </w:r>
      <w:r w:rsidR="00274F24" w:rsidRPr="009A217D">
        <w:rPr>
          <w:rFonts w:ascii="Times New Roman" w:hAnsi="Times New Roman" w:cs="Times New Roman"/>
          <w:i/>
          <w:iCs/>
        </w:rPr>
        <w:t>ndex</w:t>
      </w:r>
      <w:r w:rsidRPr="009A217D">
        <w:rPr>
          <w:rFonts w:ascii="Times New Roman" w:hAnsi="Times New Roman" w:cs="Times New Roman"/>
          <w:i/>
          <w:iCs/>
        </w:rPr>
        <w:t>.</w:t>
      </w:r>
      <w:r w:rsidR="00274F24">
        <w:rPr>
          <w:rFonts w:ascii="Times New Roman" w:hAnsi="Times New Roman" w:cs="Times New Roman"/>
          <w:i/>
          <w:iCs/>
        </w:rPr>
        <w:t>C</w:t>
      </w:r>
      <w:r w:rsidR="00274F24" w:rsidRPr="009A217D">
        <w:rPr>
          <w:rFonts w:ascii="Times New Roman" w:hAnsi="Times New Roman" w:cs="Times New Roman"/>
          <w:i/>
          <w:iCs/>
        </w:rPr>
        <w:t>omunicación</w:t>
      </w:r>
      <w:r w:rsidRPr="009A217D">
        <w:rPr>
          <w:rFonts w:ascii="Times New Roman" w:hAnsi="Times New Roman" w:cs="Times New Roman"/>
        </w:rPr>
        <w:t xml:space="preserve">, </w:t>
      </w:r>
      <w:r w:rsidRPr="00421EB7">
        <w:rPr>
          <w:rFonts w:ascii="Times New Roman" w:hAnsi="Times New Roman" w:cs="Times New Roman"/>
          <w:i/>
          <w:iCs/>
        </w:rPr>
        <w:t>8</w:t>
      </w:r>
      <w:r w:rsidRPr="009A217D">
        <w:rPr>
          <w:rFonts w:ascii="Times New Roman" w:hAnsi="Times New Roman" w:cs="Times New Roman"/>
        </w:rPr>
        <w:t xml:space="preserve">(2), 229-254. </w:t>
      </w:r>
      <w:r w:rsidR="00274F24">
        <w:rPr>
          <w:rFonts w:ascii="Times New Roman" w:hAnsi="Times New Roman" w:cs="Times New Roman"/>
        </w:rPr>
        <w:t xml:space="preserve">Recuperado de </w:t>
      </w:r>
      <w:r w:rsidR="0091592B" w:rsidRPr="009A217D">
        <w:rPr>
          <w:rFonts w:ascii="Times New Roman" w:hAnsi="Times New Roman" w:cs="Times New Roman"/>
        </w:rPr>
        <w:t>https://journals.sfu.ca/indexcomunicacion/index.php/indexcomunicacion/article/view/393</w:t>
      </w:r>
      <w:r w:rsidR="00274F24">
        <w:rPr>
          <w:rFonts w:ascii="Times New Roman" w:hAnsi="Times New Roman" w:cs="Times New Roman"/>
        </w:rPr>
        <w:t>.</w:t>
      </w:r>
    </w:p>
    <w:p w14:paraId="3CFC2D49" w14:textId="3DF65AA2" w:rsidR="00A842E8" w:rsidRPr="009A217D" w:rsidRDefault="00A842E8" w:rsidP="00FF6D96">
      <w:pPr>
        <w:shd w:val="clear" w:color="auto" w:fill="FFFFFF"/>
        <w:spacing w:line="360" w:lineRule="auto"/>
        <w:ind w:left="709" w:hanging="709"/>
        <w:jc w:val="both"/>
        <w:rPr>
          <w:rFonts w:ascii="Times New Roman" w:hAnsi="Times New Roman" w:cs="Times New Roman"/>
          <w:lang w:val="es-MX"/>
        </w:rPr>
      </w:pPr>
      <w:r w:rsidRPr="00421EB7">
        <w:rPr>
          <w:rFonts w:ascii="Times New Roman" w:hAnsi="Times New Roman" w:cs="Times New Roman"/>
          <w:lang w:val="es-MX"/>
        </w:rPr>
        <w:t xml:space="preserve">Martín, M. E. </w:t>
      </w:r>
      <w:r w:rsidR="00274F24" w:rsidRPr="00421EB7">
        <w:rPr>
          <w:rFonts w:ascii="Times New Roman" w:hAnsi="Times New Roman" w:cs="Times New Roman"/>
          <w:lang w:val="es-MX"/>
        </w:rPr>
        <w:t>y</w:t>
      </w:r>
      <w:r w:rsidRPr="00421EB7">
        <w:rPr>
          <w:rFonts w:ascii="Times New Roman" w:hAnsi="Times New Roman" w:cs="Times New Roman"/>
          <w:lang w:val="es-MX"/>
        </w:rPr>
        <w:t xml:space="preserve"> Gorina, A. (2017). </w:t>
      </w:r>
      <w:r w:rsidRPr="009A217D">
        <w:rPr>
          <w:rFonts w:ascii="Times New Roman" w:hAnsi="Times New Roman" w:cs="Times New Roman"/>
          <w:lang w:val="es-MX"/>
        </w:rPr>
        <w:t xml:space="preserve">Estrategia de gestión de la divulgación científica para el desarrollo local orientada a profesores universitarios. </w:t>
      </w:r>
      <w:r w:rsidR="006231C8" w:rsidRPr="009A217D">
        <w:rPr>
          <w:rFonts w:ascii="Times New Roman" w:hAnsi="Times New Roman" w:cs="Times New Roman"/>
          <w:i/>
          <w:iCs/>
          <w:lang w:val="es-MX"/>
        </w:rPr>
        <w:t xml:space="preserve">Revista </w:t>
      </w:r>
      <w:r w:rsidRPr="009A217D">
        <w:rPr>
          <w:rFonts w:ascii="Times New Roman" w:hAnsi="Times New Roman" w:cs="Times New Roman"/>
          <w:i/>
          <w:iCs/>
          <w:lang w:val="es-MX"/>
        </w:rPr>
        <w:t>Luz</w:t>
      </w:r>
      <w:r w:rsidRPr="009A217D">
        <w:rPr>
          <w:rFonts w:ascii="Times New Roman" w:hAnsi="Times New Roman" w:cs="Times New Roman"/>
          <w:lang w:val="es-MX"/>
        </w:rPr>
        <w:t xml:space="preserve">, </w:t>
      </w:r>
      <w:r w:rsidRPr="00421EB7">
        <w:rPr>
          <w:rFonts w:ascii="Times New Roman" w:hAnsi="Times New Roman" w:cs="Times New Roman"/>
          <w:i/>
          <w:iCs/>
          <w:lang w:val="es-MX"/>
        </w:rPr>
        <w:t>16</w:t>
      </w:r>
      <w:r w:rsidRPr="009A217D">
        <w:rPr>
          <w:rFonts w:ascii="Times New Roman" w:hAnsi="Times New Roman" w:cs="Times New Roman"/>
          <w:lang w:val="es-MX"/>
        </w:rPr>
        <w:t xml:space="preserve">(4), 5-17. </w:t>
      </w:r>
      <w:r w:rsidR="00274F24">
        <w:rPr>
          <w:rFonts w:ascii="Times New Roman" w:hAnsi="Times New Roman" w:cs="Times New Roman"/>
          <w:lang w:val="es-MX"/>
        </w:rPr>
        <w:t xml:space="preserve">Recuperado de </w:t>
      </w:r>
      <w:r w:rsidRPr="00716897">
        <w:rPr>
          <w:rFonts w:ascii="Times New Roman" w:hAnsi="Times New Roman" w:cs="Times New Roman"/>
          <w:lang w:val="es-MX"/>
        </w:rPr>
        <w:t>https://www.redalyc.org/articulo.oa?id=589166505002</w:t>
      </w:r>
      <w:r w:rsidR="00274F24">
        <w:rPr>
          <w:rFonts w:ascii="Times New Roman" w:hAnsi="Times New Roman" w:cs="Times New Roman"/>
          <w:lang w:val="es-MX"/>
        </w:rPr>
        <w:t>.</w:t>
      </w:r>
    </w:p>
    <w:p w14:paraId="2584CC93" w14:textId="749B0723" w:rsidR="00F65A97" w:rsidRPr="009A217D" w:rsidRDefault="00F65A97" w:rsidP="00FF6D96">
      <w:pPr>
        <w:shd w:val="clear" w:color="auto" w:fill="FFFFFF"/>
        <w:spacing w:line="360" w:lineRule="auto"/>
        <w:ind w:left="709" w:hanging="709"/>
        <w:jc w:val="both"/>
        <w:rPr>
          <w:rFonts w:ascii="Times New Roman" w:hAnsi="Times New Roman" w:cs="Times New Roman"/>
          <w:lang w:val="en-US"/>
        </w:rPr>
      </w:pPr>
      <w:r w:rsidRPr="009A217D">
        <w:rPr>
          <w:rFonts w:ascii="Times New Roman" w:hAnsi="Times New Roman" w:cs="Times New Roman"/>
        </w:rPr>
        <w:t>Medina, A. y Castillo, S. (coord</w:t>
      </w:r>
      <w:r w:rsidR="00AB517B">
        <w:rPr>
          <w:rFonts w:ascii="Times New Roman" w:hAnsi="Times New Roman" w:cs="Times New Roman"/>
        </w:rPr>
        <w:t>s</w:t>
      </w:r>
      <w:r w:rsidRPr="009A217D">
        <w:rPr>
          <w:rFonts w:ascii="Times New Roman" w:hAnsi="Times New Roman" w:cs="Times New Roman"/>
        </w:rPr>
        <w:t xml:space="preserve">.) (2003). </w:t>
      </w:r>
      <w:r w:rsidRPr="009A217D">
        <w:rPr>
          <w:rFonts w:ascii="Times New Roman" w:hAnsi="Times New Roman" w:cs="Times New Roman"/>
          <w:i/>
          <w:iCs/>
        </w:rPr>
        <w:t>Metodología para la realización de proyectos de investigación y tesis doctorales</w:t>
      </w:r>
      <w:r w:rsidRPr="009A217D">
        <w:rPr>
          <w:rFonts w:ascii="Times New Roman" w:hAnsi="Times New Roman" w:cs="Times New Roman"/>
        </w:rPr>
        <w:t xml:space="preserve">. </w:t>
      </w:r>
      <w:r w:rsidRPr="009A217D">
        <w:rPr>
          <w:rFonts w:ascii="Times New Roman" w:hAnsi="Times New Roman" w:cs="Times New Roman"/>
          <w:lang w:val="en-US"/>
        </w:rPr>
        <w:t>Madrid</w:t>
      </w:r>
      <w:r w:rsidR="00AB517B">
        <w:rPr>
          <w:rFonts w:ascii="Times New Roman" w:hAnsi="Times New Roman" w:cs="Times New Roman"/>
          <w:lang w:val="en-US"/>
        </w:rPr>
        <w:t>, España</w:t>
      </w:r>
      <w:r w:rsidRPr="009A217D">
        <w:rPr>
          <w:rFonts w:ascii="Times New Roman" w:hAnsi="Times New Roman" w:cs="Times New Roman"/>
          <w:lang w:val="en-US"/>
        </w:rPr>
        <w:t>: Universitas.</w:t>
      </w:r>
    </w:p>
    <w:p w14:paraId="4CEB7965" w14:textId="6035D622" w:rsidR="00DF46BD" w:rsidRPr="00421EB7" w:rsidRDefault="00DF46BD" w:rsidP="00FF6D96">
      <w:pPr>
        <w:shd w:val="clear" w:color="auto" w:fill="FFFFFF"/>
        <w:spacing w:line="360" w:lineRule="auto"/>
        <w:ind w:left="709" w:hanging="709"/>
        <w:jc w:val="both"/>
        <w:rPr>
          <w:rFonts w:ascii="Times New Roman" w:hAnsi="Times New Roman" w:cs="Times New Roman"/>
          <w:lang w:val="en-US"/>
        </w:rPr>
      </w:pPr>
      <w:r w:rsidRPr="009A217D">
        <w:rPr>
          <w:rFonts w:ascii="Times New Roman" w:hAnsi="Times New Roman" w:cs="Times New Roman"/>
          <w:lang w:val="en-US"/>
        </w:rPr>
        <w:t>Organisation for Econom</w:t>
      </w:r>
      <w:r w:rsidR="00063F52" w:rsidRPr="009A217D">
        <w:rPr>
          <w:rFonts w:ascii="Times New Roman" w:hAnsi="Times New Roman" w:cs="Times New Roman"/>
          <w:lang w:val="en-US"/>
        </w:rPr>
        <w:t>ic Cooperation and Development [</w:t>
      </w:r>
      <w:r w:rsidRPr="009A217D">
        <w:rPr>
          <w:rFonts w:ascii="Times New Roman" w:hAnsi="Times New Roman" w:cs="Times New Roman"/>
          <w:lang w:val="en-US"/>
        </w:rPr>
        <w:t>OECD</w:t>
      </w:r>
      <w:r w:rsidR="00063F52" w:rsidRPr="009A217D">
        <w:rPr>
          <w:rFonts w:ascii="Times New Roman" w:hAnsi="Times New Roman" w:cs="Times New Roman"/>
          <w:lang w:val="en-US"/>
        </w:rPr>
        <w:t>]</w:t>
      </w:r>
      <w:r w:rsidR="008B4566">
        <w:rPr>
          <w:rFonts w:ascii="Times New Roman" w:hAnsi="Times New Roman" w:cs="Times New Roman"/>
          <w:lang w:val="en-US"/>
        </w:rPr>
        <w:t>.</w:t>
      </w:r>
      <w:r w:rsidRPr="009A217D">
        <w:rPr>
          <w:rFonts w:ascii="Times New Roman" w:hAnsi="Times New Roman" w:cs="Times New Roman"/>
          <w:lang w:val="en-US"/>
        </w:rPr>
        <w:t xml:space="preserve"> </w:t>
      </w:r>
      <w:r w:rsidRPr="00421EB7">
        <w:rPr>
          <w:rFonts w:ascii="Times New Roman" w:hAnsi="Times New Roman" w:cs="Times New Roman"/>
          <w:lang w:val="en-US"/>
        </w:rPr>
        <w:t>(2013)</w:t>
      </w:r>
      <w:r w:rsidR="008B4566" w:rsidRPr="00421EB7">
        <w:rPr>
          <w:rFonts w:ascii="Times New Roman" w:hAnsi="Times New Roman" w:cs="Times New Roman"/>
          <w:lang w:val="en-US"/>
        </w:rPr>
        <w:t>.</w:t>
      </w:r>
      <w:r w:rsidRPr="00421EB7">
        <w:rPr>
          <w:rFonts w:ascii="Times New Roman" w:hAnsi="Times New Roman" w:cs="Times New Roman"/>
          <w:lang w:val="en-US"/>
        </w:rPr>
        <w:t xml:space="preserve"> </w:t>
      </w:r>
      <w:r w:rsidRPr="00421EB7">
        <w:rPr>
          <w:rFonts w:ascii="Times New Roman" w:hAnsi="Times New Roman" w:cs="Times New Roman"/>
          <w:i/>
          <w:lang w:val="en-US"/>
        </w:rPr>
        <w:t>PISA 2015 Draft Science Framework</w:t>
      </w:r>
      <w:r w:rsidRPr="00421EB7">
        <w:rPr>
          <w:rFonts w:ascii="Times New Roman" w:hAnsi="Times New Roman" w:cs="Times New Roman"/>
          <w:lang w:val="en-US"/>
        </w:rPr>
        <w:t>. Paris</w:t>
      </w:r>
      <w:r w:rsidR="008B4566" w:rsidRPr="00421EB7">
        <w:rPr>
          <w:rFonts w:ascii="Times New Roman" w:hAnsi="Times New Roman" w:cs="Times New Roman"/>
          <w:lang w:val="en-US"/>
        </w:rPr>
        <w:t>, France</w:t>
      </w:r>
      <w:r w:rsidRPr="00421EB7">
        <w:rPr>
          <w:rFonts w:ascii="Times New Roman" w:hAnsi="Times New Roman" w:cs="Times New Roman"/>
          <w:lang w:val="en-US"/>
        </w:rPr>
        <w:t>: OECD Publishing</w:t>
      </w:r>
      <w:r w:rsidR="00165655" w:rsidRPr="00421EB7">
        <w:rPr>
          <w:rFonts w:ascii="Times New Roman" w:hAnsi="Times New Roman" w:cs="Times New Roman"/>
          <w:lang w:val="en-US"/>
        </w:rPr>
        <w:t>.</w:t>
      </w:r>
    </w:p>
    <w:p w14:paraId="009CF25C" w14:textId="4A2781BE" w:rsidR="00DF46BD" w:rsidRPr="009A217D" w:rsidRDefault="00A20017" w:rsidP="00FF6D96">
      <w:pPr>
        <w:pStyle w:val="Bibliografa"/>
        <w:spacing w:line="360" w:lineRule="auto"/>
        <w:ind w:left="720" w:hanging="709"/>
        <w:jc w:val="both"/>
        <w:rPr>
          <w:rFonts w:ascii="Times New Roman" w:hAnsi="Times New Roman" w:cs="Times New Roman"/>
          <w:noProof/>
          <w:lang w:val="es-ES"/>
        </w:rPr>
      </w:pPr>
      <w:r w:rsidRPr="00FF4FFD">
        <w:rPr>
          <w:rFonts w:ascii="Times New Roman" w:hAnsi="Times New Roman" w:cs="Times New Roman"/>
          <w:noProof/>
          <w:lang w:val="es-ES"/>
        </w:rPr>
        <w:t xml:space="preserve">Organización para la Cooperación y el Desarrollo Económicos </w:t>
      </w:r>
      <w:r>
        <w:rPr>
          <w:rFonts w:ascii="Times New Roman" w:hAnsi="Times New Roman" w:cs="Times New Roman"/>
          <w:noProof/>
          <w:lang w:val="es-ES"/>
        </w:rPr>
        <w:t>[</w:t>
      </w:r>
      <w:r w:rsidRPr="009A217D">
        <w:rPr>
          <w:rFonts w:ascii="Times New Roman" w:hAnsi="Times New Roman" w:cs="Times New Roman"/>
          <w:noProof/>
          <w:lang w:val="es-ES"/>
        </w:rPr>
        <w:t>OECD</w:t>
      </w:r>
      <w:r>
        <w:rPr>
          <w:rFonts w:ascii="Times New Roman" w:hAnsi="Times New Roman" w:cs="Times New Roman"/>
          <w:noProof/>
          <w:lang w:val="es-ES"/>
        </w:rPr>
        <w:t>]</w:t>
      </w:r>
      <w:r>
        <w:rPr>
          <w:rFonts w:ascii="Times New Roman" w:hAnsi="Times New Roman" w:cs="Times New Roman"/>
          <w:shd w:val="clear" w:color="auto" w:fill="FFFFFF"/>
        </w:rPr>
        <w:t>-</w:t>
      </w:r>
      <w:r w:rsidR="00AF5F06" w:rsidRPr="00AF5F06">
        <w:t xml:space="preserve"> </w:t>
      </w:r>
      <w:r w:rsidR="00AF5F06" w:rsidRPr="00AF5F06">
        <w:rPr>
          <w:rFonts w:ascii="Times New Roman" w:hAnsi="Times New Roman" w:cs="Times New Roman"/>
          <w:shd w:val="clear" w:color="auto" w:fill="FFFFFF"/>
        </w:rPr>
        <w:t xml:space="preserve">Banco de Desarrollo de América Latina </w:t>
      </w:r>
      <w:r w:rsidR="00AF5F06">
        <w:rPr>
          <w:rFonts w:ascii="Times New Roman" w:hAnsi="Times New Roman" w:cs="Times New Roman"/>
          <w:shd w:val="clear" w:color="auto" w:fill="FFFFFF"/>
        </w:rPr>
        <w:t>[</w:t>
      </w:r>
      <w:r w:rsidR="00DF46BD" w:rsidRPr="009A217D">
        <w:rPr>
          <w:rFonts w:ascii="Times New Roman" w:hAnsi="Times New Roman" w:cs="Times New Roman"/>
          <w:shd w:val="clear" w:color="auto" w:fill="FFFFFF"/>
        </w:rPr>
        <w:t>CAF</w:t>
      </w:r>
      <w:r w:rsidR="00AF5F06">
        <w:rPr>
          <w:rFonts w:ascii="Times New Roman" w:hAnsi="Times New Roman" w:cs="Times New Roman"/>
          <w:shd w:val="clear" w:color="auto" w:fill="FFFFFF"/>
        </w:rPr>
        <w:t>]-</w:t>
      </w:r>
      <w:r w:rsidR="00E149E3" w:rsidRPr="00E149E3">
        <w:t xml:space="preserve"> </w:t>
      </w:r>
      <w:r w:rsidR="00E149E3" w:rsidRPr="00E149E3">
        <w:rPr>
          <w:rFonts w:ascii="Times New Roman" w:hAnsi="Times New Roman" w:cs="Times New Roman"/>
          <w:shd w:val="clear" w:color="auto" w:fill="FFFFFF"/>
        </w:rPr>
        <w:t>Comisión Económica para América Latina y el Caribe</w:t>
      </w:r>
      <w:r w:rsidR="00E149E3" w:rsidRPr="00E149E3" w:rsidDel="00E149E3">
        <w:rPr>
          <w:rFonts w:ascii="Times New Roman" w:hAnsi="Times New Roman" w:cs="Times New Roman"/>
          <w:shd w:val="clear" w:color="auto" w:fill="FFFFFF"/>
        </w:rPr>
        <w:t xml:space="preserve"> </w:t>
      </w:r>
      <w:r w:rsidR="00E149E3">
        <w:rPr>
          <w:rFonts w:ascii="Times New Roman" w:hAnsi="Times New Roman" w:cs="Times New Roman"/>
          <w:shd w:val="clear" w:color="auto" w:fill="FFFFFF"/>
        </w:rPr>
        <w:t xml:space="preserve">[Cepal]. </w:t>
      </w:r>
      <w:r w:rsidR="00DF46BD" w:rsidRPr="009A217D">
        <w:rPr>
          <w:rFonts w:ascii="Times New Roman" w:hAnsi="Times New Roman" w:cs="Times New Roman"/>
          <w:shd w:val="clear" w:color="auto" w:fill="FFFFFF"/>
        </w:rPr>
        <w:t>(2014). </w:t>
      </w:r>
      <w:r w:rsidR="00DF46BD" w:rsidRPr="009A217D">
        <w:rPr>
          <w:rFonts w:ascii="Times New Roman" w:hAnsi="Times New Roman" w:cs="Times New Roman"/>
          <w:i/>
          <w:iCs/>
          <w:shd w:val="clear" w:color="auto" w:fill="FFFFFF"/>
        </w:rPr>
        <w:t>Perspectivas económicas de América Latina 2015</w:t>
      </w:r>
      <w:r w:rsidR="00EF194D">
        <w:rPr>
          <w:rFonts w:ascii="Times New Roman" w:hAnsi="Times New Roman" w:cs="Times New Roman"/>
          <w:i/>
          <w:iCs/>
          <w:shd w:val="clear" w:color="auto" w:fill="FFFFFF"/>
        </w:rPr>
        <w:t>.</w:t>
      </w:r>
      <w:r w:rsidR="00DF46BD" w:rsidRPr="009A217D">
        <w:rPr>
          <w:rFonts w:ascii="Times New Roman" w:hAnsi="Times New Roman" w:cs="Times New Roman"/>
          <w:i/>
          <w:iCs/>
          <w:shd w:val="clear" w:color="auto" w:fill="FFFFFF"/>
        </w:rPr>
        <w:t> Educación, competencias e innovación para el desarrollo</w:t>
      </w:r>
      <w:r w:rsidR="00EF194D">
        <w:rPr>
          <w:rFonts w:ascii="Times New Roman" w:hAnsi="Times New Roman" w:cs="Times New Roman"/>
          <w:shd w:val="clear" w:color="auto" w:fill="FFFFFF"/>
        </w:rPr>
        <w:t>.</w:t>
      </w:r>
      <w:r w:rsidR="00DF46BD" w:rsidRPr="009A217D">
        <w:rPr>
          <w:rFonts w:ascii="Times New Roman" w:hAnsi="Times New Roman" w:cs="Times New Roman"/>
          <w:shd w:val="clear" w:color="auto" w:fill="FFFFFF"/>
        </w:rPr>
        <w:t xml:space="preserve"> </w:t>
      </w:r>
      <w:r w:rsidR="00DF603E">
        <w:rPr>
          <w:rFonts w:ascii="Times New Roman" w:hAnsi="Times New Roman" w:cs="Times New Roman"/>
          <w:shd w:val="clear" w:color="auto" w:fill="FFFFFF"/>
        </w:rPr>
        <w:t xml:space="preserve">París, Francia: </w:t>
      </w:r>
      <w:r w:rsidR="00DF603E" w:rsidRPr="00FF4FFD">
        <w:rPr>
          <w:rFonts w:ascii="Times New Roman" w:hAnsi="Times New Roman" w:cs="Times New Roman"/>
          <w:noProof/>
          <w:lang w:val="es-ES"/>
        </w:rPr>
        <w:t>Organización para la Cooperación y el Desarrollo Económicos</w:t>
      </w:r>
      <w:r w:rsidR="00DF46BD" w:rsidRPr="009A217D">
        <w:rPr>
          <w:rFonts w:ascii="Times New Roman" w:hAnsi="Times New Roman" w:cs="Times New Roman"/>
          <w:shd w:val="clear" w:color="auto" w:fill="FFFFFF"/>
        </w:rPr>
        <w:t xml:space="preserve">. </w:t>
      </w:r>
      <w:r w:rsidR="00EF194D">
        <w:rPr>
          <w:rFonts w:ascii="Times New Roman" w:hAnsi="Times New Roman" w:cs="Times New Roman"/>
          <w:shd w:val="clear" w:color="auto" w:fill="FFFFFF"/>
        </w:rPr>
        <w:t xml:space="preserve">Recuperado de </w:t>
      </w:r>
      <w:r w:rsidR="00DF46BD" w:rsidRPr="00716897">
        <w:rPr>
          <w:rFonts w:ascii="Times New Roman" w:hAnsi="Times New Roman" w:cs="Times New Roman"/>
          <w:shd w:val="clear" w:color="auto" w:fill="FFFFFF"/>
        </w:rPr>
        <w:t>https://doi.org/10.1787/leo-2015-es</w:t>
      </w:r>
      <w:r w:rsidR="00EF194D">
        <w:rPr>
          <w:rFonts w:ascii="Times New Roman" w:hAnsi="Times New Roman" w:cs="Times New Roman"/>
        </w:rPr>
        <w:t>.</w:t>
      </w:r>
    </w:p>
    <w:p w14:paraId="0BF3C475" w14:textId="3DC92104" w:rsidR="003471DB" w:rsidRPr="009A217D" w:rsidRDefault="00FF4FFD" w:rsidP="00FF6D96">
      <w:pPr>
        <w:pStyle w:val="Bibliografa"/>
        <w:spacing w:line="360" w:lineRule="auto"/>
        <w:ind w:left="720" w:hanging="709"/>
        <w:jc w:val="both"/>
        <w:rPr>
          <w:rFonts w:ascii="Times New Roman" w:hAnsi="Times New Roman" w:cs="Times New Roman"/>
          <w:noProof/>
          <w:lang w:val="es-ES"/>
        </w:rPr>
      </w:pPr>
      <w:r w:rsidRPr="00FF4FFD">
        <w:rPr>
          <w:rFonts w:ascii="Times New Roman" w:hAnsi="Times New Roman" w:cs="Times New Roman"/>
          <w:noProof/>
          <w:lang w:val="es-ES"/>
        </w:rPr>
        <w:t xml:space="preserve">Organización para la Cooperación y el Desarrollo Económicos </w:t>
      </w:r>
      <w:r>
        <w:rPr>
          <w:rFonts w:ascii="Times New Roman" w:hAnsi="Times New Roman" w:cs="Times New Roman"/>
          <w:noProof/>
          <w:lang w:val="es-ES"/>
        </w:rPr>
        <w:t>[</w:t>
      </w:r>
      <w:r w:rsidR="003471DB" w:rsidRPr="009A217D">
        <w:rPr>
          <w:rFonts w:ascii="Times New Roman" w:hAnsi="Times New Roman" w:cs="Times New Roman"/>
          <w:noProof/>
          <w:lang w:val="es-ES"/>
        </w:rPr>
        <w:t>OECD</w:t>
      </w:r>
      <w:r>
        <w:rPr>
          <w:rFonts w:ascii="Times New Roman" w:hAnsi="Times New Roman" w:cs="Times New Roman"/>
          <w:noProof/>
          <w:lang w:val="es-ES"/>
        </w:rPr>
        <w:t>]</w:t>
      </w:r>
      <w:r w:rsidR="003471DB" w:rsidRPr="009A217D">
        <w:rPr>
          <w:rFonts w:ascii="Times New Roman" w:hAnsi="Times New Roman" w:cs="Times New Roman"/>
          <w:noProof/>
          <w:lang w:val="es-ES"/>
        </w:rPr>
        <w:t xml:space="preserve">. (2019). </w:t>
      </w:r>
      <w:r w:rsidR="003471DB" w:rsidRPr="00421EB7">
        <w:rPr>
          <w:rFonts w:ascii="Times New Roman" w:hAnsi="Times New Roman" w:cs="Times New Roman"/>
          <w:i/>
          <w:iCs/>
          <w:noProof/>
          <w:lang w:val="es-ES"/>
        </w:rPr>
        <w:t xml:space="preserve">Educación </w:t>
      </w:r>
      <w:r w:rsidR="00130DE7" w:rsidRPr="00421EB7">
        <w:rPr>
          <w:rFonts w:ascii="Times New Roman" w:hAnsi="Times New Roman" w:cs="Times New Roman"/>
          <w:i/>
          <w:iCs/>
          <w:noProof/>
          <w:lang w:val="es-ES"/>
        </w:rPr>
        <w:t>s</w:t>
      </w:r>
      <w:r w:rsidR="003471DB" w:rsidRPr="00421EB7">
        <w:rPr>
          <w:rFonts w:ascii="Times New Roman" w:hAnsi="Times New Roman" w:cs="Times New Roman"/>
          <w:i/>
          <w:iCs/>
          <w:noProof/>
          <w:lang w:val="es-ES"/>
        </w:rPr>
        <w:t>uperior en México: resultados y relevancia para el mercado laboral</w:t>
      </w:r>
      <w:r w:rsidR="003471DB" w:rsidRPr="009A217D">
        <w:rPr>
          <w:rFonts w:ascii="Times New Roman" w:hAnsi="Times New Roman" w:cs="Times New Roman"/>
          <w:noProof/>
          <w:lang w:val="es-ES"/>
        </w:rPr>
        <w:t xml:space="preserve">. </w:t>
      </w:r>
      <w:r>
        <w:rPr>
          <w:rFonts w:ascii="Times New Roman" w:hAnsi="Times New Roman" w:cs="Times New Roman"/>
          <w:noProof/>
          <w:lang w:val="es-ES"/>
        </w:rPr>
        <w:t xml:space="preserve">París, Francia: </w:t>
      </w:r>
      <w:r w:rsidRPr="00FF4FFD">
        <w:rPr>
          <w:rFonts w:ascii="Times New Roman" w:hAnsi="Times New Roman" w:cs="Times New Roman"/>
          <w:noProof/>
          <w:lang w:val="es-ES"/>
        </w:rPr>
        <w:lastRenderedPageBreak/>
        <w:t>Organización para la Cooperación y el Desarrollo Económicos</w:t>
      </w:r>
      <w:r>
        <w:rPr>
          <w:rFonts w:ascii="Times New Roman" w:hAnsi="Times New Roman" w:cs="Times New Roman"/>
          <w:noProof/>
          <w:lang w:val="es-ES"/>
        </w:rPr>
        <w:t>. Recuperado de</w:t>
      </w:r>
      <w:r w:rsidRPr="00FF4FFD">
        <w:rPr>
          <w:rFonts w:ascii="Times New Roman" w:hAnsi="Times New Roman" w:cs="Times New Roman"/>
          <w:noProof/>
          <w:lang w:val="es-ES"/>
        </w:rPr>
        <w:t xml:space="preserve"> </w:t>
      </w:r>
      <w:r w:rsidR="003471DB" w:rsidRPr="00716897">
        <w:rPr>
          <w:rFonts w:ascii="Times New Roman" w:hAnsi="Times New Roman" w:cs="Times New Roman"/>
          <w:noProof/>
          <w:lang w:val="es-ES"/>
        </w:rPr>
        <w:t>https://doi.org/10.1787/9789264309432-en</w:t>
      </w:r>
      <w:r>
        <w:rPr>
          <w:rFonts w:ascii="Times New Roman" w:hAnsi="Times New Roman" w:cs="Times New Roman"/>
          <w:noProof/>
          <w:lang w:val="es-ES"/>
        </w:rPr>
        <w:t>.</w:t>
      </w:r>
    </w:p>
    <w:p w14:paraId="554E7C59" w14:textId="14B0EA93" w:rsidR="003E5F19" w:rsidRPr="006B25DA" w:rsidRDefault="003E5F19" w:rsidP="00FF6D96">
      <w:pPr>
        <w:spacing w:line="360" w:lineRule="auto"/>
        <w:ind w:left="709" w:hanging="709"/>
        <w:jc w:val="both"/>
        <w:rPr>
          <w:rFonts w:ascii="Times New Roman" w:hAnsi="Times New Roman" w:cs="Times New Roman"/>
          <w:b/>
          <w:bCs/>
        </w:rPr>
      </w:pPr>
      <w:r w:rsidRPr="006B25DA">
        <w:rPr>
          <w:rFonts w:ascii="Times New Roman" w:hAnsi="Times New Roman" w:cs="Times New Roman"/>
        </w:rPr>
        <w:t xml:space="preserve">Pérez, M. y González, K. C. (2020). </w:t>
      </w:r>
      <w:r w:rsidRPr="00421EB7">
        <w:rPr>
          <w:rStyle w:val="normaltextrun"/>
          <w:rFonts w:ascii="Times New Roman" w:hAnsi="Times New Roman" w:cs="Times New Roman"/>
          <w:shd w:val="clear" w:color="auto" w:fill="FFFFFF"/>
        </w:rPr>
        <w:t xml:space="preserve">Las </w:t>
      </w:r>
      <w:r w:rsidRPr="00421EB7">
        <w:rPr>
          <w:rStyle w:val="normaltextrun"/>
          <w:rFonts w:ascii="Times New Roman" w:hAnsi="Times New Roman" w:cs="Times New Roman"/>
          <w:shd w:val="clear" w:color="auto" w:fill="FFFFFF"/>
          <w:lang w:val="es-ES"/>
        </w:rPr>
        <w:t xml:space="preserve">estrategias de aprendizaje utilizadas por los estudiantes de educación superior que inciden en la investigación. </w:t>
      </w:r>
      <w:r w:rsidR="00EA6198" w:rsidRPr="00421EB7">
        <w:rPr>
          <w:rStyle w:val="normaltextrun"/>
          <w:rFonts w:ascii="Times New Roman" w:hAnsi="Times New Roman" w:cs="Times New Roman"/>
          <w:shd w:val="clear" w:color="auto" w:fill="FFFFFF"/>
          <w:lang w:val="es-ES"/>
        </w:rPr>
        <w:t xml:space="preserve">En </w:t>
      </w:r>
      <w:r w:rsidR="00EA6198" w:rsidRPr="00421EB7">
        <w:rPr>
          <w:rStyle w:val="normaltextrun"/>
          <w:rFonts w:ascii="Times New Roman" w:hAnsi="Times New Roman" w:cs="Times New Roman"/>
          <w:i/>
          <w:iCs/>
          <w:shd w:val="clear" w:color="auto" w:fill="FFFFFF"/>
          <w:lang w:val="es-ES"/>
        </w:rPr>
        <w:t>L</w:t>
      </w:r>
      <w:r w:rsidR="00EA6198" w:rsidRPr="00421EB7">
        <w:rPr>
          <w:rFonts w:ascii="Times New Roman" w:hAnsi="Times New Roman" w:cs="Times New Roman"/>
          <w:i/>
          <w:iCs/>
          <w:shd w:val="clear" w:color="auto" w:fill="FFFFFF"/>
        </w:rPr>
        <w:t>a educación, la empresa y la sociedad una mirada transdi</w:t>
      </w:r>
      <w:r w:rsidR="00C65313">
        <w:rPr>
          <w:rFonts w:ascii="Times New Roman" w:hAnsi="Times New Roman" w:cs="Times New Roman"/>
          <w:i/>
          <w:iCs/>
          <w:shd w:val="clear" w:color="auto" w:fill="FFFFFF"/>
        </w:rPr>
        <w:t>s</w:t>
      </w:r>
      <w:r w:rsidR="00EA6198" w:rsidRPr="00421EB7">
        <w:rPr>
          <w:rFonts w:ascii="Times New Roman" w:hAnsi="Times New Roman" w:cs="Times New Roman"/>
          <w:i/>
          <w:iCs/>
          <w:shd w:val="clear" w:color="auto" w:fill="FFFFFF"/>
        </w:rPr>
        <w:t>ciplinaria</w:t>
      </w:r>
      <w:r w:rsidR="006B25DA" w:rsidRPr="00421EB7">
        <w:rPr>
          <w:rFonts w:ascii="Times New Roman" w:hAnsi="Times New Roman" w:cs="Times New Roman"/>
          <w:shd w:val="clear" w:color="auto" w:fill="FFFFFF"/>
        </w:rPr>
        <w:t xml:space="preserve">. </w:t>
      </w:r>
      <w:r w:rsidR="006B25DA" w:rsidRPr="00421EB7">
        <w:rPr>
          <w:rFonts w:ascii="Times New Roman" w:hAnsi="Times New Roman" w:cs="Times New Roman"/>
          <w:i/>
          <w:iCs/>
          <w:shd w:val="clear" w:color="auto" w:fill="FFFFFF"/>
        </w:rPr>
        <w:t>T</w:t>
      </w:r>
      <w:r w:rsidR="00EA6198" w:rsidRPr="00421EB7">
        <w:rPr>
          <w:rFonts w:ascii="Times New Roman" w:hAnsi="Times New Roman" w:cs="Times New Roman"/>
          <w:i/>
          <w:iCs/>
          <w:shd w:val="clear" w:color="auto" w:fill="FFFFFF"/>
        </w:rPr>
        <w:t>omo</w:t>
      </w:r>
      <w:r w:rsidR="00EA6198" w:rsidRPr="00421EB7">
        <w:rPr>
          <w:rFonts w:ascii="Times New Roman" w:hAnsi="Times New Roman" w:cs="Times New Roman"/>
          <w:shd w:val="clear" w:color="auto" w:fill="FFFFFF"/>
        </w:rPr>
        <w:t xml:space="preserve"> </w:t>
      </w:r>
      <w:r w:rsidR="006B25DA" w:rsidRPr="00421EB7">
        <w:rPr>
          <w:rFonts w:ascii="Times New Roman" w:hAnsi="Times New Roman" w:cs="Times New Roman"/>
          <w:i/>
          <w:iCs/>
          <w:shd w:val="clear" w:color="auto" w:fill="FFFFFF"/>
        </w:rPr>
        <w:t>IV</w:t>
      </w:r>
      <w:r w:rsidR="006B25DA" w:rsidRPr="00421EB7">
        <w:rPr>
          <w:rFonts w:ascii="Times New Roman" w:hAnsi="Times New Roman" w:cs="Times New Roman"/>
          <w:shd w:val="clear" w:color="auto" w:fill="FFFFFF"/>
        </w:rPr>
        <w:t xml:space="preserve"> </w:t>
      </w:r>
      <w:r w:rsidR="00C83558" w:rsidRPr="00421EB7">
        <w:rPr>
          <w:rFonts w:ascii="Times New Roman" w:hAnsi="Times New Roman" w:cs="Times New Roman"/>
          <w:shd w:val="clear" w:color="auto" w:fill="FFFFFF"/>
        </w:rPr>
        <w:t xml:space="preserve">(pp. </w:t>
      </w:r>
      <w:r w:rsidR="00EA6198" w:rsidRPr="00421EB7">
        <w:rPr>
          <w:rFonts w:ascii="Times New Roman" w:hAnsi="Times New Roman" w:cs="Times New Roman"/>
          <w:shd w:val="clear" w:color="auto" w:fill="FFFFFF"/>
        </w:rPr>
        <w:t>976-996</w:t>
      </w:r>
      <w:r w:rsidR="00C83558" w:rsidRPr="00421EB7">
        <w:rPr>
          <w:rFonts w:ascii="Times New Roman" w:hAnsi="Times New Roman" w:cs="Times New Roman"/>
          <w:shd w:val="clear" w:color="auto" w:fill="FFFFFF"/>
        </w:rPr>
        <w:t>)</w:t>
      </w:r>
      <w:r w:rsidR="00EA6198" w:rsidRPr="00421EB7">
        <w:rPr>
          <w:rFonts w:ascii="Times New Roman" w:hAnsi="Times New Roman" w:cs="Times New Roman"/>
          <w:shd w:val="clear" w:color="auto" w:fill="FFFFFF"/>
        </w:rPr>
        <w:t xml:space="preserve">. </w:t>
      </w:r>
      <w:r w:rsidR="006B25DA">
        <w:rPr>
          <w:rFonts w:ascii="Times New Roman" w:hAnsi="Times New Roman" w:cs="Times New Roman"/>
          <w:shd w:val="clear" w:color="auto" w:fill="FFFFFF"/>
        </w:rPr>
        <w:t xml:space="preserve">Colombia: </w:t>
      </w:r>
      <w:r w:rsidR="00EA6198" w:rsidRPr="00421EB7">
        <w:rPr>
          <w:rFonts w:ascii="Times New Roman" w:hAnsi="Times New Roman" w:cs="Times New Roman"/>
          <w:shd w:val="clear" w:color="auto" w:fill="FFFFFF"/>
        </w:rPr>
        <w:t>Eidec Editorial.</w:t>
      </w:r>
      <w:r w:rsidR="006B25DA">
        <w:rPr>
          <w:rFonts w:ascii="Times New Roman" w:hAnsi="Times New Roman" w:cs="Times New Roman"/>
          <w:shd w:val="clear" w:color="auto" w:fill="FFFFFF"/>
        </w:rPr>
        <w:t xml:space="preserve"> Recuperado de</w:t>
      </w:r>
      <w:r w:rsidR="00EA6198" w:rsidRPr="00421EB7">
        <w:rPr>
          <w:rFonts w:ascii="Times New Roman" w:hAnsi="Times New Roman" w:cs="Times New Roman"/>
          <w:shd w:val="clear" w:color="auto" w:fill="FFFFFF"/>
        </w:rPr>
        <w:t xml:space="preserve"> </w:t>
      </w:r>
      <w:r w:rsidR="00EA6198" w:rsidRPr="00421EB7">
        <w:rPr>
          <w:rStyle w:val="Textoennegrita"/>
          <w:rFonts w:ascii="Times New Roman" w:hAnsi="Times New Roman" w:cs="Times New Roman"/>
          <w:b w:val="0"/>
          <w:bCs w:val="0"/>
          <w:shd w:val="clear" w:color="auto" w:fill="FFFFFF"/>
        </w:rPr>
        <w:t>https://doi.org/10.34893/hqxc-r887</w:t>
      </w:r>
      <w:r w:rsidR="006B25DA">
        <w:rPr>
          <w:rStyle w:val="Textoennegrita"/>
          <w:rFonts w:ascii="Times New Roman" w:hAnsi="Times New Roman" w:cs="Times New Roman"/>
          <w:b w:val="0"/>
          <w:bCs w:val="0"/>
          <w:shd w:val="clear" w:color="auto" w:fill="FFFFFF"/>
        </w:rPr>
        <w:t>.</w:t>
      </w:r>
    </w:p>
    <w:p w14:paraId="21C483EA" w14:textId="573708BC" w:rsidR="003471DB" w:rsidRPr="009A217D" w:rsidRDefault="003471DB" w:rsidP="00FF6D96">
      <w:pPr>
        <w:spacing w:line="360" w:lineRule="auto"/>
        <w:ind w:left="709" w:hanging="709"/>
        <w:jc w:val="both"/>
        <w:rPr>
          <w:rFonts w:ascii="Times New Roman" w:hAnsi="Times New Roman" w:cs="Times New Roman"/>
        </w:rPr>
      </w:pPr>
      <w:r w:rsidRPr="009A217D">
        <w:rPr>
          <w:rFonts w:ascii="Times New Roman" w:hAnsi="Times New Roman" w:cs="Times New Roman"/>
        </w:rPr>
        <w:t xml:space="preserve">Pérez, E., Vázquez, A. </w:t>
      </w:r>
      <w:r w:rsidR="00004EE6">
        <w:rPr>
          <w:rFonts w:ascii="Times New Roman" w:hAnsi="Times New Roman" w:cs="Times New Roman"/>
        </w:rPr>
        <w:t>y</w:t>
      </w:r>
      <w:r w:rsidRPr="009A217D">
        <w:rPr>
          <w:rFonts w:ascii="Times New Roman" w:hAnsi="Times New Roman" w:cs="Times New Roman"/>
        </w:rPr>
        <w:t xml:space="preserve"> Cambero, S. (2020). Educación a distancia en tiempos de COVID-19: Análisis desde la perspectiva de los estudiantes universitarios. </w:t>
      </w:r>
      <w:r w:rsidRPr="009A217D">
        <w:rPr>
          <w:rFonts w:ascii="Times New Roman" w:hAnsi="Times New Roman" w:cs="Times New Roman"/>
          <w:i/>
          <w:iCs/>
        </w:rPr>
        <w:t>RIED</w:t>
      </w:r>
      <w:r w:rsidR="00C74C77">
        <w:rPr>
          <w:rFonts w:ascii="Times New Roman" w:hAnsi="Times New Roman" w:cs="Times New Roman"/>
          <w:i/>
          <w:iCs/>
        </w:rPr>
        <w:t>-</w:t>
      </w:r>
      <w:r w:rsidRPr="009A217D">
        <w:rPr>
          <w:rFonts w:ascii="Times New Roman" w:hAnsi="Times New Roman" w:cs="Times New Roman"/>
          <w:i/>
          <w:iCs/>
        </w:rPr>
        <w:t>Revista Iberoamericana de Educación a Distancia</w:t>
      </w:r>
      <w:r w:rsidRPr="009A217D">
        <w:rPr>
          <w:rFonts w:ascii="Times New Roman" w:hAnsi="Times New Roman" w:cs="Times New Roman"/>
        </w:rPr>
        <w:t xml:space="preserve">, </w:t>
      </w:r>
      <w:r w:rsidRPr="00421EB7">
        <w:rPr>
          <w:rFonts w:ascii="Times New Roman" w:hAnsi="Times New Roman" w:cs="Times New Roman"/>
          <w:i/>
          <w:iCs/>
        </w:rPr>
        <w:t>24</w:t>
      </w:r>
      <w:r w:rsidRPr="009A217D">
        <w:rPr>
          <w:rFonts w:ascii="Times New Roman" w:hAnsi="Times New Roman" w:cs="Times New Roman"/>
        </w:rPr>
        <w:t xml:space="preserve">(1), 331-350. </w:t>
      </w:r>
      <w:r w:rsidR="00004EE6">
        <w:rPr>
          <w:rFonts w:ascii="Times New Roman" w:hAnsi="Times New Roman" w:cs="Times New Roman"/>
        </w:rPr>
        <w:t xml:space="preserve">Recuperado de </w:t>
      </w:r>
      <w:r w:rsidRPr="00716897">
        <w:rPr>
          <w:rFonts w:ascii="Times New Roman" w:hAnsi="Times New Roman" w:cs="Times New Roman"/>
        </w:rPr>
        <w:t>http://revistas.uned.es/index.php/ried/article/view/27855</w:t>
      </w:r>
      <w:r w:rsidR="00004EE6">
        <w:rPr>
          <w:rFonts w:ascii="Times New Roman" w:hAnsi="Times New Roman" w:cs="Times New Roman"/>
        </w:rPr>
        <w:t>.</w:t>
      </w:r>
    </w:p>
    <w:p w14:paraId="0073BF75" w14:textId="659649D8" w:rsidR="007A2154" w:rsidRPr="009A217D" w:rsidRDefault="00921CEB" w:rsidP="00FF6D96">
      <w:pPr>
        <w:shd w:val="clear" w:color="auto" w:fill="FFFFFF"/>
        <w:spacing w:line="360" w:lineRule="auto"/>
        <w:ind w:left="709" w:hanging="709"/>
        <w:jc w:val="both"/>
        <w:rPr>
          <w:rFonts w:ascii="Times New Roman" w:eastAsia="Times New Roman" w:hAnsi="Times New Roman" w:cs="Times New Roman"/>
          <w:lang w:val="es-MX" w:eastAsia="es-MX"/>
        </w:rPr>
      </w:pPr>
      <w:r>
        <w:rPr>
          <w:rFonts w:ascii="Times New Roman" w:eastAsia="Times New Roman" w:hAnsi="Times New Roman" w:cs="Times New Roman"/>
          <w:lang w:val="es-MX" w:eastAsia="es-MX"/>
        </w:rPr>
        <w:t xml:space="preserve">de </w:t>
      </w:r>
      <w:r w:rsidR="007A2154" w:rsidRPr="009A217D">
        <w:rPr>
          <w:rFonts w:ascii="Times New Roman" w:eastAsia="Times New Roman" w:hAnsi="Times New Roman" w:cs="Times New Roman"/>
          <w:lang w:val="es-MX" w:eastAsia="es-MX"/>
        </w:rPr>
        <w:t xml:space="preserve">Pro, A. y Pérez, A. (2014) Actitudes de los alumnos de </w:t>
      </w:r>
      <w:r>
        <w:rPr>
          <w:rFonts w:ascii="Times New Roman" w:eastAsia="Times New Roman" w:hAnsi="Times New Roman" w:cs="Times New Roman"/>
          <w:lang w:val="es-MX" w:eastAsia="es-MX"/>
        </w:rPr>
        <w:t>p</w:t>
      </w:r>
      <w:r w:rsidR="007A2154" w:rsidRPr="009A217D">
        <w:rPr>
          <w:rFonts w:ascii="Times New Roman" w:eastAsia="Times New Roman" w:hAnsi="Times New Roman" w:cs="Times New Roman"/>
          <w:lang w:val="es-MX" w:eastAsia="es-MX"/>
        </w:rPr>
        <w:t xml:space="preserve">rimaria y </w:t>
      </w:r>
      <w:r>
        <w:rPr>
          <w:rFonts w:ascii="Times New Roman" w:eastAsia="Times New Roman" w:hAnsi="Times New Roman" w:cs="Times New Roman"/>
          <w:lang w:val="es-MX" w:eastAsia="es-MX"/>
        </w:rPr>
        <w:t>s</w:t>
      </w:r>
      <w:r w:rsidR="007A2154" w:rsidRPr="009A217D">
        <w:rPr>
          <w:rFonts w:ascii="Times New Roman" w:eastAsia="Times New Roman" w:hAnsi="Times New Roman" w:cs="Times New Roman"/>
          <w:lang w:val="es-MX" w:eastAsia="es-MX"/>
        </w:rPr>
        <w:t xml:space="preserve">ecundaria ante la visión dicotómica de la </w:t>
      </w:r>
      <w:r>
        <w:rPr>
          <w:rFonts w:ascii="Times New Roman" w:eastAsia="Times New Roman" w:hAnsi="Times New Roman" w:cs="Times New Roman"/>
          <w:lang w:val="es-MX" w:eastAsia="es-MX"/>
        </w:rPr>
        <w:t>c</w:t>
      </w:r>
      <w:r w:rsidR="007A2154" w:rsidRPr="009A217D">
        <w:rPr>
          <w:rFonts w:ascii="Times New Roman" w:eastAsia="Times New Roman" w:hAnsi="Times New Roman" w:cs="Times New Roman"/>
          <w:lang w:val="es-MX" w:eastAsia="es-MX"/>
        </w:rPr>
        <w:t xml:space="preserve">iencia. </w:t>
      </w:r>
      <w:r w:rsidR="007A2154" w:rsidRPr="009A217D">
        <w:rPr>
          <w:rFonts w:ascii="Times New Roman" w:eastAsia="Times New Roman" w:hAnsi="Times New Roman" w:cs="Times New Roman"/>
          <w:i/>
          <w:iCs/>
          <w:lang w:val="es-MX" w:eastAsia="es-MX"/>
        </w:rPr>
        <w:t>Enseñanza de las Ciencias</w:t>
      </w:r>
      <w:r w:rsidR="007A2154" w:rsidRPr="009A217D">
        <w:rPr>
          <w:rFonts w:ascii="Times New Roman" w:eastAsia="Times New Roman" w:hAnsi="Times New Roman" w:cs="Times New Roman"/>
          <w:lang w:val="es-MX" w:eastAsia="es-MX"/>
        </w:rPr>
        <w:t xml:space="preserve">, </w:t>
      </w:r>
      <w:r w:rsidR="007A2154" w:rsidRPr="00421EB7">
        <w:rPr>
          <w:rFonts w:ascii="Times New Roman" w:eastAsia="Times New Roman" w:hAnsi="Times New Roman" w:cs="Times New Roman"/>
          <w:i/>
          <w:iCs/>
          <w:lang w:val="es-MX" w:eastAsia="es-MX"/>
        </w:rPr>
        <w:t>32</w:t>
      </w:r>
      <w:r w:rsidR="007A2154" w:rsidRPr="009A217D">
        <w:rPr>
          <w:rFonts w:ascii="Times New Roman" w:eastAsia="Times New Roman" w:hAnsi="Times New Roman" w:cs="Times New Roman"/>
          <w:lang w:val="es-MX" w:eastAsia="es-MX"/>
        </w:rPr>
        <w:t>(3), 111-132</w:t>
      </w:r>
      <w:r w:rsidR="004633EB" w:rsidRPr="009A217D">
        <w:rPr>
          <w:rFonts w:ascii="Times New Roman" w:eastAsia="Times New Roman" w:hAnsi="Times New Roman" w:cs="Times New Roman"/>
          <w:lang w:val="es-MX" w:eastAsia="es-MX"/>
        </w:rPr>
        <w:t xml:space="preserve">. </w:t>
      </w:r>
      <w:r w:rsidR="00104363">
        <w:rPr>
          <w:rFonts w:ascii="Times New Roman" w:eastAsia="Times New Roman" w:hAnsi="Times New Roman" w:cs="Times New Roman"/>
          <w:lang w:val="es-MX" w:eastAsia="es-MX"/>
        </w:rPr>
        <w:t xml:space="preserve">Recuperado de </w:t>
      </w:r>
      <w:r w:rsidR="004633EB" w:rsidRPr="009A217D">
        <w:rPr>
          <w:rFonts w:ascii="Times New Roman" w:hAnsi="Times New Roman" w:cs="Times New Roman"/>
        </w:rPr>
        <w:t>http://dx.doi.org/10.5565/rev/ensciencias.1015</w:t>
      </w:r>
      <w:r w:rsidR="00104363">
        <w:rPr>
          <w:rFonts w:ascii="Times New Roman" w:hAnsi="Times New Roman" w:cs="Times New Roman"/>
        </w:rPr>
        <w:t>.</w:t>
      </w:r>
    </w:p>
    <w:p w14:paraId="323B5C6C" w14:textId="038DCF21" w:rsidR="009516CA" w:rsidRPr="009A217D" w:rsidRDefault="009516CA" w:rsidP="00FF6D96">
      <w:pPr>
        <w:pStyle w:val="Bibliografa"/>
        <w:spacing w:line="360" w:lineRule="auto"/>
        <w:ind w:left="720" w:hanging="720"/>
        <w:jc w:val="both"/>
        <w:rPr>
          <w:rFonts w:ascii="Times New Roman" w:hAnsi="Times New Roman" w:cs="Times New Roman"/>
          <w:noProof/>
        </w:rPr>
      </w:pPr>
      <w:r w:rsidRPr="009A217D">
        <w:rPr>
          <w:rFonts w:ascii="Times New Roman" w:hAnsi="Times New Roman" w:cs="Times New Roman"/>
          <w:noProof/>
        </w:rPr>
        <w:t xml:space="preserve">Retana, </w:t>
      </w:r>
      <w:r w:rsidR="006E6E04">
        <w:rPr>
          <w:rFonts w:ascii="Times New Roman" w:hAnsi="Times New Roman" w:cs="Times New Roman"/>
          <w:noProof/>
        </w:rPr>
        <w:t xml:space="preserve">D. </w:t>
      </w:r>
      <w:r w:rsidRPr="009A217D">
        <w:rPr>
          <w:rFonts w:ascii="Times New Roman" w:hAnsi="Times New Roman" w:cs="Times New Roman"/>
          <w:noProof/>
        </w:rPr>
        <w:t>A., V</w:t>
      </w:r>
      <w:r w:rsidR="006E6E04">
        <w:rPr>
          <w:rFonts w:ascii="Times New Roman" w:hAnsi="Times New Roman" w:cs="Times New Roman"/>
          <w:noProof/>
        </w:rPr>
        <w:t>á</w:t>
      </w:r>
      <w:r w:rsidRPr="009A217D">
        <w:rPr>
          <w:rFonts w:ascii="Times New Roman" w:hAnsi="Times New Roman" w:cs="Times New Roman"/>
          <w:noProof/>
        </w:rPr>
        <w:t xml:space="preserve">zquez, B. </w:t>
      </w:r>
      <w:r w:rsidR="00725D6E">
        <w:rPr>
          <w:rFonts w:ascii="Times New Roman" w:hAnsi="Times New Roman" w:cs="Times New Roman"/>
          <w:noProof/>
        </w:rPr>
        <w:t>y</w:t>
      </w:r>
      <w:r w:rsidRPr="009A217D">
        <w:rPr>
          <w:rFonts w:ascii="Times New Roman" w:hAnsi="Times New Roman" w:cs="Times New Roman"/>
          <w:noProof/>
        </w:rPr>
        <w:t xml:space="preserve"> Camacho, M. (2018). Las </w:t>
      </w:r>
      <w:r w:rsidR="006E6E04" w:rsidRPr="009A217D">
        <w:rPr>
          <w:rFonts w:ascii="Times New Roman" w:hAnsi="Times New Roman" w:cs="Times New Roman"/>
          <w:noProof/>
        </w:rPr>
        <w:t xml:space="preserve">ferias de ciencia y tecnología </w:t>
      </w:r>
      <w:r w:rsidRPr="009A217D">
        <w:rPr>
          <w:rFonts w:ascii="Times New Roman" w:hAnsi="Times New Roman" w:cs="Times New Roman"/>
          <w:noProof/>
        </w:rPr>
        <w:t xml:space="preserve">de Costa Rica y sus aportes a la educación secundaria. </w:t>
      </w:r>
      <w:r w:rsidRPr="009A217D">
        <w:rPr>
          <w:rFonts w:ascii="Times New Roman" w:hAnsi="Times New Roman" w:cs="Times New Roman"/>
          <w:i/>
          <w:iCs/>
          <w:noProof/>
        </w:rPr>
        <w:t>Actualidades Investigativas en Educación, 18</w:t>
      </w:r>
      <w:r w:rsidRPr="009A217D">
        <w:rPr>
          <w:rFonts w:ascii="Times New Roman" w:hAnsi="Times New Roman" w:cs="Times New Roman"/>
          <w:noProof/>
        </w:rPr>
        <w:t xml:space="preserve">(2), 1-44. </w:t>
      </w:r>
      <w:r w:rsidR="00725D6E">
        <w:rPr>
          <w:rFonts w:ascii="Times New Roman" w:hAnsi="Times New Roman" w:cs="Times New Roman"/>
          <w:noProof/>
        </w:rPr>
        <w:t xml:space="preserve">Recuperado de </w:t>
      </w:r>
      <w:r w:rsidRPr="009A217D">
        <w:rPr>
          <w:rFonts w:ascii="Times New Roman" w:hAnsi="Times New Roman" w:cs="Times New Roman"/>
          <w:noProof/>
        </w:rPr>
        <w:t>https://doi.org/10.15517/aie.v18i2.33170</w:t>
      </w:r>
      <w:r w:rsidR="00725D6E">
        <w:rPr>
          <w:rFonts w:ascii="Times New Roman" w:hAnsi="Times New Roman" w:cs="Times New Roman"/>
          <w:noProof/>
        </w:rPr>
        <w:t>.</w:t>
      </w:r>
    </w:p>
    <w:p w14:paraId="0B057674" w14:textId="724FDAA2" w:rsidR="003471DB" w:rsidRPr="009A217D" w:rsidRDefault="003471DB" w:rsidP="00FF6D96">
      <w:pPr>
        <w:pStyle w:val="Bibliografa"/>
        <w:spacing w:line="360" w:lineRule="auto"/>
        <w:ind w:left="720" w:hanging="709"/>
        <w:jc w:val="both"/>
        <w:rPr>
          <w:rFonts w:ascii="Times New Roman" w:hAnsi="Times New Roman" w:cs="Times New Roman"/>
          <w:noProof/>
          <w:lang w:val="es-ES"/>
        </w:rPr>
      </w:pPr>
      <w:r w:rsidRPr="009A217D">
        <w:rPr>
          <w:rFonts w:ascii="Times New Roman" w:hAnsi="Times New Roman" w:cs="Times New Roman"/>
          <w:noProof/>
          <w:lang w:val="es-ES"/>
        </w:rPr>
        <w:t xml:space="preserve">Rochin, B. F. (21 de mayo de 2021). Deserción escolar en la educación superior en México: revisión de literatura. </w:t>
      </w:r>
      <w:r w:rsidRPr="009A217D">
        <w:rPr>
          <w:rFonts w:ascii="Times New Roman" w:hAnsi="Times New Roman" w:cs="Times New Roman"/>
          <w:i/>
          <w:iCs/>
          <w:noProof/>
          <w:lang w:val="es-ES"/>
        </w:rPr>
        <w:t>RIDE. Revista Iberoamericana para la Investigación y el Desarrollo Educativo y el Desarrollo Educativo, II</w:t>
      </w:r>
      <w:r w:rsidRPr="009A217D">
        <w:rPr>
          <w:rFonts w:ascii="Times New Roman" w:hAnsi="Times New Roman" w:cs="Times New Roman"/>
          <w:noProof/>
          <w:lang w:val="es-ES"/>
        </w:rPr>
        <w:t xml:space="preserve">(22). </w:t>
      </w:r>
      <w:r w:rsidRPr="00716897">
        <w:rPr>
          <w:rFonts w:ascii="Times New Roman" w:hAnsi="Times New Roman" w:cs="Times New Roman"/>
          <w:noProof/>
          <w:lang w:val="es-ES"/>
        </w:rPr>
        <w:t>https://doi.org/10.23913/ride.v11i22.821</w:t>
      </w:r>
      <w:r w:rsidR="00296412">
        <w:rPr>
          <w:rFonts w:ascii="Times New Roman" w:hAnsi="Times New Roman" w:cs="Times New Roman"/>
          <w:noProof/>
          <w:lang w:val="es-ES"/>
        </w:rPr>
        <w:t xml:space="preserve"> </w:t>
      </w:r>
    </w:p>
    <w:p w14:paraId="156D091F" w14:textId="51490D8D" w:rsidR="00DC0863" w:rsidRPr="009A217D" w:rsidRDefault="00DC0863" w:rsidP="00FF6D96">
      <w:pPr>
        <w:spacing w:line="360" w:lineRule="auto"/>
        <w:ind w:left="709" w:hanging="709"/>
        <w:jc w:val="both"/>
        <w:rPr>
          <w:rFonts w:ascii="Times New Roman" w:hAnsi="Times New Roman" w:cs="Times New Roman"/>
          <w:noProof/>
          <w:lang w:val="es-ES"/>
        </w:rPr>
      </w:pPr>
      <w:r w:rsidRPr="009A217D">
        <w:rPr>
          <w:rFonts w:ascii="Times New Roman" w:hAnsi="Times New Roman" w:cs="Times New Roman"/>
          <w:noProof/>
          <w:lang w:val="es-ES"/>
        </w:rPr>
        <w:t xml:space="preserve">Rodríguez, M. del C., Sánchez, E. </w:t>
      </w:r>
      <w:r w:rsidR="00274F24">
        <w:rPr>
          <w:rFonts w:ascii="Times New Roman" w:hAnsi="Times New Roman" w:cs="Times New Roman"/>
          <w:noProof/>
          <w:lang w:val="es-ES"/>
        </w:rPr>
        <w:t>y</w:t>
      </w:r>
      <w:r w:rsidRPr="009A217D">
        <w:rPr>
          <w:rFonts w:ascii="Times New Roman" w:hAnsi="Times New Roman" w:cs="Times New Roman"/>
          <w:noProof/>
          <w:lang w:val="es-ES"/>
        </w:rPr>
        <w:t xml:space="preserve"> Labajos, M. T. (2017). Vocación ocupacional y género en estudiantes universitarios de Ciencias de la Salud. </w:t>
      </w:r>
      <w:r w:rsidRPr="009A217D">
        <w:rPr>
          <w:rFonts w:ascii="Times New Roman" w:hAnsi="Times New Roman" w:cs="Times New Roman"/>
          <w:i/>
          <w:iCs/>
          <w:noProof/>
          <w:lang w:val="es-ES"/>
        </w:rPr>
        <w:t>Revista Latinoamericana de Ciencias Sociales, Niñez y Juventud</w:t>
      </w:r>
      <w:r w:rsidRPr="009A217D">
        <w:rPr>
          <w:rFonts w:ascii="Times New Roman" w:hAnsi="Times New Roman" w:cs="Times New Roman"/>
          <w:noProof/>
          <w:lang w:val="es-ES"/>
        </w:rPr>
        <w:t xml:space="preserve">, </w:t>
      </w:r>
      <w:r w:rsidRPr="00421EB7">
        <w:rPr>
          <w:rFonts w:ascii="Times New Roman" w:hAnsi="Times New Roman" w:cs="Times New Roman"/>
          <w:i/>
          <w:iCs/>
          <w:noProof/>
          <w:lang w:val="es-ES"/>
        </w:rPr>
        <w:t>15</w:t>
      </w:r>
      <w:r w:rsidRPr="009A217D">
        <w:rPr>
          <w:rFonts w:ascii="Times New Roman" w:hAnsi="Times New Roman" w:cs="Times New Roman"/>
          <w:noProof/>
          <w:lang w:val="es-ES"/>
        </w:rPr>
        <w:t>(1),</w:t>
      </w:r>
      <w:r w:rsidR="00274F24">
        <w:rPr>
          <w:rFonts w:ascii="Times New Roman" w:hAnsi="Times New Roman" w:cs="Times New Roman"/>
          <w:noProof/>
          <w:lang w:val="es-ES"/>
        </w:rPr>
        <w:t xml:space="preserve"> </w:t>
      </w:r>
      <w:r w:rsidRPr="009A217D">
        <w:rPr>
          <w:rFonts w:ascii="Times New Roman" w:hAnsi="Times New Roman" w:cs="Times New Roman"/>
          <w:noProof/>
          <w:lang w:val="es-ES"/>
        </w:rPr>
        <w:t>345-356.</w:t>
      </w:r>
      <w:r w:rsidR="00274F24">
        <w:rPr>
          <w:rFonts w:ascii="Times New Roman" w:hAnsi="Times New Roman" w:cs="Times New Roman"/>
          <w:noProof/>
          <w:lang w:val="es-ES"/>
        </w:rPr>
        <w:t xml:space="preserve"> Recuperado de</w:t>
      </w:r>
      <w:r w:rsidR="00366D4E">
        <w:rPr>
          <w:rFonts w:ascii="Times New Roman" w:hAnsi="Times New Roman" w:cs="Times New Roman"/>
          <w:noProof/>
          <w:lang w:val="es-ES"/>
        </w:rPr>
        <w:t xml:space="preserve"> </w:t>
      </w:r>
      <w:r w:rsidRPr="00716897">
        <w:rPr>
          <w:rFonts w:ascii="Times New Roman" w:hAnsi="Times New Roman" w:cs="Times New Roman"/>
          <w:noProof/>
          <w:lang w:val="es-ES"/>
        </w:rPr>
        <w:t>https://www.redalyc.org/articulo.oa?id=77349627022</w:t>
      </w:r>
      <w:r w:rsidR="00274F24">
        <w:rPr>
          <w:rFonts w:ascii="Times New Roman" w:hAnsi="Times New Roman" w:cs="Times New Roman"/>
          <w:noProof/>
          <w:lang w:val="es-ES"/>
        </w:rPr>
        <w:t>.</w:t>
      </w:r>
    </w:p>
    <w:p w14:paraId="5413975F" w14:textId="7A99C7EA" w:rsidR="002B0B34" w:rsidRPr="009A217D" w:rsidRDefault="002B0B34" w:rsidP="00FF6D96">
      <w:pPr>
        <w:spacing w:line="360" w:lineRule="auto"/>
        <w:ind w:left="709" w:hanging="709"/>
        <w:jc w:val="both"/>
        <w:rPr>
          <w:rFonts w:ascii="Times New Roman" w:hAnsi="Times New Roman" w:cs="Times New Roman"/>
          <w:noProof/>
        </w:rPr>
      </w:pPr>
      <w:r w:rsidRPr="009A217D">
        <w:rPr>
          <w:rFonts w:ascii="Times New Roman" w:hAnsi="Times New Roman" w:cs="Times New Roman"/>
          <w:noProof/>
        </w:rPr>
        <w:t xml:space="preserve">Sanabria, M. y Moreno, D. (2018). Un aporte a la comprensión de las estrategias emergentes en las organizaciones a través del concepto de improvisación y la metáfora musical. </w:t>
      </w:r>
      <w:r w:rsidRPr="009A217D">
        <w:rPr>
          <w:rFonts w:ascii="Times New Roman" w:hAnsi="Times New Roman" w:cs="Times New Roman"/>
          <w:i/>
          <w:iCs/>
          <w:noProof/>
        </w:rPr>
        <w:t>Revista de la Facultad de Ciencias Económicas: Investigación y Reflexión</w:t>
      </w:r>
      <w:r w:rsidRPr="009A217D">
        <w:rPr>
          <w:rFonts w:ascii="Times New Roman" w:hAnsi="Times New Roman" w:cs="Times New Roman"/>
          <w:noProof/>
        </w:rPr>
        <w:t xml:space="preserve">, </w:t>
      </w:r>
      <w:r w:rsidR="0092163A" w:rsidRPr="00421EB7">
        <w:rPr>
          <w:rFonts w:ascii="Times New Roman" w:hAnsi="Times New Roman" w:cs="Times New Roman"/>
          <w:i/>
          <w:iCs/>
          <w:noProof/>
        </w:rPr>
        <w:t>26</w:t>
      </w:r>
      <w:r w:rsidRPr="009A217D">
        <w:rPr>
          <w:rFonts w:ascii="Times New Roman" w:hAnsi="Times New Roman" w:cs="Times New Roman"/>
          <w:noProof/>
        </w:rPr>
        <w:t>(1),</w:t>
      </w:r>
      <w:r w:rsidR="0092163A">
        <w:rPr>
          <w:rFonts w:ascii="Times New Roman" w:hAnsi="Times New Roman" w:cs="Times New Roman"/>
          <w:noProof/>
        </w:rPr>
        <w:t xml:space="preserve"> </w:t>
      </w:r>
      <w:r w:rsidRPr="009A217D">
        <w:rPr>
          <w:rFonts w:ascii="Times New Roman" w:hAnsi="Times New Roman" w:cs="Times New Roman"/>
          <w:noProof/>
        </w:rPr>
        <w:t xml:space="preserve">27-68. </w:t>
      </w:r>
      <w:r w:rsidR="0092163A">
        <w:rPr>
          <w:rFonts w:ascii="Times New Roman" w:hAnsi="Times New Roman" w:cs="Times New Roman"/>
          <w:noProof/>
        </w:rPr>
        <w:t xml:space="preserve">Recuperado de </w:t>
      </w:r>
      <w:r w:rsidRPr="009A217D">
        <w:rPr>
          <w:rFonts w:ascii="Times New Roman" w:hAnsi="Times New Roman" w:cs="Times New Roman"/>
          <w:noProof/>
        </w:rPr>
        <w:t xml:space="preserve">https://www.redalyc.org/articulo.oa?id=90953767003 </w:t>
      </w:r>
    </w:p>
    <w:p w14:paraId="57FD6666" w14:textId="61465A89" w:rsidR="007C22FC" w:rsidRPr="009A217D" w:rsidRDefault="007C22FC" w:rsidP="00FF6D96">
      <w:pPr>
        <w:spacing w:line="360" w:lineRule="auto"/>
        <w:ind w:left="709" w:hanging="709"/>
        <w:jc w:val="both"/>
        <w:rPr>
          <w:rFonts w:ascii="Times New Roman" w:hAnsi="Times New Roman" w:cs="Times New Roman"/>
          <w:noProof/>
        </w:rPr>
      </w:pPr>
      <w:r w:rsidRPr="009A217D">
        <w:rPr>
          <w:rFonts w:ascii="Times New Roman" w:hAnsi="Times New Roman" w:cs="Times New Roman"/>
          <w:noProof/>
        </w:rPr>
        <w:t>Santoveña, S</w:t>
      </w:r>
      <w:r w:rsidR="00D44570" w:rsidRPr="009A217D">
        <w:rPr>
          <w:rFonts w:ascii="Times New Roman" w:hAnsi="Times New Roman" w:cs="Times New Roman"/>
          <w:noProof/>
        </w:rPr>
        <w:t>.</w:t>
      </w:r>
      <w:r w:rsidRPr="009A217D">
        <w:rPr>
          <w:rFonts w:ascii="Times New Roman" w:hAnsi="Times New Roman" w:cs="Times New Roman"/>
          <w:noProof/>
        </w:rPr>
        <w:t xml:space="preserve"> M</w:t>
      </w:r>
      <w:r w:rsidR="00D44570" w:rsidRPr="009A217D">
        <w:rPr>
          <w:rFonts w:ascii="Times New Roman" w:hAnsi="Times New Roman" w:cs="Times New Roman"/>
          <w:noProof/>
        </w:rPr>
        <w:t>.</w:t>
      </w:r>
      <w:r w:rsidRPr="009A217D">
        <w:rPr>
          <w:rFonts w:ascii="Times New Roman" w:hAnsi="Times New Roman" w:cs="Times New Roman"/>
          <w:noProof/>
        </w:rPr>
        <w:t xml:space="preserve"> (2010). Cuestionario de evaluación de la calidad de los cursos virtuales de la UNED. </w:t>
      </w:r>
      <w:r w:rsidR="0004486A">
        <w:rPr>
          <w:rFonts w:ascii="Times New Roman" w:hAnsi="Times New Roman" w:cs="Times New Roman"/>
          <w:i/>
          <w:iCs/>
          <w:noProof/>
        </w:rPr>
        <w:t>RED</w:t>
      </w:r>
      <w:r w:rsidRPr="009A217D">
        <w:rPr>
          <w:rFonts w:ascii="Times New Roman" w:hAnsi="Times New Roman" w:cs="Times New Roman"/>
          <w:i/>
          <w:iCs/>
          <w:noProof/>
        </w:rPr>
        <w:t>. Revista de Educación a Distancia</w:t>
      </w:r>
      <w:r w:rsidRPr="009A217D">
        <w:rPr>
          <w:rFonts w:ascii="Times New Roman" w:hAnsi="Times New Roman" w:cs="Times New Roman"/>
          <w:noProof/>
        </w:rPr>
        <w:t>,</w:t>
      </w:r>
      <w:r w:rsidR="00296412">
        <w:rPr>
          <w:rFonts w:ascii="Times New Roman" w:hAnsi="Times New Roman" w:cs="Times New Roman"/>
          <w:noProof/>
        </w:rPr>
        <w:t xml:space="preserve"> </w:t>
      </w:r>
      <w:r w:rsidRPr="009A217D">
        <w:rPr>
          <w:rFonts w:ascii="Times New Roman" w:hAnsi="Times New Roman" w:cs="Times New Roman"/>
          <w:noProof/>
        </w:rPr>
        <w:t>(25),</w:t>
      </w:r>
      <w:r w:rsidR="00600741">
        <w:rPr>
          <w:rFonts w:ascii="Times New Roman" w:hAnsi="Times New Roman" w:cs="Times New Roman"/>
          <w:noProof/>
        </w:rPr>
        <w:t xml:space="preserve"> </w:t>
      </w:r>
      <w:r w:rsidRPr="009A217D">
        <w:rPr>
          <w:rFonts w:ascii="Times New Roman" w:hAnsi="Times New Roman" w:cs="Times New Roman"/>
          <w:noProof/>
        </w:rPr>
        <w:t>1-22.</w:t>
      </w:r>
      <w:r w:rsidR="00D44570" w:rsidRPr="009A217D">
        <w:rPr>
          <w:rFonts w:ascii="Times New Roman" w:hAnsi="Times New Roman" w:cs="Times New Roman"/>
          <w:noProof/>
        </w:rPr>
        <w:t xml:space="preserve"> </w:t>
      </w:r>
      <w:r w:rsidR="00600741">
        <w:rPr>
          <w:rFonts w:ascii="Times New Roman" w:hAnsi="Times New Roman" w:cs="Times New Roman"/>
          <w:noProof/>
        </w:rPr>
        <w:t xml:space="preserve">Recuperado de </w:t>
      </w:r>
      <w:r w:rsidRPr="00716897">
        <w:rPr>
          <w:rFonts w:ascii="Times New Roman" w:hAnsi="Times New Roman" w:cs="Times New Roman"/>
          <w:noProof/>
        </w:rPr>
        <w:t>https://www.redalyc.org/articulo.oa?id=54717071003</w:t>
      </w:r>
      <w:r w:rsidR="00600741">
        <w:rPr>
          <w:rFonts w:ascii="Times New Roman" w:hAnsi="Times New Roman" w:cs="Times New Roman"/>
          <w:noProof/>
        </w:rPr>
        <w:t>.</w:t>
      </w:r>
    </w:p>
    <w:p w14:paraId="1E256544" w14:textId="1431641F" w:rsidR="00BD4FDB" w:rsidRPr="009A217D" w:rsidRDefault="00BD4FDB" w:rsidP="00FF6D96">
      <w:pPr>
        <w:spacing w:line="360" w:lineRule="auto"/>
        <w:ind w:left="709" w:hanging="709"/>
        <w:jc w:val="both"/>
        <w:rPr>
          <w:rFonts w:ascii="Times New Roman" w:hAnsi="Times New Roman" w:cs="Times New Roman"/>
          <w:noProof/>
          <w:lang w:val="es-ES"/>
        </w:rPr>
      </w:pPr>
      <w:r w:rsidRPr="009A217D">
        <w:rPr>
          <w:rFonts w:ascii="Times New Roman" w:hAnsi="Times New Roman" w:cs="Times New Roman"/>
          <w:noProof/>
        </w:rPr>
        <w:t xml:space="preserve">Secretaría de Educación Pública </w:t>
      </w:r>
      <w:r w:rsidR="00523663" w:rsidRPr="009A217D">
        <w:rPr>
          <w:rFonts w:ascii="Times New Roman" w:hAnsi="Times New Roman" w:cs="Times New Roman"/>
          <w:noProof/>
        </w:rPr>
        <w:t>[</w:t>
      </w:r>
      <w:r w:rsidRPr="009A217D">
        <w:rPr>
          <w:rFonts w:ascii="Times New Roman" w:hAnsi="Times New Roman" w:cs="Times New Roman"/>
          <w:noProof/>
        </w:rPr>
        <w:t>SEP]. (2021).</w:t>
      </w:r>
      <w:r w:rsidRPr="009A217D">
        <w:rPr>
          <w:rFonts w:ascii="Times New Roman" w:hAnsi="Times New Roman" w:cs="Times New Roman"/>
          <w:i/>
          <w:iCs/>
          <w:noProof/>
        </w:rPr>
        <w:t xml:space="preserve"> </w:t>
      </w:r>
      <w:r w:rsidRPr="00421EB7">
        <w:rPr>
          <w:rFonts w:ascii="Times New Roman" w:hAnsi="Times New Roman" w:cs="Times New Roman"/>
          <w:noProof/>
        </w:rPr>
        <w:t xml:space="preserve">Sistema </w:t>
      </w:r>
      <w:r w:rsidR="00B93575" w:rsidRPr="00421EB7">
        <w:rPr>
          <w:rFonts w:ascii="Times New Roman" w:hAnsi="Times New Roman" w:cs="Times New Roman"/>
          <w:noProof/>
        </w:rPr>
        <w:t xml:space="preserve">Interactivo </w:t>
      </w:r>
      <w:r w:rsidRPr="00421EB7">
        <w:rPr>
          <w:rFonts w:ascii="Times New Roman" w:hAnsi="Times New Roman" w:cs="Times New Roman"/>
          <w:noProof/>
        </w:rPr>
        <w:t>de Consulta de Estadística Educativa</w:t>
      </w:r>
      <w:r w:rsidRPr="009A217D">
        <w:rPr>
          <w:rFonts w:ascii="Times New Roman" w:hAnsi="Times New Roman" w:cs="Times New Roman"/>
          <w:i/>
          <w:iCs/>
          <w:noProof/>
        </w:rPr>
        <w:t xml:space="preserve">. </w:t>
      </w:r>
      <w:r w:rsidR="00B93575">
        <w:rPr>
          <w:rFonts w:ascii="Times New Roman" w:hAnsi="Times New Roman" w:cs="Times New Roman"/>
          <w:noProof/>
        </w:rPr>
        <w:t xml:space="preserve">México: </w:t>
      </w:r>
      <w:r w:rsidR="00523663" w:rsidRPr="00421EB7">
        <w:rPr>
          <w:rStyle w:val="Textoennegrita"/>
          <w:rFonts w:ascii="Times New Roman" w:hAnsi="Times New Roman" w:cs="Times New Roman"/>
          <w:b w:val="0"/>
          <w:bCs w:val="0"/>
        </w:rPr>
        <w:t xml:space="preserve">Dirección General de Planeación, Programación y </w:t>
      </w:r>
      <w:r w:rsidR="00523663" w:rsidRPr="00421EB7">
        <w:rPr>
          <w:rStyle w:val="Textoennegrita"/>
          <w:rFonts w:ascii="Times New Roman" w:hAnsi="Times New Roman" w:cs="Times New Roman"/>
          <w:b w:val="0"/>
          <w:bCs w:val="0"/>
        </w:rPr>
        <w:lastRenderedPageBreak/>
        <w:t>Estadística Educativa</w:t>
      </w:r>
      <w:r w:rsidR="00B93575">
        <w:rPr>
          <w:rStyle w:val="Textoennegrita"/>
          <w:rFonts w:ascii="Times New Roman" w:hAnsi="Times New Roman" w:cs="Times New Roman"/>
          <w:b w:val="0"/>
          <w:bCs w:val="0"/>
          <w:color w:val="404041"/>
        </w:rPr>
        <w:t xml:space="preserve">. </w:t>
      </w:r>
      <w:r w:rsidR="00B93575" w:rsidRPr="00421EB7">
        <w:rPr>
          <w:rStyle w:val="Textoennegrita"/>
          <w:rFonts w:ascii="Times New Roman" w:hAnsi="Times New Roman" w:cs="Times New Roman"/>
          <w:b w:val="0"/>
          <w:bCs w:val="0"/>
        </w:rPr>
        <w:t>Recuperado de</w:t>
      </w:r>
      <w:r w:rsidR="00B93575">
        <w:rPr>
          <w:rStyle w:val="Textoennegrita"/>
          <w:rFonts w:ascii="Times New Roman" w:hAnsi="Times New Roman" w:cs="Times New Roman"/>
          <w:b w:val="0"/>
          <w:bCs w:val="0"/>
          <w:color w:val="404041"/>
        </w:rPr>
        <w:t xml:space="preserve"> </w:t>
      </w:r>
      <w:r w:rsidRPr="00716897">
        <w:rPr>
          <w:rFonts w:ascii="Times New Roman" w:hAnsi="Times New Roman" w:cs="Times New Roman"/>
          <w:noProof/>
        </w:rPr>
        <w:t>https://www.planeacion.sep.gob.mx/principalescifras/</w:t>
      </w:r>
      <w:r w:rsidR="00B93575">
        <w:rPr>
          <w:rFonts w:ascii="Times New Roman" w:hAnsi="Times New Roman" w:cs="Times New Roman"/>
          <w:i/>
          <w:iCs/>
          <w:noProof/>
        </w:rPr>
        <w:t>.</w:t>
      </w:r>
    </w:p>
    <w:p w14:paraId="6B9DEB2F" w14:textId="3DD765F9" w:rsidR="003471DB" w:rsidRPr="009A217D" w:rsidRDefault="003471DB" w:rsidP="00FF6D96">
      <w:pPr>
        <w:spacing w:line="360" w:lineRule="auto"/>
        <w:ind w:left="709" w:hanging="709"/>
        <w:jc w:val="both"/>
        <w:rPr>
          <w:rFonts w:ascii="Times New Roman" w:hAnsi="Times New Roman" w:cs="Times New Roman"/>
          <w:b/>
          <w:bCs/>
          <w:color w:val="FF0000"/>
          <w:lang w:val="es-MX"/>
        </w:rPr>
      </w:pPr>
      <w:r w:rsidRPr="009A217D">
        <w:rPr>
          <w:rFonts w:ascii="Times New Roman" w:hAnsi="Times New Roman" w:cs="Times New Roman"/>
          <w:noProof/>
          <w:lang w:val="es-ES"/>
        </w:rPr>
        <w:t>Silas, J.</w:t>
      </w:r>
      <w:r w:rsidR="00AD6DE5" w:rsidRPr="00AD6DE5">
        <w:rPr>
          <w:rFonts w:ascii="Times New Roman" w:hAnsi="Times New Roman" w:cs="Times New Roman"/>
          <w:noProof/>
          <w:lang w:val="es-ES"/>
        </w:rPr>
        <w:t xml:space="preserve"> </w:t>
      </w:r>
      <w:r w:rsidR="00AD6DE5" w:rsidRPr="009A217D">
        <w:rPr>
          <w:rFonts w:ascii="Times New Roman" w:hAnsi="Times New Roman" w:cs="Times New Roman"/>
          <w:noProof/>
          <w:lang w:val="es-ES"/>
        </w:rPr>
        <w:t xml:space="preserve">C. </w:t>
      </w:r>
      <w:r w:rsidRPr="009A217D">
        <w:rPr>
          <w:rFonts w:ascii="Times New Roman" w:hAnsi="Times New Roman" w:cs="Times New Roman"/>
          <w:noProof/>
          <w:lang w:val="es-ES"/>
        </w:rPr>
        <w:t xml:space="preserve">(2012). Percepción de los estudiantes de nivel medio superior sobre la educación superior. Dos ciudades y cinco instituciones. </w:t>
      </w:r>
      <w:r w:rsidRPr="009A217D">
        <w:rPr>
          <w:rFonts w:ascii="Times New Roman" w:hAnsi="Times New Roman" w:cs="Times New Roman"/>
          <w:i/>
          <w:iCs/>
          <w:noProof/>
          <w:lang w:val="es-ES"/>
        </w:rPr>
        <w:t>Sinéctica</w:t>
      </w:r>
      <w:r w:rsidR="00D11263">
        <w:rPr>
          <w:rFonts w:ascii="Times New Roman" w:hAnsi="Times New Roman" w:cs="Times New Roman"/>
          <w:i/>
          <w:iCs/>
          <w:noProof/>
          <w:lang w:val="es-ES"/>
        </w:rPr>
        <w:t>,</w:t>
      </w:r>
      <w:r w:rsidR="006231C8" w:rsidRPr="009A217D">
        <w:rPr>
          <w:rFonts w:ascii="Times New Roman" w:hAnsi="Times New Roman" w:cs="Times New Roman"/>
          <w:i/>
          <w:iCs/>
          <w:noProof/>
          <w:lang w:val="es-ES"/>
        </w:rPr>
        <w:t xml:space="preserve"> </w:t>
      </w:r>
      <w:r w:rsidRPr="009A217D">
        <w:rPr>
          <w:rFonts w:ascii="Times New Roman" w:hAnsi="Times New Roman" w:cs="Times New Roman"/>
          <w:noProof/>
          <w:lang w:val="es-ES"/>
        </w:rPr>
        <w:t xml:space="preserve">(38). </w:t>
      </w:r>
      <w:r w:rsidR="00AD6DE5">
        <w:rPr>
          <w:rFonts w:ascii="Times New Roman" w:hAnsi="Times New Roman" w:cs="Times New Roman"/>
          <w:noProof/>
          <w:lang w:val="es-ES"/>
        </w:rPr>
        <w:t xml:space="preserve">Recuperado de </w:t>
      </w:r>
      <w:r w:rsidRPr="00716897">
        <w:rPr>
          <w:rFonts w:ascii="Times New Roman" w:hAnsi="Times New Roman" w:cs="Times New Roman"/>
          <w:noProof/>
          <w:lang w:val="es-ES"/>
        </w:rPr>
        <w:t>http://www.scielo.org.mx/scielo.php?script=sci_arttext&amp;pid=S1665-109X2012000100010</w:t>
      </w:r>
      <w:r w:rsidR="00AD6DE5">
        <w:rPr>
          <w:rFonts w:ascii="Times New Roman" w:hAnsi="Times New Roman" w:cs="Times New Roman"/>
          <w:noProof/>
          <w:lang w:val="es-ES"/>
        </w:rPr>
        <w:t>.</w:t>
      </w:r>
    </w:p>
    <w:p w14:paraId="49EE8BAF" w14:textId="69398A08" w:rsidR="006636DF" w:rsidRPr="009A217D" w:rsidRDefault="006636DF" w:rsidP="00FF6D96">
      <w:pPr>
        <w:autoSpaceDE w:val="0"/>
        <w:autoSpaceDN w:val="0"/>
        <w:adjustRightInd w:val="0"/>
        <w:spacing w:line="360" w:lineRule="auto"/>
        <w:ind w:left="709" w:hanging="709"/>
        <w:jc w:val="both"/>
        <w:rPr>
          <w:rFonts w:ascii="Times New Roman" w:eastAsiaTheme="minorHAnsi" w:hAnsi="Times New Roman" w:cs="Times New Roman"/>
          <w:lang w:val="es-MX" w:eastAsia="en-US"/>
        </w:rPr>
      </w:pPr>
      <w:r w:rsidRPr="009A217D">
        <w:rPr>
          <w:rFonts w:ascii="Times New Roman" w:hAnsi="Times New Roman" w:cs="Times New Roman"/>
          <w:lang w:val="es-MX"/>
        </w:rPr>
        <w:t xml:space="preserve">Simarro, C. (2015). </w:t>
      </w:r>
      <w:r w:rsidRPr="00421EB7">
        <w:rPr>
          <w:rFonts w:ascii="Times New Roman" w:eastAsiaTheme="minorHAnsi" w:hAnsi="Times New Roman" w:cs="Times New Roman"/>
          <w:lang w:val="es-MX" w:eastAsia="en-US"/>
        </w:rPr>
        <w:t>El fomento del interés por la educación científica entre los jóvenes: por un futuro mejor para los ciudadanos de</w:t>
      </w:r>
      <w:r w:rsidR="0032319A">
        <w:rPr>
          <w:rFonts w:ascii="Times New Roman" w:eastAsiaTheme="minorHAnsi" w:hAnsi="Times New Roman" w:cs="Times New Roman"/>
          <w:lang w:val="es-MX" w:eastAsia="en-US"/>
        </w:rPr>
        <w:t>l</w:t>
      </w:r>
      <w:r w:rsidRPr="00421EB7">
        <w:rPr>
          <w:rFonts w:ascii="Times New Roman" w:eastAsiaTheme="minorHAnsi" w:hAnsi="Times New Roman" w:cs="Times New Roman"/>
          <w:lang w:val="es-MX" w:eastAsia="en-US"/>
        </w:rPr>
        <w:t xml:space="preserve"> mañana</w:t>
      </w:r>
      <w:r w:rsidRPr="009A217D">
        <w:rPr>
          <w:rFonts w:ascii="Times New Roman" w:eastAsiaTheme="minorHAnsi" w:hAnsi="Times New Roman" w:cs="Times New Roman"/>
          <w:lang w:val="es-MX" w:eastAsia="en-US"/>
        </w:rPr>
        <w:t xml:space="preserve">. En Obra Social “La Caixa”, </w:t>
      </w:r>
      <w:r w:rsidR="00A40E5D">
        <w:rPr>
          <w:rFonts w:ascii="Times New Roman" w:eastAsiaTheme="minorHAnsi" w:hAnsi="Times New Roman" w:cs="Times New Roman"/>
          <w:lang w:val="es-MX" w:eastAsia="en-US"/>
        </w:rPr>
        <w:t xml:space="preserve">Fundación Española </w:t>
      </w:r>
      <w:r w:rsidR="009B1B33">
        <w:rPr>
          <w:rFonts w:ascii="Times New Roman" w:eastAsiaTheme="minorHAnsi" w:hAnsi="Times New Roman" w:cs="Times New Roman"/>
          <w:lang w:val="es-MX" w:eastAsia="en-US"/>
        </w:rPr>
        <w:t>para la Ciencia y la Tecnología</w:t>
      </w:r>
      <w:r w:rsidR="00A40E5D" w:rsidRPr="009A217D">
        <w:rPr>
          <w:rFonts w:ascii="Times New Roman" w:eastAsiaTheme="minorHAnsi" w:hAnsi="Times New Roman" w:cs="Times New Roman"/>
          <w:lang w:val="es-MX" w:eastAsia="en-US"/>
        </w:rPr>
        <w:t xml:space="preserve"> </w:t>
      </w:r>
      <w:r w:rsidRPr="009A217D">
        <w:rPr>
          <w:rFonts w:ascii="Times New Roman" w:eastAsiaTheme="minorHAnsi" w:hAnsi="Times New Roman" w:cs="Times New Roman"/>
          <w:lang w:val="es-MX" w:eastAsia="en-US"/>
        </w:rPr>
        <w:t xml:space="preserve">y </w:t>
      </w:r>
      <w:r w:rsidR="009B1B33">
        <w:rPr>
          <w:rFonts w:ascii="Times New Roman" w:eastAsiaTheme="minorHAnsi" w:hAnsi="Times New Roman" w:cs="Times New Roman"/>
          <w:lang w:val="es-MX" w:eastAsia="en-US"/>
        </w:rPr>
        <w:t>e</w:t>
      </w:r>
      <w:r w:rsidRPr="009A217D">
        <w:rPr>
          <w:rFonts w:ascii="Times New Roman" w:eastAsiaTheme="minorHAnsi" w:hAnsi="Times New Roman" w:cs="Times New Roman"/>
          <w:lang w:val="es-MX" w:eastAsia="en-US"/>
        </w:rPr>
        <w:t>ve</w:t>
      </w:r>
      <w:r w:rsidR="00C029B1" w:rsidRPr="009A217D">
        <w:rPr>
          <w:rFonts w:ascii="Times New Roman" w:eastAsiaTheme="minorHAnsi" w:hAnsi="Times New Roman" w:cs="Times New Roman"/>
          <w:lang w:val="es-MX" w:eastAsia="en-US"/>
        </w:rPr>
        <w:t>ris</w:t>
      </w:r>
      <w:r w:rsidR="00D114DF">
        <w:rPr>
          <w:rFonts w:ascii="Times New Roman" w:eastAsiaTheme="minorHAnsi" w:hAnsi="Times New Roman" w:cs="Times New Roman"/>
          <w:lang w:val="es-MX" w:eastAsia="en-US"/>
        </w:rPr>
        <w:t>,</w:t>
      </w:r>
      <w:r w:rsidR="00D114DF" w:rsidRPr="009A217D">
        <w:rPr>
          <w:rFonts w:ascii="Times New Roman" w:eastAsiaTheme="minorHAnsi" w:hAnsi="Times New Roman" w:cs="Times New Roman"/>
          <w:lang w:val="es-MX" w:eastAsia="en-US"/>
        </w:rPr>
        <w:t xml:space="preserve"> </w:t>
      </w:r>
      <w:r w:rsidRPr="00421EB7">
        <w:rPr>
          <w:rFonts w:ascii="Times New Roman" w:eastAsiaTheme="minorHAnsi" w:hAnsi="Times New Roman" w:cs="Times New Roman"/>
          <w:i/>
          <w:iCs/>
          <w:lang w:val="es-MX" w:eastAsia="en-US"/>
        </w:rPr>
        <w:t>¿Cómo podemos estimular una mente científica? Estudio sobre vocaciones científicas</w:t>
      </w:r>
      <w:r w:rsidR="00A40E5D">
        <w:rPr>
          <w:rFonts w:ascii="Times New Roman" w:eastAsiaTheme="minorHAnsi" w:hAnsi="Times New Roman" w:cs="Times New Roman"/>
          <w:i/>
          <w:iCs/>
          <w:lang w:val="es-MX" w:eastAsia="en-US"/>
        </w:rPr>
        <w:t xml:space="preserve"> </w:t>
      </w:r>
      <w:r w:rsidR="00A40E5D">
        <w:rPr>
          <w:rFonts w:ascii="Times New Roman" w:eastAsiaTheme="minorHAnsi" w:hAnsi="Times New Roman" w:cs="Times New Roman"/>
          <w:lang w:val="es-MX" w:eastAsia="en-US"/>
        </w:rPr>
        <w:t>(pp. 5-11)</w:t>
      </w:r>
      <w:r w:rsidRPr="009A217D">
        <w:rPr>
          <w:rFonts w:ascii="Times New Roman" w:eastAsiaTheme="minorHAnsi" w:hAnsi="Times New Roman" w:cs="Times New Roman"/>
          <w:lang w:val="es-MX" w:eastAsia="en-US"/>
        </w:rPr>
        <w:t>.</w:t>
      </w:r>
      <w:r w:rsidR="00D114DF">
        <w:rPr>
          <w:rFonts w:ascii="Times New Roman" w:eastAsiaTheme="minorHAnsi" w:hAnsi="Times New Roman" w:cs="Times New Roman"/>
          <w:lang w:val="es-MX" w:eastAsia="en-US"/>
        </w:rPr>
        <w:t xml:space="preserve"> </w:t>
      </w:r>
      <w:r w:rsidR="005C31E3">
        <w:rPr>
          <w:rFonts w:ascii="Times New Roman" w:eastAsiaTheme="minorHAnsi" w:hAnsi="Times New Roman" w:cs="Times New Roman"/>
          <w:lang w:val="es-MX" w:eastAsia="en-US"/>
        </w:rPr>
        <w:t xml:space="preserve">España: </w:t>
      </w:r>
      <w:r w:rsidR="005C31E3" w:rsidRPr="009A217D">
        <w:rPr>
          <w:rFonts w:ascii="Times New Roman" w:eastAsiaTheme="minorHAnsi" w:hAnsi="Times New Roman" w:cs="Times New Roman"/>
          <w:lang w:val="es-MX" w:eastAsia="en-US"/>
        </w:rPr>
        <w:t>Obra Social “La Caixa”</w:t>
      </w:r>
      <w:r w:rsidR="005C31E3">
        <w:rPr>
          <w:rFonts w:ascii="Times New Roman" w:eastAsiaTheme="minorHAnsi" w:hAnsi="Times New Roman" w:cs="Times New Roman"/>
          <w:lang w:val="es-MX" w:eastAsia="en-US"/>
        </w:rPr>
        <w:t xml:space="preserve">. </w:t>
      </w:r>
      <w:r w:rsidR="00D114DF">
        <w:rPr>
          <w:rFonts w:ascii="Times New Roman" w:eastAsiaTheme="minorHAnsi" w:hAnsi="Times New Roman" w:cs="Times New Roman"/>
          <w:lang w:val="es-MX" w:eastAsia="en-US"/>
        </w:rPr>
        <w:t>Recuperado de</w:t>
      </w:r>
      <w:r w:rsidRPr="009A217D">
        <w:rPr>
          <w:rFonts w:ascii="Times New Roman" w:eastAsiaTheme="minorHAnsi" w:hAnsi="Times New Roman" w:cs="Times New Roman"/>
          <w:lang w:val="es-MX" w:eastAsia="en-US"/>
        </w:rPr>
        <w:t xml:space="preserve"> </w:t>
      </w:r>
      <w:r w:rsidR="00C029B1" w:rsidRPr="00716897">
        <w:rPr>
          <w:rFonts w:ascii="Times New Roman" w:eastAsiaTheme="minorHAnsi" w:hAnsi="Times New Roman" w:cs="Times New Roman"/>
          <w:lang w:val="es-MX" w:eastAsia="en-US"/>
        </w:rPr>
        <w:t>https://www.fecyt.es/es/publicacion/como-podemos-estimular-una-mente-cientifica</w:t>
      </w:r>
      <w:r w:rsidR="00D114DF">
        <w:rPr>
          <w:rFonts w:ascii="Times New Roman" w:eastAsiaTheme="minorHAnsi" w:hAnsi="Times New Roman" w:cs="Times New Roman"/>
          <w:lang w:val="es-MX" w:eastAsia="en-US"/>
        </w:rPr>
        <w:t>.</w:t>
      </w:r>
    </w:p>
    <w:p w14:paraId="782E31E3" w14:textId="5F713EDA" w:rsidR="003471DB" w:rsidRPr="00421EB7" w:rsidRDefault="00DF46BD" w:rsidP="00FF6D96">
      <w:pPr>
        <w:shd w:val="clear" w:color="auto" w:fill="FFFFFF"/>
        <w:spacing w:line="360" w:lineRule="auto"/>
        <w:ind w:left="709" w:hanging="709"/>
        <w:jc w:val="both"/>
        <w:rPr>
          <w:rFonts w:ascii="Times New Roman" w:hAnsi="Times New Roman" w:cs="Times New Roman"/>
          <w:lang w:val="en-US"/>
        </w:rPr>
      </w:pPr>
      <w:r w:rsidRPr="00421EB7">
        <w:rPr>
          <w:rFonts w:ascii="Times New Roman" w:hAnsi="Times New Roman" w:cs="Times New Roman"/>
          <w:lang w:val="en-US"/>
        </w:rPr>
        <w:t>Sutcliffe H. (2011)</w:t>
      </w:r>
      <w:r w:rsidR="009A3C66" w:rsidRPr="00421EB7">
        <w:rPr>
          <w:rFonts w:ascii="Times New Roman" w:hAnsi="Times New Roman" w:cs="Times New Roman"/>
          <w:lang w:val="en-US"/>
        </w:rPr>
        <w:t>.</w:t>
      </w:r>
      <w:r w:rsidRPr="00421EB7">
        <w:rPr>
          <w:rFonts w:ascii="Times New Roman" w:hAnsi="Times New Roman" w:cs="Times New Roman"/>
          <w:lang w:val="en-US"/>
        </w:rPr>
        <w:t xml:space="preserve"> </w:t>
      </w:r>
      <w:r w:rsidRPr="00421EB7">
        <w:rPr>
          <w:rFonts w:ascii="Times New Roman" w:hAnsi="Times New Roman" w:cs="Times New Roman"/>
          <w:i/>
          <w:iCs/>
          <w:lang w:val="en-US"/>
        </w:rPr>
        <w:t>A Report on Responsible Research and Innovation</w:t>
      </w:r>
      <w:r w:rsidRPr="009A217D">
        <w:rPr>
          <w:rFonts w:ascii="Times New Roman" w:hAnsi="Times New Roman" w:cs="Times New Roman"/>
          <w:lang w:val="en-US"/>
        </w:rPr>
        <w:t xml:space="preserve">. </w:t>
      </w:r>
      <w:r w:rsidRPr="00421EB7">
        <w:rPr>
          <w:rFonts w:ascii="Times New Roman" w:hAnsi="Times New Roman" w:cs="Times New Roman"/>
          <w:lang w:val="en-US"/>
        </w:rPr>
        <w:t>Brussels</w:t>
      </w:r>
      <w:r w:rsidR="000F1E21" w:rsidRPr="00421EB7">
        <w:rPr>
          <w:rFonts w:ascii="Times New Roman" w:hAnsi="Times New Roman" w:cs="Times New Roman"/>
          <w:lang w:val="en-US"/>
        </w:rPr>
        <w:t>, Belgium</w:t>
      </w:r>
      <w:r w:rsidRPr="00421EB7">
        <w:rPr>
          <w:rFonts w:ascii="Times New Roman" w:hAnsi="Times New Roman" w:cs="Times New Roman"/>
          <w:lang w:val="en-US"/>
        </w:rPr>
        <w:t xml:space="preserve">: European </w:t>
      </w:r>
      <w:r w:rsidR="0032319A" w:rsidRPr="0032319A">
        <w:rPr>
          <w:rFonts w:ascii="Times New Roman" w:hAnsi="Times New Roman" w:cs="Times New Roman"/>
          <w:lang w:val="en-US"/>
        </w:rPr>
        <w:t>Commission</w:t>
      </w:r>
      <w:r w:rsidRPr="00421EB7">
        <w:rPr>
          <w:rFonts w:ascii="Times New Roman" w:hAnsi="Times New Roman" w:cs="Times New Roman"/>
          <w:lang w:val="en-US"/>
        </w:rPr>
        <w:t>, DG Research and Innovation.</w:t>
      </w:r>
    </w:p>
    <w:p w14:paraId="2857D372" w14:textId="16852B42" w:rsidR="00A25B2E" w:rsidRPr="009A217D" w:rsidRDefault="00A25B2E" w:rsidP="00FF6D96">
      <w:pPr>
        <w:shd w:val="clear" w:color="auto" w:fill="FFFFFF"/>
        <w:spacing w:line="360" w:lineRule="auto"/>
        <w:ind w:left="709" w:hanging="709"/>
        <w:jc w:val="both"/>
        <w:rPr>
          <w:rFonts w:ascii="Times New Roman" w:hAnsi="Times New Roman" w:cs="Times New Roman"/>
          <w:sz w:val="32"/>
          <w:szCs w:val="32"/>
          <w:lang w:val="es-MX"/>
        </w:rPr>
      </w:pPr>
      <w:r w:rsidRPr="00421EB7">
        <w:rPr>
          <w:rFonts w:ascii="Times New Roman" w:hAnsi="Times New Roman" w:cs="Times New Roman"/>
          <w:shd w:val="clear" w:color="auto" w:fill="FFFFFF"/>
          <w:lang w:val="en-US"/>
        </w:rPr>
        <w:t xml:space="preserve">Toharia, M. (2010). </w:t>
      </w:r>
      <w:r w:rsidRPr="009A217D">
        <w:rPr>
          <w:rFonts w:ascii="Times New Roman" w:hAnsi="Times New Roman" w:cs="Times New Roman"/>
          <w:shd w:val="clear" w:color="auto" w:fill="FFFFFF"/>
        </w:rPr>
        <w:t xml:space="preserve">Políticas de comunicación universitaria y divulgación científica. </w:t>
      </w:r>
      <w:r w:rsidRPr="00421EB7">
        <w:rPr>
          <w:rFonts w:ascii="Times New Roman" w:hAnsi="Times New Roman" w:cs="Times New Roman"/>
          <w:i/>
          <w:iCs/>
          <w:shd w:val="clear" w:color="auto" w:fill="FFFFFF"/>
        </w:rPr>
        <w:t>Cuestión Universitaria</w:t>
      </w:r>
      <w:r w:rsidRPr="009A217D">
        <w:rPr>
          <w:rFonts w:ascii="Times New Roman" w:hAnsi="Times New Roman" w:cs="Times New Roman"/>
          <w:shd w:val="clear" w:color="auto" w:fill="FFFFFF"/>
        </w:rPr>
        <w:t xml:space="preserve">, </w:t>
      </w:r>
      <w:r w:rsidR="006B56CD">
        <w:rPr>
          <w:rFonts w:ascii="Times New Roman" w:hAnsi="Times New Roman" w:cs="Times New Roman"/>
          <w:shd w:val="clear" w:color="auto" w:fill="FFFFFF"/>
        </w:rPr>
        <w:t>(</w:t>
      </w:r>
      <w:r w:rsidRPr="009A217D">
        <w:rPr>
          <w:rFonts w:ascii="Times New Roman" w:hAnsi="Times New Roman" w:cs="Times New Roman"/>
          <w:shd w:val="clear" w:color="auto" w:fill="FFFFFF"/>
        </w:rPr>
        <w:t>6</w:t>
      </w:r>
      <w:r w:rsidR="006B56CD">
        <w:rPr>
          <w:rFonts w:ascii="Times New Roman" w:hAnsi="Times New Roman" w:cs="Times New Roman"/>
          <w:shd w:val="clear" w:color="auto" w:fill="FFFFFF"/>
        </w:rPr>
        <w:t>)</w:t>
      </w:r>
      <w:r w:rsidR="004633EB" w:rsidRPr="009A217D">
        <w:rPr>
          <w:rFonts w:ascii="Times New Roman" w:hAnsi="Times New Roman" w:cs="Times New Roman"/>
          <w:shd w:val="clear" w:color="auto" w:fill="FFFFFF"/>
        </w:rPr>
        <w:t xml:space="preserve">, 95-102. </w:t>
      </w:r>
      <w:r w:rsidR="006B56CD">
        <w:rPr>
          <w:rFonts w:ascii="Times New Roman" w:hAnsi="Times New Roman" w:cs="Times New Roman"/>
          <w:shd w:val="clear" w:color="auto" w:fill="FFFFFF"/>
        </w:rPr>
        <w:t xml:space="preserve">Recuperado de </w:t>
      </w:r>
      <w:r w:rsidR="006B56CD" w:rsidRPr="006B56CD">
        <w:rPr>
          <w:rFonts w:ascii="Times New Roman" w:hAnsi="Times New Roman" w:cs="Times New Roman"/>
          <w:shd w:val="clear" w:color="auto" w:fill="FFFFFF"/>
        </w:rPr>
        <w:t>http://polired.upm.es/index.php/lacuestionuniversitaria/article/view/3402</w:t>
      </w:r>
      <w:r w:rsidR="006B56CD">
        <w:rPr>
          <w:rFonts w:ascii="Times New Roman" w:hAnsi="Times New Roman" w:cs="Times New Roman"/>
          <w:shd w:val="clear" w:color="auto" w:fill="FFFFFF"/>
        </w:rPr>
        <w:t>.</w:t>
      </w:r>
      <w:r w:rsidR="004633EB" w:rsidRPr="009A217D">
        <w:rPr>
          <w:rFonts w:ascii="Times New Roman" w:hAnsi="Times New Roman" w:cs="Times New Roman"/>
          <w:shd w:val="clear" w:color="auto" w:fill="FFFFFF"/>
        </w:rPr>
        <w:t xml:space="preserve"> </w:t>
      </w:r>
    </w:p>
    <w:p w14:paraId="04DF58DE" w14:textId="1FF91F41" w:rsidR="00555D8D" w:rsidRDefault="00555D8D" w:rsidP="00FF6D96">
      <w:pPr>
        <w:pStyle w:val="Bibliografa"/>
        <w:spacing w:line="360" w:lineRule="auto"/>
        <w:ind w:left="720" w:hanging="720"/>
        <w:jc w:val="both"/>
        <w:rPr>
          <w:rFonts w:ascii="Times New Roman" w:hAnsi="Times New Roman" w:cs="Times New Roman"/>
          <w:noProof/>
          <w:lang w:val="es-ES"/>
        </w:rPr>
      </w:pPr>
      <w:r>
        <w:rPr>
          <w:rFonts w:ascii="Times New Roman" w:hAnsi="Times New Roman" w:cs="Times New Roman"/>
          <w:noProof/>
          <w:lang w:val="es-ES"/>
        </w:rPr>
        <w:t>Torres, M., Paz, K. y Salazar, F. G.</w:t>
      </w:r>
      <w:r w:rsidR="005B2863">
        <w:rPr>
          <w:rFonts w:ascii="Times New Roman" w:hAnsi="Times New Roman" w:cs="Times New Roman"/>
          <w:noProof/>
          <w:lang w:val="es-ES"/>
        </w:rPr>
        <w:t xml:space="preserve"> (2006). Tamaño de una muestra para una investigación de mercado. Boletin </w:t>
      </w:r>
      <w:r w:rsidR="00727704">
        <w:rPr>
          <w:rFonts w:ascii="Times New Roman" w:hAnsi="Times New Roman" w:cs="Times New Roman"/>
          <w:noProof/>
          <w:lang w:val="es-ES"/>
        </w:rPr>
        <w:t xml:space="preserve">Electrónico Ingeniero Primero, 02, 1-13. </w:t>
      </w:r>
      <w:r w:rsidR="00727704" w:rsidRPr="00727704">
        <w:rPr>
          <w:rFonts w:ascii="Times New Roman" w:hAnsi="Times New Roman" w:cs="Times New Roman"/>
          <w:noProof/>
          <w:lang w:val="es-ES"/>
        </w:rPr>
        <w:t>https://fgsalazar.net/LANDIVAR/ING-PRIMERO/boletin02/URL_02_BAS02.pdf</w:t>
      </w:r>
      <w:r>
        <w:rPr>
          <w:rFonts w:ascii="Times New Roman" w:hAnsi="Times New Roman" w:cs="Times New Roman"/>
          <w:noProof/>
          <w:lang w:val="es-ES"/>
        </w:rPr>
        <w:t xml:space="preserve"> </w:t>
      </w:r>
    </w:p>
    <w:p w14:paraId="7542B204" w14:textId="1E0D721C" w:rsidR="00330CAE" w:rsidRPr="009A217D" w:rsidRDefault="00330CAE" w:rsidP="00FF6D96">
      <w:pPr>
        <w:pStyle w:val="Bibliografa"/>
        <w:spacing w:line="360" w:lineRule="auto"/>
        <w:ind w:left="720" w:hanging="720"/>
        <w:jc w:val="both"/>
        <w:rPr>
          <w:rFonts w:ascii="Times New Roman" w:hAnsi="Times New Roman" w:cs="Times New Roman"/>
          <w:noProof/>
          <w:lang w:val="es-ES"/>
        </w:rPr>
      </w:pPr>
      <w:r w:rsidRPr="009A217D">
        <w:rPr>
          <w:rFonts w:ascii="Times New Roman" w:hAnsi="Times New Roman" w:cs="Times New Roman"/>
          <w:noProof/>
          <w:lang w:val="es-ES"/>
        </w:rPr>
        <w:t xml:space="preserve">Ullmann, H. (2015). La salud y las juventudes latinoamericanas y caribeñas. En Ullmann, </w:t>
      </w:r>
      <w:r w:rsidR="00B93575" w:rsidRPr="009A217D">
        <w:rPr>
          <w:rFonts w:ascii="Times New Roman" w:hAnsi="Times New Roman" w:cs="Times New Roman"/>
          <w:noProof/>
          <w:lang w:val="es-ES"/>
        </w:rPr>
        <w:t xml:space="preserve">H. </w:t>
      </w:r>
      <w:r w:rsidR="00B93575">
        <w:rPr>
          <w:rFonts w:ascii="Times New Roman" w:hAnsi="Times New Roman" w:cs="Times New Roman"/>
          <w:noProof/>
          <w:lang w:val="es-ES"/>
        </w:rPr>
        <w:t xml:space="preserve">y </w:t>
      </w:r>
      <w:r w:rsidRPr="009A217D">
        <w:rPr>
          <w:rFonts w:ascii="Times New Roman" w:hAnsi="Times New Roman" w:cs="Times New Roman"/>
          <w:noProof/>
          <w:lang w:val="es-ES"/>
        </w:rPr>
        <w:t xml:space="preserve">Trucco, </w:t>
      </w:r>
      <w:r w:rsidR="00B93575" w:rsidRPr="009A217D">
        <w:rPr>
          <w:rFonts w:ascii="Times New Roman" w:hAnsi="Times New Roman" w:cs="Times New Roman"/>
          <w:noProof/>
          <w:lang w:val="es-ES"/>
        </w:rPr>
        <w:t>D.</w:t>
      </w:r>
      <w:r w:rsidR="004604AE">
        <w:rPr>
          <w:rFonts w:ascii="Times New Roman" w:hAnsi="Times New Roman" w:cs="Times New Roman"/>
          <w:noProof/>
          <w:lang w:val="es-ES"/>
        </w:rPr>
        <w:t xml:space="preserve"> (ed.</w:t>
      </w:r>
      <w:r w:rsidR="004604AE" w:rsidRPr="00421EB7">
        <w:rPr>
          <w:rFonts w:ascii="Times New Roman" w:hAnsi="Times New Roman" w:cs="Times New Roman"/>
          <w:noProof/>
          <w:vertAlign w:val="superscript"/>
          <w:lang w:val="es-ES"/>
        </w:rPr>
        <w:t>as</w:t>
      </w:r>
      <w:r w:rsidR="004604AE">
        <w:rPr>
          <w:rFonts w:ascii="Times New Roman" w:hAnsi="Times New Roman" w:cs="Times New Roman"/>
          <w:noProof/>
          <w:lang w:val="es-ES"/>
        </w:rPr>
        <w:t>)</w:t>
      </w:r>
      <w:r w:rsidR="00B93575">
        <w:rPr>
          <w:rFonts w:ascii="Times New Roman" w:hAnsi="Times New Roman" w:cs="Times New Roman"/>
          <w:noProof/>
          <w:lang w:val="es-ES"/>
        </w:rPr>
        <w:t>,</w:t>
      </w:r>
      <w:r w:rsidR="00B93575" w:rsidRPr="009A217D">
        <w:rPr>
          <w:rFonts w:ascii="Times New Roman" w:hAnsi="Times New Roman" w:cs="Times New Roman"/>
          <w:noProof/>
          <w:lang w:val="es-ES"/>
        </w:rPr>
        <w:t xml:space="preserve"> </w:t>
      </w:r>
      <w:r w:rsidRPr="009A217D">
        <w:rPr>
          <w:rFonts w:ascii="Times New Roman" w:hAnsi="Times New Roman" w:cs="Times New Roman"/>
          <w:i/>
          <w:iCs/>
          <w:noProof/>
          <w:lang w:val="es-ES"/>
        </w:rPr>
        <w:t>Juventud: realidades y retos para un desarrollo con igualdad</w:t>
      </w:r>
      <w:r w:rsidRPr="009A217D">
        <w:rPr>
          <w:rFonts w:ascii="Times New Roman" w:hAnsi="Times New Roman" w:cs="Times New Roman"/>
          <w:noProof/>
          <w:lang w:val="es-ES"/>
        </w:rPr>
        <w:t xml:space="preserve"> (p. 284). </w:t>
      </w:r>
      <w:r w:rsidR="004604AE">
        <w:rPr>
          <w:rFonts w:ascii="Times New Roman" w:hAnsi="Times New Roman" w:cs="Times New Roman"/>
          <w:noProof/>
          <w:lang w:val="es-ES"/>
        </w:rPr>
        <w:t xml:space="preserve">Santiago, Chile: </w:t>
      </w:r>
      <w:r w:rsidRPr="009A217D">
        <w:rPr>
          <w:rFonts w:ascii="Times New Roman" w:hAnsi="Times New Roman" w:cs="Times New Roman"/>
          <w:noProof/>
          <w:lang w:val="es-ES"/>
        </w:rPr>
        <w:t xml:space="preserve">Comisión Económica para América Latina y el Caribe. </w:t>
      </w:r>
      <w:r w:rsidR="00B93575">
        <w:rPr>
          <w:rFonts w:ascii="Times New Roman" w:hAnsi="Times New Roman" w:cs="Times New Roman"/>
          <w:noProof/>
          <w:lang w:val="es-ES"/>
        </w:rPr>
        <w:t xml:space="preserve">Recuperado de </w:t>
      </w:r>
      <w:r w:rsidR="00A72F25" w:rsidRPr="00716897">
        <w:rPr>
          <w:rFonts w:ascii="Times New Roman" w:hAnsi="Times New Roman" w:cs="Times New Roman"/>
          <w:noProof/>
          <w:lang w:val="es-ES"/>
        </w:rPr>
        <w:t>https://repositorio.cepal.org/bitstream/handle/11362/38978/4/S1500718_es.pdf</w:t>
      </w:r>
      <w:r w:rsidR="00B93575">
        <w:rPr>
          <w:rFonts w:ascii="Times New Roman" w:hAnsi="Times New Roman" w:cs="Times New Roman"/>
          <w:noProof/>
          <w:lang w:val="es-ES"/>
        </w:rPr>
        <w:t>.</w:t>
      </w:r>
    </w:p>
    <w:p w14:paraId="2363D51C" w14:textId="378FBDA8" w:rsidR="00A72F25" w:rsidRPr="00A72F25" w:rsidRDefault="00A72F25" w:rsidP="005E57F9">
      <w:pPr>
        <w:shd w:val="clear" w:color="auto" w:fill="FFFFFF"/>
        <w:spacing w:line="360" w:lineRule="auto"/>
        <w:ind w:left="709" w:hanging="709"/>
        <w:jc w:val="both"/>
        <w:rPr>
          <w:lang w:val="es-ES"/>
        </w:rPr>
      </w:pPr>
      <w:r w:rsidRPr="009A217D">
        <w:rPr>
          <w:rFonts w:ascii="Times New Roman" w:eastAsia="Times New Roman" w:hAnsi="Times New Roman" w:cs="Times New Roman"/>
          <w:lang w:val="es-MX" w:eastAsia="es-MX"/>
        </w:rPr>
        <w:t>Vázquez, A. y Manassero, M.</w:t>
      </w:r>
      <w:r w:rsidR="009A71BB">
        <w:rPr>
          <w:rFonts w:ascii="Times New Roman" w:eastAsia="Times New Roman" w:hAnsi="Times New Roman" w:cs="Times New Roman"/>
          <w:lang w:val="es-MX" w:eastAsia="es-MX"/>
        </w:rPr>
        <w:t xml:space="preserve"> </w:t>
      </w:r>
      <w:r w:rsidRPr="009A217D">
        <w:rPr>
          <w:rFonts w:ascii="Times New Roman" w:eastAsia="Times New Roman" w:hAnsi="Times New Roman" w:cs="Times New Roman"/>
          <w:lang w:val="es-MX" w:eastAsia="es-MX"/>
        </w:rPr>
        <w:t xml:space="preserve">A. (2009) Relevancia de la educación científica: actitudes y valores de los estudiantes relacionados con la </w:t>
      </w:r>
      <w:r w:rsidR="009E5D1F">
        <w:rPr>
          <w:rFonts w:ascii="Times New Roman" w:eastAsia="Times New Roman" w:hAnsi="Times New Roman" w:cs="Times New Roman"/>
          <w:lang w:val="es-MX" w:eastAsia="es-MX"/>
        </w:rPr>
        <w:t>c</w:t>
      </w:r>
      <w:r w:rsidRPr="009A217D">
        <w:rPr>
          <w:rFonts w:ascii="Times New Roman" w:eastAsia="Times New Roman" w:hAnsi="Times New Roman" w:cs="Times New Roman"/>
          <w:lang w:val="es-MX" w:eastAsia="es-MX"/>
        </w:rPr>
        <w:t xml:space="preserve">iencia y la </w:t>
      </w:r>
      <w:r w:rsidR="009E5D1F">
        <w:rPr>
          <w:rFonts w:ascii="Times New Roman" w:eastAsia="Times New Roman" w:hAnsi="Times New Roman" w:cs="Times New Roman"/>
          <w:lang w:val="es-MX" w:eastAsia="es-MX"/>
        </w:rPr>
        <w:t>t</w:t>
      </w:r>
      <w:r w:rsidRPr="009A217D">
        <w:rPr>
          <w:rFonts w:ascii="Times New Roman" w:eastAsia="Times New Roman" w:hAnsi="Times New Roman" w:cs="Times New Roman"/>
          <w:lang w:val="es-MX" w:eastAsia="es-MX"/>
        </w:rPr>
        <w:t xml:space="preserve">ecnología. </w:t>
      </w:r>
      <w:r w:rsidRPr="009A217D">
        <w:rPr>
          <w:rFonts w:ascii="Times New Roman" w:eastAsia="Times New Roman" w:hAnsi="Times New Roman" w:cs="Times New Roman"/>
          <w:i/>
          <w:iCs/>
          <w:lang w:val="es-MX" w:eastAsia="es-MX"/>
        </w:rPr>
        <w:t>Enseñanza de las Ciencias</w:t>
      </w:r>
      <w:r w:rsidRPr="009A217D">
        <w:rPr>
          <w:rFonts w:ascii="Times New Roman" w:eastAsia="Times New Roman" w:hAnsi="Times New Roman" w:cs="Times New Roman"/>
          <w:lang w:val="es-MX" w:eastAsia="es-MX"/>
        </w:rPr>
        <w:t xml:space="preserve">, </w:t>
      </w:r>
      <w:r w:rsidRPr="00421EB7">
        <w:rPr>
          <w:rFonts w:ascii="Times New Roman" w:eastAsia="Times New Roman" w:hAnsi="Times New Roman" w:cs="Times New Roman"/>
          <w:i/>
          <w:iCs/>
          <w:lang w:val="es-MX" w:eastAsia="es-MX"/>
        </w:rPr>
        <w:t>27</w:t>
      </w:r>
      <w:r w:rsidRPr="009A217D">
        <w:rPr>
          <w:rFonts w:ascii="Times New Roman" w:eastAsia="Times New Roman" w:hAnsi="Times New Roman" w:cs="Times New Roman"/>
          <w:lang w:val="es-MX" w:eastAsia="es-MX"/>
        </w:rPr>
        <w:t xml:space="preserve">(1), 33-48. </w:t>
      </w:r>
      <w:r w:rsidR="009A71BB">
        <w:rPr>
          <w:rFonts w:ascii="Times New Roman" w:eastAsia="Times New Roman" w:hAnsi="Times New Roman" w:cs="Times New Roman"/>
          <w:lang w:val="es-MX" w:eastAsia="es-MX"/>
        </w:rPr>
        <w:t xml:space="preserve">Recuperado de </w:t>
      </w:r>
      <w:r w:rsidR="004633EB" w:rsidRPr="00716897">
        <w:rPr>
          <w:rFonts w:ascii="Times New Roman" w:hAnsi="Times New Roman" w:cs="Times New Roman"/>
          <w:shd w:val="clear" w:color="auto" w:fill="FFFFFF"/>
        </w:rPr>
        <w:t>https://raco.cat/index.php/Ensenanza/article/view/132205</w:t>
      </w:r>
      <w:r w:rsidR="009A71BB">
        <w:rPr>
          <w:rFonts w:ascii="Times New Roman" w:hAnsi="Times New Roman" w:cs="Times New Roman"/>
          <w:color w:val="333333"/>
          <w:shd w:val="clear" w:color="auto" w:fill="FFFFFF"/>
        </w:rPr>
        <w:t>.</w:t>
      </w:r>
    </w:p>
    <w:p w14:paraId="46CB0319" w14:textId="77777777" w:rsidR="00330CAE" w:rsidRPr="00330CAE" w:rsidRDefault="00330CAE" w:rsidP="00FF6D96">
      <w:pPr>
        <w:pStyle w:val="Bibliografa"/>
        <w:spacing w:line="360" w:lineRule="auto"/>
        <w:ind w:left="720" w:hanging="709"/>
        <w:jc w:val="both"/>
        <w:rPr>
          <w:rFonts w:ascii="Times New Roman" w:hAnsi="Times New Roman" w:cs="Times New Roman"/>
          <w:highlight w:val="yellow"/>
          <w:lang w:val="es-ES"/>
        </w:rPr>
      </w:pPr>
    </w:p>
    <w:p w14:paraId="58DF071E" w14:textId="23A3D0AB" w:rsidR="00B11E44" w:rsidRPr="00B11E44" w:rsidRDefault="00B11E44" w:rsidP="00FF6D96">
      <w:pPr>
        <w:shd w:val="clear" w:color="auto" w:fill="FFFFFF"/>
        <w:spacing w:line="360" w:lineRule="auto"/>
        <w:ind w:left="709" w:hanging="709"/>
        <w:jc w:val="both"/>
        <w:rPr>
          <w:rFonts w:ascii="Times New Roman" w:hAnsi="Times New Roman" w:cs="Times New Roman"/>
          <w:lang w:val="es-MX"/>
        </w:rPr>
      </w:pPr>
    </w:p>
    <w:sectPr w:rsidR="00B11E44" w:rsidRPr="00B11E44" w:rsidSect="00421EB7">
      <w:headerReference w:type="default" r:id="rId13"/>
      <w:footerReference w:type="default" r:id="rId14"/>
      <w:pgSz w:w="12240" w:h="15840" w:code="1"/>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C79E" w14:textId="77777777" w:rsidR="000A73B0" w:rsidRDefault="000A73B0" w:rsidP="00FD400E">
      <w:r>
        <w:separator/>
      </w:r>
    </w:p>
  </w:endnote>
  <w:endnote w:type="continuationSeparator" w:id="0">
    <w:p w14:paraId="250D3677" w14:textId="77777777" w:rsidR="000A73B0" w:rsidRDefault="000A73B0" w:rsidP="00FD400E">
      <w:r>
        <w:continuationSeparator/>
      </w:r>
    </w:p>
  </w:endnote>
  <w:endnote w:type="continuationNotice" w:id="1">
    <w:p w14:paraId="24332B4F" w14:textId="77777777" w:rsidR="000A73B0" w:rsidRDefault="000A7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7486" w14:textId="27B42295" w:rsidR="00421EB7" w:rsidRDefault="00421EB7">
    <w:pPr>
      <w:pStyle w:val="Piedepgina"/>
    </w:pPr>
    <w:r>
      <w:t xml:space="preserve">               </w:t>
    </w:r>
    <w:r w:rsidRPr="002A3D98">
      <w:rPr>
        <w:noProof/>
        <w:lang w:eastAsia="es-MX"/>
      </w:rPr>
      <w:drawing>
        <wp:inline distT="0" distB="0" distL="0" distR="0" wp14:anchorId="5AAFFAF4" wp14:editId="2C3B4F5D">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A4E8D">
      <w:rPr>
        <w:rFonts w:cstheme="minorHAnsi"/>
        <w:b/>
        <w:sz w:val="22"/>
        <w:szCs w:val="16"/>
      </w:rPr>
      <w:t xml:space="preserve">Vol. 12, Núm. 24 </w:t>
    </w:r>
    <w:proofErr w:type="gramStart"/>
    <w:r w:rsidRPr="002A4E8D">
      <w:rPr>
        <w:rFonts w:cstheme="minorHAnsi"/>
        <w:b/>
        <w:sz w:val="22"/>
        <w:szCs w:val="16"/>
      </w:rPr>
      <w:t>Enero</w:t>
    </w:r>
    <w:proofErr w:type="gramEnd"/>
    <w:r w:rsidRPr="002A4E8D">
      <w:rPr>
        <w:rFonts w:cstheme="minorHAnsi"/>
        <w:b/>
        <w:sz w:val="22"/>
        <w:szCs w:val="16"/>
      </w:rPr>
      <w:t xml:space="preserve"> - Junio 202</w:t>
    </w:r>
    <w:r>
      <w:rPr>
        <w:rFonts w:cstheme="minorHAnsi"/>
        <w:b/>
        <w:sz w:val="22"/>
        <w:szCs w:val="16"/>
      </w:rPr>
      <w:t>2</w:t>
    </w:r>
    <w:r w:rsidRPr="002A4E8D">
      <w:rPr>
        <w:rFonts w:cstheme="minorHAnsi"/>
        <w:b/>
        <w:sz w:val="22"/>
        <w:szCs w:val="16"/>
      </w:rPr>
      <w:t>, e</w:t>
    </w:r>
    <w:r w:rsidR="00041986">
      <w:rPr>
        <w:rFonts w:cstheme="minorHAnsi"/>
        <w:b/>
        <w:sz w:val="22"/>
        <w:szCs w:val="16"/>
      </w:rPr>
      <w:t>359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033F" w14:textId="77777777" w:rsidR="000A73B0" w:rsidRDefault="000A73B0" w:rsidP="00FD400E">
      <w:r>
        <w:separator/>
      </w:r>
    </w:p>
  </w:footnote>
  <w:footnote w:type="continuationSeparator" w:id="0">
    <w:p w14:paraId="69F56FAE" w14:textId="77777777" w:rsidR="000A73B0" w:rsidRDefault="000A73B0" w:rsidP="00FD400E">
      <w:r>
        <w:continuationSeparator/>
      </w:r>
    </w:p>
  </w:footnote>
  <w:footnote w:type="continuationNotice" w:id="1">
    <w:p w14:paraId="7701EDA1" w14:textId="77777777" w:rsidR="000A73B0" w:rsidRDefault="000A7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8603" w14:textId="1288406D" w:rsidR="00421EB7" w:rsidRDefault="00421EB7" w:rsidP="00421EB7">
    <w:pPr>
      <w:pStyle w:val="Encabezado"/>
      <w:jc w:val="center"/>
    </w:pPr>
    <w:r w:rsidRPr="002A3D98">
      <w:rPr>
        <w:noProof/>
        <w:lang w:eastAsia="es-MX"/>
      </w:rPr>
      <w:drawing>
        <wp:inline distT="0" distB="0" distL="0" distR="0" wp14:anchorId="101C5032" wp14:editId="293D434A">
          <wp:extent cx="5397500" cy="635000"/>
          <wp:effectExtent l="0" t="0" r="0" b="0"/>
          <wp:docPr id="35" name="Imagen 3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057"/>
    <w:multiLevelType w:val="hybridMultilevel"/>
    <w:tmpl w:val="9558DCF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5BE6EC2"/>
    <w:multiLevelType w:val="hybridMultilevel"/>
    <w:tmpl w:val="785CC5BA"/>
    <w:lvl w:ilvl="0" w:tplc="23D8991A">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FA15988"/>
    <w:multiLevelType w:val="hybridMultilevel"/>
    <w:tmpl w:val="87B23904"/>
    <w:lvl w:ilvl="0" w:tplc="9C2600DA">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63823E3"/>
    <w:multiLevelType w:val="hybridMultilevel"/>
    <w:tmpl w:val="9558DCF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271162BC"/>
    <w:multiLevelType w:val="hybridMultilevel"/>
    <w:tmpl w:val="9558DCF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4F12222C"/>
    <w:multiLevelType w:val="hybridMultilevel"/>
    <w:tmpl w:val="D71CED46"/>
    <w:lvl w:ilvl="0" w:tplc="9C2600DA">
      <w:start w:val="1"/>
      <w:numFmt w:val="decimal"/>
      <w:lvlText w:val="%1)"/>
      <w:lvlJc w:val="left"/>
      <w:pPr>
        <w:ind w:left="360" w:hanging="360"/>
      </w:pPr>
      <w:rPr>
        <w:rFonts w:hint="default"/>
        <w:i/>
        <w:iCs/>
      </w:rPr>
    </w:lvl>
    <w:lvl w:ilvl="1" w:tplc="154093F0">
      <w:start w:val="1"/>
      <w:numFmt w:val="lowerLetter"/>
      <w:lvlText w:val="%2)"/>
      <w:lvlJc w:val="left"/>
      <w:pPr>
        <w:ind w:left="1788" w:hanging="360"/>
      </w:pPr>
      <w:rPr>
        <w:i/>
        <w:iCs/>
      </w:rPr>
    </w:lvl>
    <w:lvl w:ilvl="2" w:tplc="4D8C4924">
      <w:start w:val="1"/>
      <w:numFmt w:val="lowerRoman"/>
      <w:lvlText w:val="%3."/>
      <w:lvlJc w:val="right"/>
      <w:pPr>
        <w:ind w:left="2508" w:hanging="180"/>
      </w:pPr>
      <w:rPr>
        <w:i/>
        <w:iCs/>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49B0894"/>
    <w:multiLevelType w:val="hybridMultilevel"/>
    <w:tmpl w:val="04348A20"/>
    <w:lvl w:ilvl="0" w:tplc="88189004">
      <w:start w:val="1"/>
      <w:numFmt w:val="decimal"/>
      <w:lvlText w:val="%1)"/>
      <w:lvlJc w:val="left"/>
      <w:pPr>
        <w:ind w:left="1068" w:hanging="360"/>
      </w:pPr>
      <w:rPr>
        <w:rFonts w:hint="default"/>
        <w:i/>
        <w:i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62106F2"/>
    <w:multiLevelType w:val="hybridMultilevel"/>
    <w:tmpl w:val="C5200612"/>
    <w:lvl w:ilvl="0" w:tplc="3F4E1E12">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AF06ACD"/>
    <w:multiLevelType w:val="hybridMultilevel"/>
    <w:tmpl w:val="1EB2FAC6"/>
    <w:lvl w:ilvl="0" w:tplc="11321E56">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48F5FC6"/>
    <w:multiLevelType w:val="hybridMultilevel"/>
    <w:tmpl w:val="EDF0AD94"/>
    <w:lvl w:ilvl="0" w:tplc="9C2600DA">
      <w:start w:val="1"/>
      <w:numFmt w:val="decimal"/>
      <w:lvlText w:val="%1)"/>
      <w:lvlJc w:val="left"/>
      <w:pPr>
        <w:ind w:left="360" w:hanging="360"/>
      </w:pPr>
      <w:rPr>
        <w:rFonts w:hint="default"/>
        <w:i/>
        <w:iCs/>
      </w:rPr>
    </w:lvl>
    <w:lvl w:ilvl="1" w:tplc="154093F0">
      <w:start w:val="1"/>
      <w:numFmt w:val="lowerLetter"/>
      <w:lvlText w:val="%2)"/>
      <w:lvlJc w:val="left"/>
      <w:pPr>
        <w:ind w:left="1788" w:hanging="360"/>
      </w:pPr>
      <w:rPr>
        <w:i/>
        <w:iCs/>
      </w:rPr>
    </w:lvl>
    <w:lvl w:ilvl="2" w:tplc="A6D4C4DE">
      <w:start w:val="1"/>
      <w:numFmt w:val="lowerRoman"/>
      <w:lvlText w:val="%3."/>
      <w:lvlJc w:val="right"/>
      <w:pPr>
        <w:ind w:left="2508" w:hanging="180"/>
      </w:pPr>
      <w:rPr>
        <w:i/>
        <w:iCs/>
      </w:rPr>
    </w:lvl>
    <w:lvl w:ilvl="3" w:tplc="8F449CF6">
      <w:start w:val="1"/>
      <w:numFmt w:val="decimal"/>
      <w:lvlText w:val="%4."/>
      <w:lvlJc w:val="left"/>
      <w:pPr>
        <w:ind w:left="3228" w:hanging="360"/>
      </w:pPr>
      <w:rPr>
        <w:i/>
        <w:iCs/>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45972618">
    <w:abstractNumId w:val="2"/>
  </w:num>
  <w:num w:numId="2" w16cid:durableId="896088074">
    <w:abstractNumId w:val="1"/>
  </w:num>
  <w:num w:numId="3" w16cid:durableId="1826968761">
    <w:abstractNumId w:val="8"/>
  </w:num>
  <w:num w:numId="4" w16cid:durableId="1963152374">
    <w:abstractNumId w:val="7"/>
  </w:num>
  <w:num w:numId="5" w16cid:durableId="711730957">
    <w:abstractNumId w:val="5"/>
  </w:num>
  <w:num w:numId="6" w16cid:durableId="1794129268">
    <w:abstractNumId w:val="9"/>
  </w:num>
  <w:num w:numId="7" w16cid:durableId="1256669786">
    <w:abstractNumId w:val="6"/>
  </w:num>
  <w:num w:numId="8" w16cid:durableId="2106028202">
    <w:abstractNumId w:val="3"/>
  </w:num>
  <w:num w:numId="9" w16cid:durableId="924920499">
    <w:abstractNumId w:val="4"/>
  </w:num>
  <w:num w:numId="10" w16cid:durableId="157269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DB"/>
    <w:rsid w:val="00000119"/>
    <w:rsid w:val="00000258"/>
    <w:rsid w:val="0000296D"/>
    <w:rsid w:val="00002B04"/>
    <w:rsid w:val="00004251"/>
    <w:rsid w:val="00004EE6"/>
    <w:rsid w:val="0001271E"/>
    <w:rsid w:val="00016719"/>
    <w:rsid w:val="000208D2"/>
    <w:rsid w:val="000248EE"/>
    <w:rsid w:val="00025F23"/>
    <w:rsid w:val="00031EDF"/>
    <w:rsid w:val="0003215D"/>
    <w:rsid w:val="00034567"/>
    <w:rsid w:val="00034626"/>
    <w:rsid w:val="000354AC"/>
    <w:rsid w:val="00041986"/>
    <w:rsid w:val="0004486A"/>
    <w:rsid w:val="00054CD7"/>
    <w:rsid w:val="00056E80"/>
    <w:rsid w:val="00057179"/>
    <w:rsid w:val="00063F52"/>
    <w:rsid w:val="000651CF"/>
    <w:rsid w:val="00070042"/>
    <w:rsid w:val="00073085"/>
    <w:rsid w:val="000740AD"/>
    <w:rsid w:val="00074716"/>
    <w:rsid w:val="00074AAE"/>
    <w:rsid w:val="0007502C"/>
    <w:rsid w:val="00075DC5"/>
    <w:rsid w:val="00075F29"/>
    <w:rsid w:val="00075F8F"/>
    <w:rsid w:val="00076411"/>
    <w:rsid w:val="00085E4E"/>
    <w:rsid w:val="00086BC1"/>
    <w:rsid w:val="00091A07"/>
    <w:rsid w:val="00094ACE"/>
    <w:rsid w:val="000955CD"/>
    <w:rsid w:val="00097B44"/>
    <w:rsid w:val="000A1C28"/>
    <w:rsid w:val="000A3368"/>
    <w:rsid w:val="000A73B0"/>
    <w:rsid w:val="000B0ED6"/>
    <w:rsid w:val="000B1E57"/>
    <w:rsid w:val="000B23C4"/>
    <w:rsid w:val="000B3F5A"/>
    <w:rsid w:val="000B4A26"/>
    <w:rsid w:val="000B604D"/>
    <w:rsid w:val="000C1862"/>
    <w:rsid w:val="000C245F"/>
    <w:rsid w:val="000C46F9"/>
    <w:rsid w:val="000C4863"/>
    <w:rsid w:val="000C4F86"/>
    <w:rsid w:val="000C530D"/>
    <w:rsid w:val="000C636E"/>
    <w:rsid w:val="000D2CA4"/>
    <w:rsid w:val="000D2EF8"/>
    <w:rsid w:val="000D2F6C"/>
    <w:rsid w:val="000D56F8"/>
    <w:rsid w:val="000E0EE7"/>
    <w:rsid w:val="000E2851"/>
    <w:rsid w:val="000E2DA6"/>
    <w:rsid w:val="000E3866"/>
    <w:rsid w:val="000E3DB6"/>
    <w:rsid w:val="000E7848"/>
    <w:rsid w:val="000F036D"/>
    <w:rsid w:val="000F05C9"/>
    <w:rsid w:val="000F0EC2"/>
    <w:rsid w:val="000F196A"/>
    <w:rsid w:val="000F1E21"/>
    <w:rsid w:val="000F27E8"/>
    <w:rsid w:val="000F32E4"/>
    <w:rsid w:val="00104363"/>
    <w:rsid w:val="00104B8F"/>
    <w:rsid w:val="001063EA"/>
    <w:rsid w:val="00120BF1"/>
    <w:rsid w:val="00121AFE"/>
    <w:rsid w:val="00126DD7"/>
    <w:rsid w:val="00130DE7"/>
    <w:rsid w:val="0013217F"/>
    <w:rsid w:val="00141E02"/>
    <w:rsid w:val="001420E7"/>
    <w:rsid w:val="00144119"/>
    <w:rsid w:val="00145255"/>
    <w:rsid w:val="00151BD3"/>
    <w:rsid w:val="00157528"/>
    <w:rsid w:val="00161264"/>
    <w:rsid w:val="0016202E"/>
    <w:rsid w:val="001652F3"/>
    <w:rsid w:val="00165655"/>
    <w:rsid w:val="00165757"/>
    <w:rsid w:val="00166C1E"/>
    <w:rsid w:val="0016708D"/>
    <w:rsid w:val="001671B4"/>
    <w:rsid w:val="00170477"/>
    <w:rsid w:val="001706BC"/>
    <w:rsid w:val="0017150D"/>
    <w:rsid w:val="00171D1E"/>
    <w:rsid w:val="00191244"/>
    <w:rsid w:val="00191E0C"/>
    <w:rsid w:val="00192E51"/>
    <w:rsid w:val="001944B2"/>
    <w:rsid w:val="00196474"/>
    <w:rsid w:val="001A0374"/>
    <w:rsid w:val="001A0873"/>
    <w:rsid w:val="001A5FCC"/>
    <w:rsid w:val="001A7DAB"/>
    <w:rsid w:val="001B31B7"/>
    <w:rsid w:val="001C1013"/>
    <w:rsid w:val="001C11C4"/>
    <w:rsid w:val="001C1386"/>
    <w:rsid w:val="001C32D5"/>
    <w:rsid w:val="001C3D4A"/>
    <w:rsid w:val="001C4C95"/>
    <w:rsid w:val="001D01D9"/>
    <w:rsid w:val="001D214A"/>
    <w:rsid w:val="001D3873"/>
    <w:rsid w:val="001D56DF"/>
    <w:rsid w:val="001D6808"/>
    <w:rsid w:val="001E0E6E"/>
    <w:rsid w:val="001E3597"/>
    <w:rsid w:val="001E3ECB"/>
    <w:rsid w:val="001E419F"/>
    <w:rsid w:val="001E5B6C"/>
    <w:rsid w:val="001F3B91"/>
    <w:rsid w:val="001F3BE3"/>
    <w:rsid w:val="001F7E43"/>
    <w:rsid w:val="00213A1E"/>
    <w:rsid w:val="00220AEE"/>
    <w:rsid w:val="00230F25"/>
    <w:rsid w:val="00231220"/>
    <w:rsid w:val="0023316B"/>
    <w:rsid w:val="00233491"/>
    <w:rsid w:val="00235FF2"/>
    <w:rsid w:val="00237885"/>
    <w:rsid w:val="002444D7"/>
    <w:rsid w:val="00245242"/>
    <w:rsid w:val="00245543"/>
    <w:rsid w:val="00246F0F"/>
    <w:rsid w:val="00252B7F"/>
    <w:rsid w:val="00254325"/>
    <w:rsid w:val="00255360"/>
    <w:rsid w:val="00261AB5"/>
    <w:rsid w:val="00261E9E"/>
    <w:rsid w:val="00261F93"/>
    <w:rsid w:val="00263C5D"/>
    <w:rsid w:val="002645F7"/>
    <w:rsid w:val="002715AA"/>
    <w:rsid w:val="00271994"/>
    <w:rsid w:val="00274F24"/>
    <w:rsid w:val="00283D5A"/>
    <w:rsid w:val="00291915"/>
    <w:rsid w:val="00296412"/>
    <w:rsid w:val="00296645"/>
    <w:rsid w:val="00297497"/>
    <w:rsid w:val="002A2977"/>
    <w:rsid w:val="002A6224"/>
    <w:rsid w:val="002B0B34"/>
    <w:rsid w:val="002B185A"/>
    <w:rsid w:val="002B2E19"/>
    <w:rsid w:val="002B3193"/>
    <w:rsid w:val="002B3350"/>
    <w:rsid w:val="002B511C"/>
    <w:rsid w:val="002B6176"/>
    <w:rsid w:val="002B7601"/>
    <w:rsid w:val="002C3E91"/>
    <w:rsid w:val="002C6247"/>
    <w:rsid w:val="002D1FC9"/>
    <w:rsid w:val="002D701F"/>
    <w:rsid w:val="002E25BD"/>
    <w:rsid w:val="002E5E82"/>
    <w:rsid w:val="002F134C"/>
    <w:rsid w:val="002F2BB3"/>
    <w:rsid w:val="00303954"/>
    <w:rsid w:val="0030634B"/>
    <w:rsid w:val="003066B7"/>
    <w:rsid w:val="00306E45"/>
    <w:rsid w:val="00310B94"/>
    <w:rsid w:val="00310D34"/>
    <w:rsid w:val="003206A4"/>
    <w:rsid w:val="0032319A"/>
    <w:rsid w:val="003236C1"/>
    <w:rsid w:val="00325B17"/>
    <w:rsid w:val="00325C08"/>
    <w:rsid w:val="00327FE0"/>
    <w:rsid w:val="00330CAE"/>
    <w:rsid w:val="00332B13"/>
    <w:rsid w:val="00333753"/>
    <w:rsid w:val="00337C5E"/>
    <w:rsid w:val="00341778"/>
    <w:rsid w:val="00346889"/>
    <w:rsid w:val="003471DB"/>
    <w:rsid w:val="003504CA"/>
    <w:rsid w:val="00352D42"/>
    <w:rsid w:val="00357A81"/>
    <w:rsid w:val="003607C1"/>
    <w:rsid w:val="00362719"/>
    <w:rsid w:val="003642D8"/>
    <w:rsid w:val="00366D4E"/>
    <w:rsid w:val="00370A45"/>
    <w:rsid w:val="00370CD5"/>
    <w:rsid w:val="00371FA7"/>
    <w:rsid w:val="00373DB1"/>
    <w:rsid w:val="00374909"/>
    <w:rsid w:val="00380208"/>
    <w:rsid w:val="0038061D"/>
    <w:rsid w:val="00381F52"/>
    <w:rsid w:val="00387051"/>
    <w:rsid w:val="003916B9"/>
    <w:rsid w:val="0039425A"/>
    <w:rsid w:val="00394583"/>
    <w:rsid w:val="00396144"/>
    <w:rsid w:val="003A00C9"/>
    <w:rsid w:val="003B31F3"/>
    <w:rsid w:val="003C5C05"/>
    <w:rsid w:val="003D0187"/>
    <w:rsid w:val="003D384C"/>
    <w:rsid w:val="003D62E4"/>
    <w:rsid w:val="003D6B4A"/>
    <w:rsid w:val="003E1408"/>
    <w:rsid w:val="003E3E4A"/>
    <w:rsid w:val="003E4BE8"/>
    <w:rsid w:val="003E5F19"/>
    <w:rsid w:val="003E75FF"/>
    <w:rsid w:val="003F1E9F"/>
    <w:rsid w:val="003F2C7B"/>
    <w:rsid w:val="004014F2"/>
    <w:rsid w:val="00406CB4"/>
    <w:rsid w:val="0040790E"/>
    <w:rsid w:val="00410C9E"/>
    <w:rsid w:val="00414A1E"/>
    <w:rsid w:val="00417E06"/>
    <w:rsid w:val="00421EB7"/>
    <w:rsid w:val="00424B14"/>
    <w:rsid w:val="00427344"/>
    <w:rsid w:val="004341B4"/>
    <w:rsid w:val="0044304E"/>
    <w:rsid w:val="00444E0A"/>
    <w:rsid w:val="00453C48"/>
    <w:rsid w:val="00454ED2"/>
    <w:rsid w:val="00456066"/>
    <w:rsid w:val="004560C7"/>
    <w:rsid w:val="004604AE"/>
    <w:rsid w:val="004609F6"/>
    <w:rsid w:val="004609FE"/>
    <w:rsid w:val="004633EB"/>
    <w:rsid w:val="00463ECE"/>
    <w:rsid w:val="004651F0"/>
    <w:rsid w:val="004779C8"/>
    <w:rsid w:val="004852E3"/>
    <w:rsid w:val="00491778"/>
    <w:rsid w:val="004919C7"/>
    <w:rsid w:val="00491FFE"/>
    <w:rsid w:val="004952F2"/>
    <w:rsid w:val="004A34F7"/>
    <w:rsid w:val="004A69B1"/>
    <w:rsid w:val="004B2174"/>
    <w:rsid w:val="004B4E1F"/>
    <w:rsid w:val="004C5737"/>
    <w:rsid w:val="004D377D"/>
    <w:rsid w:val="004E0E0A"/>
    <w:rsid w:val="004E0F78"/>
    <w:rsid w:val="004E1FFC"/>
    <w:rsid w:val="004E2F19"/>
    <w:rsid w:val="004F4D02"/>
    <w:rsid w:val="004F562B"/>
    <w:rsid w:val="004F72B6"/>
    <w:rsid w:val="004F78D3"/>
    <w:rsid w:val="00500F7B"/>
    <w:rsid w:val="00501A3B"/>
    <w:rsid w:val="0050269A"/>
    <w:rsid w:val="0050434E"/>
    <w:rsid w:val="00506BB9"/>
    <w:rsid w:val="005127E4"/>
    <w:rsid w:val="005142AF"/>
    <w:rsid w:val="0051502A"/>
    <w:rsid w:val="0052243A"/>
    <w:rsid w:val="00523663"/>
    <w:rsid w:val="00523D04"/>
    <w:rsid w:val="005262D6"/>
    <w:rsid w:val="0052694B"/>
    <w:rsid w:val="00526C5A"/>
    <w:rsid w:val="00530322"/>
    <w:rsid w:val="00533117"/>
    <w:rsid w:val="00534463"/>
    <w:rsid w:val="005347B7"/>
    <w:rsid w:val="00534F02"/>
    <w:rsid w:val="005362B5"/>
    <w:rsid w:val="00536488"/>
    <w:rsid w:val="00544107"/>
    <w:rsid w:val="00544375"/>
    <w:rsid w:val="0055091A"/>
    <w:rsid w:val="00555D8D"/>
    <w:rsid w:val="00557C4A"/>
    <w:rsid w:val="00565B72"/>
    <w:rsid w:val="005665E0"/>
    <w:rsid w:val="00572F0D"/>
    <w:rsid w:val="005751A1"/>
    <w:rsid w:val="005759A6"/>
    <w:rsid w:val="00575F2F"/>
    <w:rsid w:val="00586BE8"/>
    <w:rsid w:val="00591783"/>
    <w:rsid w:val="005B2180"/>
    <w:rsid w:val="005B2863"/>
    <w:rsid w:val="005B2D9F"/>
    <w:rsid w:val="005B4D24"/>
    <w:rsid w:val="005B4E28"/>
    <w:rsid w:val="005C1632"/>
    <w:rsid w:val="005C2748"/>
    <w:rsid w:val="005C2A4D"/>
    <w:rsid w:val="005C31E3"/>
    <w:rsid w:val="005D3C28"/>
    <w:rsid w:val="005D5BF8"/>
    <w:rsid w:val="005D6A7F"/>
    <w:rsid w:val="005E102D"/>
    <w:rsid w:val="005E3CA6"/>
    <w:rsid w:val="005E5593"/>
    <w:rsid w:val="005E57F9"/>
    <w:rsid w:val="005E7631"/>
    <w:rsid w:val="005F38B8"/>
    <w:rsid w:val="00600741"/>
    <w:rsid w:val="00601801"/>
    <w:rsid w:val="00602AFD"/>
    <w:rsid w:val="00604582"/>
    <w:rsid w:val="00604FFF"/>
    <w:rsid w:val="006057D4"/>
    <w:rsid w:val="0061041E"/>
    <w:rsid w:val="00611902"/>
    <w:rsid w:val="00612AC4"/>
    <w:rsid w:val="00612E61"/>
    <w:rsid w:val="0061380D"/>
    <w:rsid w:val="00614A45"/>
    <w:rsid w:val="00616BE9"/>
    <w:rsid w:val="00617F97"/>
    <w:rsid w:val="006207B6"/>
    <w:rsid w:val="00621112"/>
    <w:rsid w:val="006231C8"/>
    <w:rsid w:val="006251E6"/>
    <w:rsid w:val="006308CC"/>
    <w:rsid w:val="00634E12"/>
    <w:rsid w:val="00641148"/>
    <w:rsid w:val="00663408"/>
    <w:rsid w:val="006636DF"/>
    <w:rsid w:val="006668CF"/>
    <w:rsid w:val="00670394"/>
    <w:rsid w:val="006709EC"/>
    <w:rsid w:val="006709F1"/>
    <w:rsid w:val="006711ED"/>
    <w:rsid w:val="00673C43"/>
    <w:rsid w:val="00674E00"/>
    <w:rsid w:val="00683F94"/>
    <w:rsid w:val="006858A7"/>
    <w:rsid w:val="00686D68"/>
    <w:rsid w:val="0069580A"/>
    <w:rsid w:val="006A4685"/>
    <w:rsid w:val="006A6F6B"/>
    <w:rsid w:val="006A7E61"/>
    <w:rsid w:val="006B25DA"/>
    <w:rsid w:val="006B56CD"/>
    <w:rsid w:val="006B76CA"/>
    <w:rsid w:val="006C295E"/>
    <w:rsid w:val="006C5A7D"/>
    <w:rsid w:val="006C7577"/>
    <w:rsid w:val="006D2B46"/>
    <w:rsid w:val="006D2CF3"/>
    <w:rsid w:val="006D48DA"/>
    <w:rsid w:val="006D49E5"/>
    <w:rsid w:val="006E0107"/>
    <w:rsid w:val="006E32A8"/>
    <w:rsid w:val="006E6E04"/>
    <w:rsid w:val="006F0021"/>
    <w:rsid w:val="006F0EFD"/>
    <w:rsid w:val="006F587B"/>
    <w:rsid w:val="006F67C3"/>
    <w:rsid w:val="00701957"/>
    <w:rsid w:val="00710ECF"/>
    <w:rsid w:val="00716897"/>
    <w:rsid w:val="00716FD1"/>
    <w:rsid w:val="00717DBE"/>
    <w:rsid w:val="00723458"/>
    <w:rsid w:val="00725D6E"/>
    <w:rsid w:val="00726801"/>
    <w:rsid w:val="00727704"/>
    <w:rsid w:val="007339DD"/>
    <w:rsid w:val="0073653D"/>
    <w:rsid w:val="00737535"/>
    <w:rsid w:val="00737D16"/>
    <w:rsid w:val="00737EB4"/>
    <w:rsid w:val="007415BA"/>
    <w:rsid w:val="00741E09"/>
    <w:rsid w:val="00745DD5"/>
    <w:rsid w:val="00751856"/>
    <w:rsid w:val="00752A8C"/>
    <w:rsid w:val="00753FF0"/>
    <w:rsid w:val="0075688E"/>
    <w:rsid w:val="007611FF"/>
    <w:rsid w:val="00763B04"/>
    <w:rsid w:val="00763EB9"/>
    <w:rsid w:val="00764F77"/>
    <w:rsid w:val="00765525"/>
    <w:rsid w:val="007656F5"/>
    <w:rsid w:val="00766AA1"/>
    <w:rsid w:val="00770367"/>
    <w:rsid w:val="00770695"/>
    <w:rsid w:val="00775AEE"/>
    <w:rsid w:val="0078128D"/>
    <w:rsid w:val="0078345A"/>
    <w:rsid w:val="007843E2"/>
    <w:rsid w:val="00791B21"/>
    <w:rsid w:val="00791F8D"/>
    <w:rsid w:val="00793F60"/>
    <w:rsid w:val="007A2154"/>
    <w:rsid w:val="007A3DD9"/>
    <w:rsid w:val="007A581A"/>
    <w:rsid w:val="007B0111"/>
    <w:rsid w:val="007B1999"/>
    <w:rsid w:val="007B6EB5"/>
    <w:rsid w:val="007B7396"/>
    <w:rsid w:val="007B7659"/>
    <w:rsid w:val="007B799A"/>
    <w:rsid w:val="007C1271"/>
    <w:rsid w:val="007C22FC"/>
    <w:rsid w:val="007C60C5"/>
    <w:rsid w:val="007D283A"/>
    <w:rsid w:val="007D61AD"/>
    <w:rsid w:val="007E004E"/>
    <w:rsid w:val="007E17FA"/>
    <w:rsid w:val="007E4FA4"/>
    <w:rsid w:val="007F7BCE"/>
    <w:rsid w:val="008010D6"/>
    <w:rsid w:val="00807FB5"/>
    <w:rsid w:val="00812C9F"/>
    <w:rsid w:val="00813B14"/>
    <w:rsid w:val="008150E5"/>
    <w:rsid w:val="00816F28"/>
    <w:rsid w:val="00820263"/>
    <w:rsid w:val="00820C2A"/>
    <w:rsid w:val="00823AB0"/>
    <w:rsid w:val="00824082"/>
    <w:rsid w:val="00825848"/>
    <w:rsid w:val="0083207C"/>
    <w:rsid w:val="008324F9"/>
    <w:rsid w:val="008440A8"/>
    <w:rsid w:val="00844283"/>
    <w:rsid w:val="00845622"/>
    <w:rsid w:val="00845769"/>
    <w:rsid w:val="00850720"/>
    <w:rsid w:val="00850800"/>
    <w:rsid w:val="00852620"/>
    <w:rsid w:val="00855FD1"/>
    <w:rsid w:val="00861ACB"/>
    <w:rsid w:val="00863088"/>
    <w:rsid w:val="00863BE8"/>
    <w:rsid w:val="00865926"/>
    <w:rsid w:val="00873588"/>
    <w:rsid w:val="0087448E"/>
    <w:rsid w:val="008751F9"/>
    <w:rsid w:val="00877892"/>
    <w:rsid w:val="00877C80"/>
    <w:rsid w:val="00880C6C"/>
    <w:rsid w:val="008822B8"/>
    <w:rsid w:val="00882EDF"/>
    <w:rsid w:val="0088702A"/>
    <w:rsid w:val="00890BDD"/>
    <w:rsid w:val="00890F1E"/>
    <w:rsid w:val="0089163C"/>
    <w:rsid w:val="008A3EDA"/>
    <w:rsid w:val="008A4D15"/>
    <w:rsid w:val="008A530D"/>
    <w:rsid w:val="008B03F5"/>
    <w:rsid w:val="008B12C2"/>
    <w:rsid w:val="008B356C"/>
    <w:rsid w:val="008B4566"/>
    <w:rsid w:val="008B533A"/>
    <w:rsid w:val="008B5BBC"/>
    <w:rsid w:val="008B6DEF"/>
    <w:rsid w:val="008C1B31"/>
    <w:rsid w:val="008C627C"/>
    <w:rsid w:val="008C6847"/>
    <w:rsid w:val="008C7F9F"/>
    <w:rsid w:val="008D4191"/>
    <w:rsid w:val="008D5F22"/>
    <w:rsid w:val="008D6A95"/>
    <w:rsid w:val="008E4648"/>
    <w:rsid w:val="008E62D6"/>
    <w:rsid w:val="008F0B17"/>
    <w:rsid w:val="008F33F8"/>
    <w:rsid w:val="008F34CA"/>
    <w:rsid w:val="008F3F87"/>
    <w:rsid w:val="008F4E73"/>
    <w:rsid w:val="008F7127"/>
    <w:rsid w:val="00900BD3"/>
    <w:rsid w:val="00900E36"/>
    <w:rsid w:val="00903950"/>
    <w:rsid w:val="00903E8F"/>
    <w:rsid w:val="00906A2F"/>
    <w:rsid w:val="00907D9D"/>
    <w:rsid w:val="0091519E"/>
    <w:rsid w:val="0091592B"/>
    <w:rsid w:val="0092163A"/>
    <w:rsid w:val="00921CEB"/>
    <w:rsid w:val="009245C1"/>
    <w:rsid w:val="00931084"/>
    <w:rsid w:val="00931A2B"/>
    <w:rsid w:val="00932000"/>
    <w:rsid w:val="00934547"/>
    <w:rsid w:val="0093555D"/>
    <w:rsid w:val="00935A8E"/>
    <w:rsid w:val="00937DC7"/>
    <w:rsid w:val="0094497C"/>
    <w:rsid w:val="0094588A"/>
    <w:rsid w:val="0094767B"/>
    <w:rsid w:val="00950012"/>
    <w:rsid w:val="00950BEF"/>
    <w:rsid w:val="009516CA"/>
    <w:rsid w:val="00952885"/>
    <w:rsid w:val="00957B56"/>
    <w:rsid w:val="00957D64"/>
    <w:rsid w:val="00960DFB"/>
    <w:rsid w:val="009611DF"/>
    <w:rsid w:val="0096321C"/>
    <w:rsid w:val="009751C0"/>
    <w:rsid w:val="0098218C"/>
    <w:rsid w:val="00982FF9"/>
    <w:rsid w:val="00992993"/>
    <w:rsid w:val="00992E88"/>
    <w:rsid w:val="009939DA"/>
    <w:rsid w:val="00997727"/>
    <w:rsid w:val="009977D9"/>
    <w:rsid w:val="009A217D"/>
    <w:rsid w:val="009A3C66"/>
    <w:rsid w:val="009A45B4"/>
    <w:rsid w:val="009A4F12"/>
    <w:rsid w:val="009A6951"/>
    <w:rsid w:val="009A71BB"/>
    <w:rsid w:val="009B1B33"/>
    <w:rsid w:val="009B2BDF"/>
    <w:rsid w:val="009B4E5D"/>
    <w:rsid w:val="009B55B3"/>
    <w:rsid w:val="009C0324"/>
    <w:rsid w:val="009C1857"/>
    <w:rsid w:val="009C2301"/>
    <w:rsid w:val="009C5D40"/>
    <w:rsid w:val="009C5EED"/>
    <w:rsid w:val="009D192C"/>
    <w:rsid w:val="009D4CC7"/>
    <w:rsid w:val="009D5108"/>
    <w:rsid w:val="009D510B"/>
    <w:rsid w:val="009E5D1F"/>
    <w:rsid w:val="009E7628"/>
    <w:rsid w:val="009F45BC"/>
    <w:rsid w:val="009F5859"/>
    <w:rsid w:val="009F7A92"/>
    <w:rsid w:val="00A05AB6"/>
    <w:rsid w:val="00A11B30"/>
    <w:rsid w:val="00A12F6C"/>
    <w:rsid w:val="00A13AAF"/>
    <w:rsid w:val="00A14319"/>
    <w:rsid w:val="00A147D7"/>
    <w:rsid w:val="00A15768"/>
    <w:rsid w:val="00A20017"/>
    <w:rsid w:val="00A206F3"/>
    <w:rsid w:val="00A24AB5"/>
    <w:rsid w:val="00A24BF1"/>
    <w:rsid w:val="00A25B2E"/>
    <w:rsid w:val="00A32ACE"/>
    <w:rsid w:val="00A33507"/>
    <w:rsid w:val="00A403C6"/>
    <w:rsid w:val="00A40E5D"/>
    <w:rsid w:val="00A419AC"/>
    <w:rsid w:val="00A41A37"/>
    <w:rsid w:val="00A41F76"/>
    <w:rsid w:val="00A461DA"/>
    <w:rsid w:val="00A463E8"/>
    <w:rsid w:val="00A47930"/>
    <w:rsid w:val="00A528D3"/>
    <w:rsid w:val="00A52FE2"/>
    <w:rsid w:val="00A54E0F"/>
    <w:rsid w:val="00A57002"/>
    <w:rsid w:val="00A57AB8"/>
    <w:rsid w:val="00A61CCA"/>
    <w:rsid w:val="00A63B6D"/>
    <w:rsid w:val="00A65296"/>
    <w:rsid w:val="00A66EC9"/>
    <w:rsid w:val="00A72F25"/>
    <w:rsid w:val="00A73A38"/>
    <w:rsid w:val="00A75692"/>
    <w:rsid w:val="00A802F1"/>
    <w:rsid w:val="00A8126A"/>
    <w:rsid w:val="00A842E8"/>
    <w:rsid w:val="00A852F5"/>
    <w:rsid w:val="00A91DAC"/>
    <w:rsid w:val="00A91F29"/>
    <w:rsid w:val="00A920B6"/>
    <w:rsid w:val="00A979D1"/>
    <w:rsid w:val="00AA70F2"/>
    <w:rsid w:val="00AB04B1"/>
    <w:rsid w:val="00AB517B"/>
    <w:rsid w:val="00AB5683"/>
    <w:rsid w:val="00AB5ED8"/>
    <w:rsid w:val="00AB7421"/>
    <w:rsid w:val="00AB77E7"/>
    <w:rsid w:val="00AB79CA"/>
    <w:rsid w:val="00AC4611"/>
    <w:rsid w:val="00AC569A"/>
    <w:rsid w:val="00AC6675"/>
    <w:rsid w:val="00AD28B3"/>
    <w:rsid w:val="00AD358C"/>
    <w:rsid w:val="00AD3AD6"/>
    <w:rsid w:val="00AD6DE5"/>
    <w:rsid w:val="00AF3442"/>
    <w:rsid w:val="00AF5F06"/>
    <w:rsid w:val="00B029E8"/>
    <w:rsid w:val="00B02F56"/>
    <w:rsid w:val="00B079FD"/>
    <w:rsid w:val="00B1024B"/>
    <w:rsid w:val="00B11E44"/>
    <w:rsid w:val="00B16D4A"/>
    <w:rsid w:val="00B2031B"/>
    <w:rsid w:val="00B204A5"/>
    <w:rsid w:val="00B218A2"/>
    <w:rsid w:val="00B24612"/>
    <w:rsid w:val="00B258F3"/>
    <w:rsid w:val="00B26492"/>
    <w:rsid w:val="00B266D8"/>
    <w:rsid w:val="00B30665"/>
    <w:rsid w:val="00B32781"/>
    <w:rsid w:val="00B35C3C"/>
    <w:rsid w:val="00B35DC5"/>
    <w:rsid w:val="00B36562"/>
    <w:rsid w:val="00B36CBF"/>
    <w:rsid w:val="00B40849"/>
    <w:rsid w:val="00B41479"/>
    <w:rsid w:val="00B4264C"/>
    <w:rsid w:val="00B52EAF"/>
    <w:rsid w:val="00B5348E"/>
    <w:rsid w:val="00B53593"/>
    <w:rsid w:val="00B539B8"/>
    <w:rsid w:val="00B56D5D"/>
    <w:rsid w:val="00B57EEE"/>
    <w:rsid w:val="00B65D7B"/>
    <w:rsid w:val="00B65E4E"/>
    <w:rsid w:val="00B74610"/>
    <w:rsid w:val="00B76943"/>
    <w:rsid w:val="00B82BC1"/>
    <w:rsid w:val="00B830B5"/>
    <w:rsid w:val="00B904BE"/>
    <w:rsid w:val="00B90556"/>
    <w:rsid w:val="00B93575"/>
    <w:rsid w:val="00B9379A"/>
    <w:rsid w:val="00B945C0"/>
    <w:rsid w:val="00B94835"/>
    <w:rsid w:val="00B96CCD"/>
    <w:rsid w:val="00BA05FC"/>
    <w:rsid w:val="00BA0C14"/>
    <w:rsid w:val="00BA5AF0"/>
    <w:rsid w:val="00BA66E2"/>
    <w:rsid w:val="00BB1D10"/>
    <w:rsid w:val="00BB2160"/>
    <w:rsid w:val="00BB3852"/>
    <w:rsid w:val="00BB5578"/>
    <w:rsid w:val="00BB6F67"/>
    <w:rsid w:val="00BC1B50"/>
    <w:rsid w:val="00BC20D6"/>
    <w:rsid w:val="00BC20F0"/>
    <w:rsid w:val="00BC52EC"/>
    <w:rsid w:val="00BC7680"/>
    <w:rsid w:val="00BD0A0A"/>
    <w:rsid w:val="00BD2277"/>
    <w:rsid w:val="00BD36BD"/>
    <w:rsid w:val="00BD45ED"/>
    <w:rsid w:val="00BD4FDB"/>
    <w:rsid w:val="00BD6E2E"/>
    <w:rsid w:val="00BE0D1C"/>
    <w:rsid w:val="00BE4F5C"/>
    <w:rsid w:val="00BF217C"/>
    <w:rsid w:val="00C029B1"/>
    <w:rsid w:val="00C0322B"/>
    <w:rsid w:val="00C032D0"/>
    <w:rsid w:val="00C05D5D"/>
    <w:rsid w:val="00C10E22"/>
    <w:rsid w:val="00C1301F"/>
    <w:rsid w:val="00C14955"/>
    <w:rsid w:val="00C15477"/>
    <w:rsid w:val="00C208DB"/>
    <w:rsid w:val="00C209CD"/>
    <w:rsid w:val="00C20BAD"/>
    <w:rsid w:val="00C21230"/>
    <w:rsid w:val="00C2345A"/>
    <w:rsid w:val="00C23DC2"/>
    <w:rsid w:val="00C358A6"/>
    <w:rsid w:val="00C440B8"/>
    <w:rsid w:val="00C44CA0"/>
    <w:rsid w:val="00C52CFF"/>
    <w:rsid w:val="00C55C80"/>
    <w:rsid w:val="00C62488"/>
    <w:rsid w:val="00C62FD7"/>
    <w:rsid w:val="00C63216"/>
    <w:rsid w:val="00C65313"/>
    <w:rsid w:val="00C664A9"/>
    <w:rsid w:val="00C67FDC"/>
    <w:rsid w:val="00C74C77"/>
    <w:rsid w:val="00C76EFF"/>
    <w:rsid w:val="00C81F40"/>
    <w:rsid w:val="00C83558"/>
    <w:rsid w:val="00C876D7"/>
    <w:rsid w:val="00C91AE1"/>
    <w:rsid w:val="00C923F1"/>
    <w:rsid w:val="00C94F1F"/>
    <w:rsid w:val="00CA11D7"/>
    <w:rsid w:val="00CA121F"/>
    <w:rsid w:val="00CA486F"/>
    <w:rsid w:val="00CC2E10"/>
    <w:rsid w:val="00CC49FA"/>
    <w:rsid w:val="00CC5789"/>
    <w:rsid w:val="00CC76B1"/>
    <w:rsid w:val="00CD0F95"/>
    <w:rsid w:val="00CE2B4F"/>
    <w:rsid w:val="00CE35AA"/>
    <w:rsid w:val="00CE673F"/>
    <w:rsid w:val="00CF21AA"/>
    <w:rsid w:val="00CF4068"/>
    <w:rsid w:val="00D04BF6"/>
    <w:rsid w:val="00D05221"/>
    <w:rsid w:val="00D11263"/>
    <w:rsid w:val="00D114DF"/>
    <w:rsid w:val="00D152BA"/>
    <w:rsid w:val="00D16820"/>
    <w:rsid w:val="00D245F9"/>
    <w:rsid w:val="00D24C6D"/>
    <w:rsid w:val="00D313F2"/>
    <w:rsid w:val="00D323B7"/>
    <w:rsid w:val="00D32C18"/>
    <w:rsid w:val="00D36AD4"/>
    <w:rsid w:val="00D40661"/>
    <w:rsid w:val="00D40CD9"/>
    <w:rsid w:val="00D44570"/>
    <w:rsid w:val="00D46A12"/>
    <w:rsid w:val="00D46D97"/>
    <w:rsid w:val="00D51BFD"/>
    <w:rsid w:val="00D5390D"/>
    <w:rsid w:val="00D54313"/>
    <w:rsid w:val="00D56393"/>
    <w:rsid w:val="00D573AB"/>
    <w:rsid w:val="00D64F28"/>
    <w:rsid w:val="00D66F81"/>
    <w:rsid w:val="00D71A37"/>
    <w:rsid w:val="00D73D91"/>
    <w:rsid w:val="00D743EC"/>
    <w:rsid w:val="00D746AC"/>
    <w:rsid w:val="00D74778"/>
    <w:rsid w:val="00D74DF3"/>
    <w:rsid w:val="00D76E8A"/>
    <w:rsid w:val="00D7710E"/>
    <w:rsid w:val="00D80BD9"/>
    <w:rsid w:val="00D82829"/>
    <w:rsid w:val="00D832BF"/>
    <w:rsid w:val="00D8497F"/>
    <w:rsid w:val="00D8639D"/>
    <w:rsid w:val="00D90684"/>
    <w:rsid w:val="00D94503"/>
    <w:rsid w:val="00D95640"/>
    <w:rsid w:val="00D96F86"/>
    <w:rsid w:val="00D9738D"/>
    <w:rsid w:val="00DA11F9"/>
    <w:rsid w:val="00DA3090"/>
    <w:rsid w:val="00DA491A"/>
    <w:rsid w:val="00DA6385"/>
    <w:rsid w:val="00DB09BB"/>
    <w:rsid w:val="00DB34C7"/>
    <w:rsid w:val="00DB4F50"/>
    <w:rsid w:val="00DB741E"/>
    <w:rsid w:val="00DB7BB0"/>
    <w:rsid w:val="00DC0863"/>
    <w:rsid w:val="00DC4582"/>
    <w:rsid w:val="00DC55BA"/>
    <w:rsid w:val="00DC6E80"/>
    <w:rsid w:val="00DC73B8"/>
    <w:rsid w:val="00DD11D6"/>
    <w:rsid w:val="00DD327B"/>
    <w:rsid w:val="00DD4B8B"/>
    <w:rsid w:val="00DD7FB8"/>
    <w:rsid w:val="00DE3BA6"/>
    <w:rsid w:val="00DE5512"/>
    <w:rsid w:val="00DE742B"/>
    <w:rsid w:val="00DE7832"/>
    <w:rsid w:val="00DF1F7E"/>
    <w:rsid w:val="00DF46BD"/>
    <w:rsid w:val="00DF5817"/>
    <w:rsid w:val="00DF603E"/>
    <w:rsid w:val="00DF6B0F"/>
    <w:rsid w:val="00E00794"/>
    <w:rsid w:val="00E06294"/>
    <w:rsid w:val="00E0707C"/>
    <w:rsid w:val="00E0746A"/>
    <w:rsid w:val="00E118E4"/>
    <w:rsid w:val="00E145EE"/>
    <w:rsid w:val="00E148D4"/>
    <w:rsid w:val="00E149E3"/>
    <w:rsid w:val="00E2080B"/>
    <w:rsid w:val="00E20C8C"/>
    <w:rsid w:val="00E21582"/>
    <w:rsid w:val="00E23928"/>
    <w:rsid w:val="00E25BB0"/>
    <w:rsid w:val="00E27617"/>
    <w:rsid w:val="00E315E3"/>
    <w:rsid w:val="00E364A6"/>
    <w:rsid w:val="00E37920"/>
    <w:rsid w:val="00E40CA9"/>
    <w:rsid w:val="00E43ECE"/>
    <w:rsid w:val="00E4555B"/>
    <w:rsid w:val="00E462D4"/>
    <w:rsid w:val="00E46978"/>
    <w:rsid w:val="00E50A7E"/>
    <w:rsid w:val="00E57A08"/>
    <w:rsid w:val="00E60D30"/>
    <w:rsid w:val="00E62780"/>
    <w:rsid w:val="00E662F8"/>
    <w:rsid w:val="00E75AFC"/>
    <w:rsid w:val="00E7718D"/>
    <w:rsid w:val="00E775B8"/>
    <w:rsid w:val="00E77EA8"/>
    <w:rsid w:val="00E84754"/>
    <w:rsid w:val="00E86FB7"/>
    <w:rsid w:val="00E87EFA"/>
    <w:rsid w:val="00E90397"/>
    <w:rsid w:val="00E90995"/>
    <w:rsid w:val="00E91ABD"/>
    <w:rsid w:val="00E930C3"/>
    <w:rsid w:val="00E934AF"/>
    <w:rsid w:val="00E94E7F"/>
    <w:rsid w:val="00EA4540"/>
    <w:rsid w:val="00EA4773"/>
    <w:rsid w:val="00EA5239"/>
    <w:rsid w:val="00EA6198"/>
    <w:rsid w:val="00EB0F19"/>
    <w:rsid w:val="00EB1337"/>
    <w:rsid w:val="00EB3DA6"/>
    <w:rsid w:val="00EC146E"/>
    <w:rsid w:val="00EC2F8F"/>
    <w:rsid w:val="00EC440D"/>
    <w:rsid w:val="00EC4682"/>
    <w:rsid w:val="00ED036E"/>
    <w:rsid w:val="00ED267A"/>
    <w:rsid w:val="00EE7640"/>
    <w:rsid w:val="00EF1352"/>
    <w:rsid w:val="00EF194D"/>
    <w:rsid w:val="00EF540E"/>
    <w:rsid w:val="00EF5D41"/>
    <w:rsid w:val="00EF7246"/>
    <w:rsid w:val="00F01E9D"/>
    <w:rsid w:val="00F03076"/>
    <w:rsid w:val="00F0370B"/>
    <w:rsid w:val="00F14394"/>
    <w:rsid w:val="00F17BD6"/>
    <w:rsid w:val="00F227BC"/>
    <w:rsid w:val="00F260E8"/>
    <w:rsid w:val="00F269D5"/>
    <w:rsid w:val="00F2768A"/>
    <w:rsid w:val="00F330A2"/>
    <w:rsid w:val="00F36CD8"/>
    <w:rsid w:val="00F36F0D"/>
    <w:rsid w:val="00F41C03"/>
    <w:rsid w:val="00F42047"/>
    <w:rsid w:val="00F42C4F"/>
    <w:rsid w:val="00F43CAF"/>
    <w:rsid w:val="00F44066"/>
    <w:rsid w:val="00F44576"/>
    <w:rsid w:val="00F45620"/>
    <w:rsid w:val="00F459B1"/>
    <w:rsid w:val="00F45A4D"/>
    <w:rsid w:val="00F45E83"/>
    <w:rsid w:val="00F46D69"/>
    <w:rsid w:val="00F4794C"/>
    <w:rsid w:val="00F52CBE"/>
    <w:rsid w:val="00F55557"/>
    <w:rsid w:val="00F65A97"/>
    <w:rsid w:val="00F66BA0"/>
    <w:rsid w:val="00F70762"/>
    <w:rsid w:val="00F8478F"/>
    <w:rsid w:val="00F84E9B"/>
    <w:rsid w:val="00F90D40"/>
    <w:rsid w:val="00F91229"/>
    <w:rsid w:val="00F93672"/>
    <w:rsid w:val="00F964D1"/>
    <w:rsid w:val="00FA6D06"/>
    <w:rsid w:val="00FB0CA6"/>
    <w:rsid w:val="00FB75D9"/>
    <w:rsid w:val="00FC0E2F"/>
    <w:rsid w:val="00FC3510"/>
    <w:rsid w:val="00FC54DB"/>
    <w:rsid w:val="00FC6744"/>
    <w:rsid w:val="00FC77E6"/>
    <w:rsid w:val="00FC7872"/>
    <w:rsid w:val="00FD115C"/>
    <w:rsid w:val="00FD18BE"/>
    <w:rsid w:val="00FD3547"/>
    <w:rsid w:val="00FD400E"/>
    <w:rsid w:val="00FD6C84"/>
    <w:rsid w:val="00FD7A64"/>
    <w:rsid w:val="00FD7E72"/>
    <w:rsid w:val="00FE0B01"/>
    <w:rsid w:val="00FE0FC1"/>
    <w:rsid w:val="00FE10EA"/>
    <w:rsid w:val="00FE1B2A"/>
    <w:rsid w:val="00FE3874"/>
    <w:rsid w:val="00FF0613"/>
    <w:rsid w:val="00FF0E1E"/>
    <w:rsid w:val="00FF3077"/>
    <w:rsid w:val="00FF4FFD"/>
    <w:rsid w:val="00FF5FF0"/>
    <w:rsid w:val="00FF6A30"/>
    <w:rsid w:val="00FF6D96"/>
    <w:rsid w:val="00FF784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1822"/>
  <w15:chartTrackingRefBased/>
  <w15:docId w15:val="{C27352E3-F94C-814D-B6DA-FC5FCB88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DB"/>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2D701F"/>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471DB"/>
    <w:pPr>
      <w:ind w:left="720"/>
      <w:contextualSpacing/>
    </w:pPr>
  </w:style>
  <w:style w:type="character" w:customStyle="1" w:styleId="PrrafodelistaCar">
    <w:name w:val="Párrafo de lista Car"/>
    <w:link w:val="Prrafodelista"/>
    <w:uiPriority w:val="34"/>
    <w:locked/>
    <w:rsid w:val="003471DB"/>
    <w:rPr>
      <w:rFonts w:eastAsiaTheme="minorEastAsia"/>
      <w:sz w:val="24"/>
      <w:szCs w:val="24"/>
      <w:lang w:val="es-ES_tradnl" w:eastAsia="es-ES"/>
    </w:rPr>
  </w:style>
  <w:style w:type="paragraph" w:styleId="Bibliografa">
    <w:name w:val="Bibliography"/>
    <w:basedOn w:val="Normal"/>
    <w:next w:val="Normal"/>
    <w:uiPriority w:val="37"/>
    <w:semiHidden/>
    <w:unhideWhenUsed/>
    <w:rsid w:val="003471DB"/>
  </w:style>
  <w:style w:type="character" w:styleId="Hipervnculo">
    <w:name w:val="Hyperlink"/>
    <w:basedOn w:val="Fuentedeprrafopredeter"/>
    <w:uiPriority w:val="99"/>
    <w:unhideWhenUsed/>
    <w:rsid w:val="003471DB"/>
    <w:rPr>
      <w:color w:val="0563C1" w:themeColor="hyperlink"/>
      <w:u w:val="single"/>
    </w:rPr>
  </w:style>
  <w:style w:type="character" w:customStyle="1" w:styleId="Mencinsinresolver1">
    <w:name w:val="Mención sin resolver1"/>
    <w:basedOn w:val="Fuentedeprrafopredeter"/>
    <w:uiPriority w:val="99"/>
    <w:semiHidden/>
    <w:unhideWhenUsed/>
    <w:rsid w:val="00AD28B3"/>
    <w:rPr>
      <w:color w:val="605E5C"/>
      <w:shd w:val="clear" w:color="auto" w:fill="E1DFDD"/>
    </w:rPr>
  </w:style>
  <w:style w:type="character" w:customStyle="1" w:styleId="Ttulo1Car">
    <w:name w:val="Título 1 Car"/>
    <w:basedOn w:val="Fuentedeprrafopredeter"/>
    <w:link w:val="Ttulo1"/>
    <w:uiPriority w:val="9"/>
    <w:rsid w:val="002D701F"/>
    <w:rPr>
      <w:rFonts w:ascii="Times New Roman" w:eastAsia="Times New Roman" w:hAnsi="Times New Roman" w:cs="Times New Roman"/>
      <w:b/>
      <w:bCs/>
      <w:kern w:val="36"/>
      <w:sz w:val="48"/>
      <w:szCs w:val="48"/>
      <w:lang w:eastAsia="es-MX"/>
    </w:rPr>
  </w:style>
  <w:style w:type="table" w:styleId="Tablanormal2">
    <w:name w:val="Plain Table 2"/>
    <w:basedOn w:val="Tablanormal"/>
    <w:uiPriority w:val="42"/>
    <w:rsid w:val="00BD4F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523663"/>
    <w:rPr>
      <w:b/>
      <w:bCs/>
    </w:rPr>
  </w:style>
  <w:style w:type="character" w:customStyle="1" w:styleId="fontrow">
    <w:name w:val="fontrow"/>
    <w:basedOn w:val="Fuentedeprrafopredeter"/>
    <w:rsid w:val="00B41479"/>
  </w:style>
  <w:style w:type="character" w:styleId="nfasis">
    <w:name w:val="Emphasis"/>
    <w:basedOn w:val="Fuentedeprrafopredeter"/>
    <w:uiPriority w:val="20"/>
    <w:qFormat/>
    <w:rsid w:val="00931084"/>
    <w:rPr>
      <w:i/>
      <w:iCs/>
    </w:rPr>
  </w:style>
  <w:style w:type="character" w:customStyle="1" w:styleId="personname">
    <w:name w:val="person_name"/>
    <w:basedOn w:val="Fuentedeprrafopredeter"/>
    <w:rsid w:val="00E60D30"/>
  </w:style>
  <w:style w:type="table" w:styleId="Tablaconcuadrcula">
    <w:name w:val="Table Grid"/>
    <w:basedOn w:val="Tablanormal"/>
    <w:uiPriority w:val="39"/>
    <w:rsid w:val="000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979D1"/>
    <w:rPr>
      <w:color w:val="605E5C"/>
      <w:shd w:val="clear" w:color="auto" w:fill="E1DFDD"/>
    </w:rPr>
  </w:style>
  <w:style w:type="character" w:customStyle="1" w:styleId="normaltextrun">
    <w:name w:val="normaltextrun"/>
    <w:basedOn w:val="Fuentedeprrafopredeter"/>
    <w:rsid w:val="003E5F19"/>
  </w:style>
  <w:style w:type="character" w:styleId="Refdecomentario">
    <w:name w:val="annotation reference"/>
    <w:basedOn w:val="Fuentedeprrafopredeter"/>
    <w:uiPriority w:val="99"/>
    <w:semiHidden/>
    <w:unhideWhenUsed/>
    <w:rsid w:val="00337C5E"/>
    <w:rPr>
      <w:sz w:val="16"/>
      <w:szCs w:val="16"/>
    </w:rPr>
  </w:style>
  <w:style w:type="paragraph" w:styleId="Textocomentario">
    <w:name w:val="annotation text"/>
    <w:basedOn w:val="Normal"/>
    <w:link w:val="TextocomentarioCar"/>
    <w:uiPriority w:val="99"/>
    <w:semiHidden/>
    <w:unhideWhenUsed/>
    <w:rsid w:val="00337C5E"/>
    <w:rPr>
      <w:sz w:val="20"/>
      <w:szCs w:val="20"/>
    </w:rPr>
  </w:style>
  <w:style w:type="character" w:customStyle="1" w:styleId="TextocomentarioCar">
    <w:name w:val="Texto comentario Car"/>
    <w:basedOn w:val="Fuentedeprrafopredeter"/>
    <w:link w:val="Textocomentario"/>
    <w:uiPriority w:val="99"/>
    <w:semiHidden/>
    <w:rsid w:val="00337C5E"/>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37C5E"/>
    <w:rPr>
      <w:b/>
      <w:bCs/>
    </w:rPr>
  </w:style>
  <w:style w:type="character" w:customStyle="1" w:styleId="AsuntodelcomentarioCar">
    <w:name w:val="Asunto del comentario Car"/>
    <w:basedOn w:val="TextocomentarioCar"/>
    <w:link w:val="Asuntodelcomentario"/>
    <w:uiPriority w:val="99"/>
    <w:semiHidden/>
    <w:rsid w:val="00337C5E"/>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337C5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37C5E"/>
    <w:rPr>
      <w:rFonts w:ascii="Times New Roman" w:eastAsiaTheme="minorEastAsia" w:hAnsi="Times New Roman" w:cs="Times New Roman"/>
      <w:sz w:val="18"/>
      <w:szCs w:val="18"/>
      <w:lang w:val="es-ES_tradnl" w:eastAsia="es-ES"/>
    </w:rPr>
  </w:style>
  <w:style w:type="paragraph" w:styleId="Revisin">
    <w:name w:val="Revision"/>
    <w:hidden/>
    <w:uiPriority w:val="99"/>
    <w:semiHidden/>
    <w:rsid w:val="00337C5E"/>
    <w:pPr>
      <w:spacing w:after="0" w:line="240" w:lineRule="auto"/>
    </w:pPr>
    <w:rPr>
      <w:rFonts w:eastAsiaTheme="minorEastAsia"/>
      <w:sz w:val="24"/>
      <w:szCs w:val="24"/>
      <w:lang w:val="es-ES_tradnl" w:eastAsia="es-ES"/>
    </w:rPr>
  </w:style>
  <w:style w:type="character" w:styleId="Mencinsinresolver">
    <w:name w:val="Unresolved Mention"/>
    <w:basedOn w:val="Fuentedeprrafopredeter"/>
    <w:uiPriority w:val="99"/>
    <w:semiHidden/>
    <w:unhideWhenUsed/>
    <w:rsid w:val="004F562B"/>
    <w:rPr>
      <w:color w:val="605E5C"/>
      <w:shd w:val="clear" w:color="auto" w:fill="E1DFDD"/>
    </w:rPr>
  </w:style>
  <w:style w:type="character" w:customStyle="1" w:styleId="journal">
    <w:name w:val="journal"/>
    <w:basedOn w:val="Fuentedeprrafopredeter"/>
    <w:rsid w:val="000F036D"/>
  </w:style>
  <w:style w:type="character" w:customStyle="1" w:styleId="issue">
    <w:name w:val="issue"/>
    <w:basedOn w:val="Fuentedeprrafopredeter"/>
    <w:rsid w:val="000F036D"/>
  </w:style>
  <w:style w:type="character" w:customStyle="1" w:styleId="volume">
    <w:name w:val="volume"/>
    <w:basedOn w:val="Fuentedeprrafopredeter"/>
    <w:rsid w:val="000F036D"/>
  </w:style>
  <w:style w:type="paragraph" w:customStyle="1" w:styleId="art-title">
    <w:name w:val="art-title"/>
    <w:basedOn w:val="Normal"/>
    <w:rsid w:val="00444E0A"/>
    <w:pPr>
      <w:spacing w:before="100" w:beforeAutospacing="1" w:after="100" w:afterAutospacing="1"/>
    </w:pPr>
    <w:rPr>
      <w:rFonts w:ascii="Times New Roman" w:eastAsia="Times New Roman" w:hAnsi="Times New Roman" w:cs="Times New Roman"/>
      <w:lang w:val="es-MX" w:eastAsia="es-MX"/>
    </w:rPr>
  </w:style>
  <w:style w:type="paragraph" w:customStyle="1" w:styleId="numero">
    <w:name w:val="numero"/>
    <w:basedOn w:val="Normal"/>
    <w:rsid w:val="00444E0A"/>
    <w:pPr>
      <w:spacing w:before="100" w:beforeAutospacing="1" w:after="100" w:afterAutospacing="1"/>
    </w:pPr>
    <w:rPr>
      <w:rFonts w:ascii="Times New Roman" w:eastAsia="Times New Roman" w:hAnsi="Times New Roman" w:cs="Times New Roman"/>
      <w:lang w:val="es-MX" w:eastAsia="es-MX"/>
    </w:rPr>
  </w:style>
  <w:style w:type="paragraph" w:styleId="Textonotapie">
    <w:name w:val="footnote text"/>
    <w:basedOn w:val="Normal"/>
    <w:link w:val="TextonotapieCar"/>
    <w:uiPriority w:val="99"/>
    <w:semiHidden/>
    <w:unhideWhenUsed/>
    <w:rsid w:val="00FD400E"/>
    <w:rPr>
      <w:sz w:val="20"/>
      <w:szCs w:val="20"/>
    </w:rPr>
  </w:style>
  <w:style w:type="character" w:customStyle="1" w:styleId="TextonotapieCar">
    <w:name w:val="Texto nota pie Car"/>
    <w:basedOn w:val="Fuentedeprrafopredeter"/>
    <w:link w:val="Textonotapie"/>
    <w:uiPriority w:val="99"/>
    <w:semiHidden/>
    <w:rsid w:val="00FD400E"/>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FD400E"/>
    <w:rPr>
      <w:vertAlign w:val="superscript"/>
    </w:rPr>
  </w:style>
  <w:style w:type="paragraph" w:styleId="Encabezado">
    <w:name w:val="header"/>
    <w:basedOn w:val="Normal"/>
    <w:link w:val="EncabezadoCar"/>
    <w:uiPriority w:val="99"/>
    <w:unhideWhenUsed/>
    <w:rsid w:val="00191E0C"/>
    <w:pPr>
      <w:tabs>
        <w:tab w:val="center" w:pos="4252"/>
        <w:tab w:val="right" w:pos="8504"/>
      </w:tabs>
    </w:pPr>
  </w:style>
  <w:style w:type="character" w:customStyle="1" w:styleId="EncabezadoCar">
    <w:name w:val="Encabezado Car"/>
    <w:basedOn w:val="Fuentedeprrafopredeter"/>
    <w:link w:val="Encabezado"/>
    <w:uiPriority w:val="99"/>
    <w:rsid w:val="00191E0C"/>
    <w:rPr>
      <w:rFonts w:eastAsiaTheme="minorEastAsia"/>
      <w:sz w:val="24"/>
      <w:szCs w:val="24"/>
      <w:lang w:val="es-ES_tradnl" w:eastAsia="es-ES"/>
    </w:rPr>
  </w:style>
  <w:style w:type="paragraph" w:styleId="Piedepgina">
    <w:name w:val="footer"/>
    <w:basedOn w:val="Normal"/>
    <w:link w:val="PiedepginaCar"/>
    <w:uiPriority w:val="99"/>
    <w:unhideWhenUsed/>
    <w:rsid w:val="00191E0C"/>
    <w:pPr>
      <w:tabs>
        <w:tab w:val="center" w:pos="4252"/>
        <w:tab w:val="right" w:pos="8504"/>
      </w:tabs>
    </w:pPr>
  </w:style>
  <w:style w:type="character" w:customStyle="1" w:styleId="PiedepginaCar">
    <w:name w:val="Pie de página Car"/>
    <w:basedOn w:val="Fuentedeprrafopredeter"/>
    <w:link w:val="Piedepgina"/>
    <w:uiPriority w:val="99"/>
    <w:rsid w:val="00191E0C"/>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D40661"/>
    <w:rPr>
      <w:color w:val="954F72" w:themeColor="followedHyperlink"/>
      <w:u w:val="single"/>
    </w:rPr>
  </w:style>
  <w:style w:type="paragraph" w:styleId="HTMLconformatoprevio">
    <w:name w:val="HTML Preformatted"/>
    <w:basedOn w:val="Normal"/>
    <w:link w:val="HTMLconformatoprevioCar"/>
    <w:uiPriority w:val="99"/>
    <w:unhideWhenUsed/>
    <w:rsid w:val="00421EB7"/>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421EB7"/>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718">
      <w:bodyDiv w:val="1"/>
      <w:marLeft w:val="0"/>
      <w:marRight w:val="0"/>
      <w:marTop w:val="0"/>
      <w:marBottom w:val="0"/>
      <w:divBdr>
        <w:top w:val="none" w:sz="0" w:space="0" w:color="auto"/>
        <w:left w:val="none" w:sz="0" w:space="0" w:color="auto"/>
        <w:bottom w:val="none" w:sz="0" w:space="0" w:color="auto"/>
        <w:right w:val="none" w:sz="0" w:space="0" w:color="auto"/>
      </w:divBdr>
    </w:div>
    <w:div w:id="37241723">
      <w:bodyDiv w:val="1"/>
      <w:marLeft w:val="0"/>
      <w:marRight w:val="0"/>
      <w:marTop w:val="0"/>
      <w:marBottom w:val="0"/>
      <w:divBdr>
        <w:top w:val="none" w:sz="0" w:space="0" w:color="auto"/>
        <w:left w:val="none" w:sz="0" w:space="0" w:color="auto"/>
        <w:bottom w:val="none" w:sz="0" w:space="0" w:color="auto"/>
        <w:right w:val="none" w:sz="0" w:space="0" w:color="auto"/>
      </w:divBdr>
    </w:div>
    <w:div w:id="54663392">
      <w:bodyDiv w:val="1"/>
      <w:marLeft w:val="0"/>
      <w:marRight w:val="0"/>
      <w:marTop w:val="0"/>
      <w:marBottom w:val="0"/>
      <w:divBdr>
        <w:top w:val="none" w:sz="0" w:space="0" w:color="auto"/>
        <w:left w:val="none" w:sz="0" w:space="0" w:color="auto"/>
        <w:bottom w:val="none" w:sz="0" w:space="0" w:color="auto"/>
        <w:right w:val="none" w:sz="0" w:space="0" w:color="auto"/>
      </w:divBdr>
    </w:div>
    <w:div w:id="67462340">
      <w:bodyDiv w:val="1"/>
      <w:marLeft w:val="0"/>
      <w:marRight w:val="0"/>
      <w:marTop w:val="0"/>
      <w:marBottom w:val="0"/>
      <w:divBdr>
        <w:top w:val="none" w:sz="0" w:space="0" w:color="auto"/>
        <w:left w:val="none" w:sz="0" w:space="0" w:color="auto"/>
        <w:bottom w:val="none" w:sz="0" w:space="0" w:color="auto"/>
        <w:right w:val="none" w:sz="0" w:space="0" w:color="auto"/>
      </w:divBdr>
    </w:div>
    <w:div w:id="342243063">
      <w:bodyDiv w:val="1"/>
      <w:marLeft w:val="0"/>
      <w:marRight w:val="0"/>
      <w:marTop w:val="0"/>
      <w:marBottom w:val="0"/>
      <w:divBdr>
        <w:top w:val="none" w:sz="0" w:space="0" w:color="auto"/>
        <w:left w:val="none" w:sz="0" w:space="0" w:color="auto"/>
        <w:bottom w:val="none" w:sz="0" w:space="0" w:color="auto"/>
        <w:right w:val="none" w:sz="0" w:space="0" w:color="auto"/>
      </w:divBdr>
    </w:div>
    <w:div w:id="447431195">
      <w:bodyDiv w:val="1"/>
      <w:marLeft w:val="0"/>
      <w:marRight w:val="0"/>
      <w:marTop w:val="0"/>
      <w:marBottom w:val="0"/>
      <w:divBdr>
        <w:top w:val="none" w:sz="0" w:space="0" w:color="auto"/>
        <w:left w:val="none" w:sz="0" w:space="0" w:color="auto"/>
        <w:bottom w:val="none" w:sz="0" w:space="0" w:color="auto"/>
        <w:right w:val="none" w:sz="0" w:space="0" w:color="auto"/>
      </w:divBdr>
    </w:div>
    <w:div w:id="453335047">
      <w:bodyDiv w:val="1"/>
      <w:marLeft w:val="0"/>
      <w:marRight w:val="0"/>
      <w:marTop w:val="0"/>
      <w:marBottom w:val="0"/>
      <w:divBdr>
        <w:top w:val="none" w:sz="0" w:space="0" w:color="auto"/>
        <w:left w:val="none" w:sz="0" w:space="0" w:color="auto"/>
        <w:bottom w:val="none" w:sz="0" w:space="0" w:color="auto"/>
        <w:right w:val="none" w:sz="0" w:space="0" w:color="auto"/>
      </w:divBdr>
      <w:divsChild>
        <w:div w:id="1366324873">
          <w:marLeft w:val="0"/>
          <w:marRight w:val="0"/>
          <w:marTop w:val="0"/>
          <w:marBottom w:val="0"/>
          <w:divBdr>
            <w:top w:val="none" w:sz="0" w:space="0" w:color="auto"/>
            <w:left w:val="none" w:sz="0" w:space="0" w:color="auto"/>
            <w:bottom w:val="none" w:sz="0" w:space="0" w:color="auto"/>
            <w:right w:val="none" w:sz="0" w:space="0" w:color="auto"/>
          </w:divBdr>
        </w:div>
        <w:div w:id="1638292131">
          <w:marLeft w:val="0"/>
          <w:marRight w:val="0"/>
          <w:marTop w:val="0"/>
          <w:marBottom w:val="0"/>
          <w:divBdr>
            <w:top w:val="none" w:sz="0" w:space="0" w:color="auto"/>
            <w:left w:val="none" w:sz="0" w:space="0" w:color="auto"/>
            <w:bottom w:val="none" w:sz="0" w:space="0" w:color="auto"/>
            <w:right w:val="none" w:sz="0" w:space="0" w:color="auto"/>
          </w:divBdr>
        </w:div>
        <w:div w:id="1668706174">
          <w:marLeft w:val="0"/>
          <w:marRight w:val="0"/>
          <w:marTop w:val="0"/>
          <w:marBottom w:val="0"/>
          <w:divBdr>
            <w:top w:val="none" w:sz="0" w:space="0" w:color="auto"/>
            <w:left w:val="none" w:sz="0" w:space="0" w:color="auto"/>
            <w:bottom w:val="none" w:sz="0" w:space="0" w:color="auto"/>
            <w:right w:val="none" w:sz="0" w:space="0" w:color="auto"/>
          </w:divBdr>
        </w:div>
        <w:div w:id="2123765404">
          <w:marLeft w:val="0"/>
          <w:marRight w:val="0"/>
          <w:marTop w:val="0"/>
          <w:marBottom w:val="0"/>
          <w:divBdr>
            <w:top w:val="none" w:sz="0" w:space="0" w:color="auto"/>
            <w:left w:val="none" w:sz="0" w:space="0" w:color="auto"/>
            <w:bottom w:val="none" w:sz="0" w:space="0" w:color="auto"/>
            <w:right w:val="none" w:sz="0" w:space="0" w:color="auto"/>
          </w:divBdr>
        </w:div>
      </w:divsChild>
    </w:div>
    <w:div w:id="502934279">
      <w:bodyDiv w:val="1"/>
      <w:marLeft w:val="0"/>
      <w:marRight w:val="0"/>
      <w:marTop w:val="0"/>
      <w:marBottom w:val="0"/>
      <w:divBdr>
        <w:top w:val="none" w:sz="0" w:space="0" w:color="auto"/>
        <w:left w:val="none" w:sz="0" w:space="0" w:color="auto"/>
        <w:bottom w:val="none" w:sz="0" w:space="0" w:color="auto"/>
        <w:right w:val="none" w:sz="0" w:space="0" w:color="auto"/>
      </w:divBdr>
      <w:divsChild>
        <w:div w:id="1757440808">
          <w:marLeft w:val="0"/>
          <w:marRight w:val="0"/>
          <w:marTop w:val="0"/>
          <w:marBottom w:val="0"/>
          <w:divBdr>
            <w:top w:val="none" w:sz="0" w:space="0" w:color="auto"/>
            <w:left w:val="none" w:sz="0" w:space="0" w:color="auto"/>
            <w:bottom w:val="none" w:sz="0" w:space="0" w:color="auto"/>
            <w:right w:val="none" w:sz="0" w:space="0" w:color="auto"/>
          </w:divBdr>
        </w:div>
        <w:div w:id="2094467063">
          <w:marLeft w:val="0"/>
          <w:marRight w:val="0"/>
          <w:marTop w:val="0"/>
          <w:marBottom w:val="0"/>
          <w:divBdr>
            <w:top w:val="none" w:sz="0" w:space="0" w:color="auto"/>
            <w:left w:val="none" w:sz="0" w:space="0" w:color="auto"/>
            <w:bottom w:val="none" w:sz="0" w:space="0" w:color="auto"/>
            <w:right w:val="none" w:sz="0" w:space="0" w:color="auto"/>
          </w:divBdr>
        </w:div>
      </w:divsChild>
    </w:div>
    <w:div w:id="606736166">
      <w:bodyDiv w:val="1"/>
      <w:marLeft w:val="0"/>
      <w:marRight w:val="0"/>
      <w:marTop w:val="0"/>
      <w:marBottom w:val="0"/>
      <w:divBdr>
        <w:top w:val="none" w:sz="0" w:space="0" w:color="auto"/>
        <w:left w:val="none" w:sz="0" w:space="0" w:color="auto"/>
        <w:bottom w:val="none" w:sz="0" w:space="0" w:color="auto"/>
        <w:right w:val="none" w:sz="0" w:space="0" w:color="auto"/>
      </w:divBdr>
    </w:div>
    <w:div w:id="748579907">
      <w:bodyDiv w:val="1"/>
      <w:marLeft w:val="0"/>
      <w:marRight w:val="0"/>
      <w:marTop w:val="0"/>
      <w:marBottom w:val="0"/>
      <w:divBdr>
        <w:top w:val="none" w:sz="0" w:space="0" w:color="auto"/>
        <w:left w:val="none" w:sz="0" w:space="0" w:color="auto"/>
        <w:bottom w:val="none" w:sz="0" w:space="0" w:color="auto"/>
        <w:right w:val="none" w:sz="0" w:space="0" w:color="auto"/>
      </w:divBdr>
    </w:div>
    <w:div w:id="809247303">
      <w:bodyDiv w:val="1"/>
      <w:marLeft w:val="0"/>
      <w:marRight w:val="0"/>
      <w:marTop w:val="0"/>
      <w:marBottom w:val="0"/>
      <w:divBdr>
        <w:top w:val="none" w:sz="0" w:space="0" w:color="auto"/>
        <w:left w:val="none" w:sz="0" w:space="0" w:color="auto"/>
        <w:bottom w:val="none" w:sz="0" w:space="0" w:color="auto"/>
        <w:right w:val="none" w:sz="0" w:space="0" w:color="auto"/>
      </w:divBdr>
      <w:divsChild>
        <w:div w:id="30887899">
          <w:marLeft w:val="0"/>
          <w:marRight w:val="0"/>
          <w:marTop w:val="0"/>
          <w:marBottom w:val="0"/>
          <w:divBdr>
            <w:top w:val="none" w:sz="0" w:space="0" w:color="auto"/>
            <w:left w:val="none" w:sz="0" w:space="0" w:color="auto"/>
            <w:bottom w:val="none" w:sz="0" w:space="0" w:color="auto"/>
            <w:right w:val="none" w:sz="0" w:space="0" w:color="auto"/>
          </w:divBdr>
        </w:div>
        <w:div w:id="172456737">
          <w:marLeft w:val="0"/>
          <w:marRight w:val="0"/>
          <w:marTop w:val="0"/>
          <w:marBottom w:val="0"/>
          <w:divBdr>
            <w:top w:val="none" w:sz="0" w:space="0" w:color="auto"/>
            <w:left w:val="none" w:sz="0" w:space="0" w:color="auto"/>
            <w:bottom w:val="none" w:sz="0" w:space="0" w:color="auto"/>
            <w:right w:val="none" w:sz="0" w:space="0" w:color="auto"/>
          </w:divBdr>
        </w:div>
        <w:div w:id="1180000233">
          <w:marLeft w:val="0"/>
          <w:marRight w:val="0"/>
          <w:marTop w:val="0"/>
          <w:marBottom w:val="0"/>
          <w:divBdr>
            <w:top w:val="none" w:sz="0" w:space="0" w:color="auto"/>
            <w:left w:val="none" w:sz="0" w:space="0" w:color="auto"/>
            <w:bottom w:val="none" w:sz="0" w:space="0" w:color="auto"/>
            <w:right w:val="none" w:sz="0" w:space="0" w:color="auto"/>
          </w:divBdr>
        </w:div>
        <w:div w:id="1525707087">
          <w:marLeft w:val="0"/>
          <w:marRight w:val="0"/>
          <w:marTop w:val="0"/>
          <w:marBottom w:val="0"/>
          <w:divBdr>
            <w:top w:val="none" w:sz="0" w:space="0" w:color="auto"/>
            <w:left w:val="none" w:sz="0" w:space="0" w:color="auto"/>
            <w:bottom w:val="none" w:sz="0" w:space="0" w:color="auto"/>
            <w:right w:val="none" w:sz="0" w:space="0" w:color="auto"/>
          </w:divBdr>
        </w:div>
        <w:div w:id="1869104262">
          <w:marLeft w:val="0"/>
          <w:marRight w:val="0"/>
          <w:marTop w:val="0"/>
          <w:marBottom w:val="0"/>
          <w:divBdr>
            <w:top w:val="none" w:sz="0" w:space="0" w:color="auto"/>
            <w:left w:val="none" w:sz="0" w:space="0" w:color="auto"/>
            <w:bottom w:val="none" w:sz="0" w:space="0" w:color="auto"/>
            <w:right w:val="none" w:sz="0" w:space="0" w:color="auto"/>
          </w:divBdr>
        </w:div>
      </w:divsChild>
    </w:div>
    <w:div w:id="841312061">
      <w:bodyDiv w:val="1"/>
      <w:marLeft w:val="0"/>
      <w:marRight w:val="0"/>
      <w:marTop w:val="0"/>
      <w:marBottom w:val="0"/>
      <w:divBdr>
        <w:top w:val="none" w:sz="0" w:space="0" w:color="auto"/>
        <w:left w:val="none" w:sz="0" w:space="0" w:color="auto"/>
        <w:bottom w:val="none" w:sz="0" w:space="0" w:color="auto"/>
        <w:right w:val="none" w:sz="0" w:space="0" w:color="auto"/>
      </w:divBdr>
      <w:divsChild>
        <w:div w:id="851188572">
          <w:marLeft w:val="0"/>
          <w:marRight w:val="0"/>
          <w:marTop w:val="0"/>
          <w:marBottom w:val="0"/>
          <w:divBdr>
            <w:top w:val="none" w:sz="0" w:space="0" w:color="auto"/>
            <w:left w:val="none" w:sz="0" w:space="0" w:color="auto"/>
            <w:bottom w:val="none" w:sz="0" w:space="0" w:color="auto"/>
            <w:right w:val="none" w:sz="0" w:space="0" w:color="auto"/>
          </w:divBdr>
        </w:div>
        <w:div w:id="1439914372">
          <w:marLeft w:val="0"/>
          <w:marRight w:val="0"/>
          <w:marTop w:val="0"/>
          <w:marBottom w:val="0"/>
          <w:divBdr>
            <w:top w:val="none" w:sz="0" w:space="0" w:color="auto"/>
            <w:left w:val="none" w:sz="0" w:space="0" w:color="auto"/>
            <w:bottom w:val="none" w:sz="0" w:space="0" w:color="auto"/>
            <w:right w:val="none" w:sz="0" w:space="0" w:color="auto"/>
          </w:divBdr>
        </w:div>
      </w:divsChild>
    </w:div>
    <w:div w:id="848954295">
      <w:bodyDiv w:val="1"/>
      <w:marLeft w:val="0"/>
      <w:marRight w:val="0"/>
      <w:marTop w:val="0"/>
      <w:marBottom w:val="0"/>
      <w:divBdr>
        <w:top w:val="none" w:sz="0" w:space="0" w:color="auto"/>
        <w:left w:val="none" w:sz="0" w:space="0" w:color="auto"/>
        <w:bottom w:val="none" w:sz="0" w:space="0" w:color="auto"/>
        <w:right w:val="none" w:sz="0" w:space="0" w:color="auto"/>
      </w:divBdr>
    </w:div>
    <w:div w:id="1148522048">
      <w:bodyDiv w:val="1"/>
      <w:marLeft w:val="0"/>
      <w:marRight w:val="0"/>
      <w:marTop w:val="0"/>
      <w:marBottom w:val="0"/>
      <w:divBdr>
        <w:top w:val="none" w:sz="0" w:space="0" w:color="auto"/>
        <w:left w:val="none" w:sz="0" w:space="0" w:color="auto"/>
        <w:bottom w:val="none" w:sz="0" w:space="0" w:color="auto"/>
        <w:right w:val="none" w:sz="0" w:space="0" w:color="auto"/>
      </w:divBdr>
    </w:div>
    <w:div w:id="1151487505">
      <w:bodyDiv w:val="1"/>
      <w:marLeft w:val="0"/>
      <w:marRight w:val="0"/>
      <w:marTop w:val="0"/>
      <w:marBottom w:val="0"/>
      <w:divBdr>
        <w:top w:val="none" w:sz="0" w:space="0" w:color="auto"/>
        <w:left w:val="none" w:sz="0" w:space="0" w:color="auto"/>
        <w:bottom w:val="none" w:sz="0" w:space="0" w:color="auto"/>
        <w:right w:val="none" w:sz="0" w:space="0" w:color="auto"/>
      </w:divBdr>
    </w:div>
    <w:div w:id="1409617494">
      <w:bodyDiv w:val="1"/>
      <w:marLeft w:val="0"/>
      <w:marRight w:val="0"/>
      <w:marTop w:val="0"/>
      <w:marBottom w:val="0"/>
      <w:divBdr>
        <w:top w:val="none" w:sz="0" w:space="0" w:color="auto"/>
        <w:left w:val="none" w:sz="0" w:space="0" w:color="auto"/>
        <w:bottom w:val="none" w:sz="0" w:space="0" w:color="auto"/>
        <w:right w:val="none" w:sz="0" w:space="0" w:color="auto"/>
      </w:divBdr>
    </w:div>
    <w:div w:id="1768844127">
      <w:bodyDiv w:val="1"/>
      <w:marLeft w:val="0"/>
      <w:marRight w:val="0"/>
      <w:marTop w:val="0"/>
      <w:marBottom w:val="0"/>
      <w:divBdr>
        <w:top w:val="none" w:sz="0" w:space="0" w:color="auto"/>
        <w:left w:val="none" w:sz="0" w:space="0" w:color="auto"/>
        <w:bottom w:val="none" w:sz="0" w:space="0" w:color="auto"/>
        <w:right w:val="none" w:sz="0" w:space="0" w:color="auto"/>
      </w:divBdr>
    </w:div>
    <w:div w:id="2144887729">
      <w:bodyDiv w:val="1"/>
      <w:marLeft w:val="0"/>
      <w:marRight w:val="0"/>
      <w:marTop w:val="0"/>
      <w:marBottom w:val="0"/>
      <w:divBdr>
        <w:top w:val="none" w:sz="0" w:space="0" w:color="auto"/>
        <w:left w:val="none" w:sz="0" w:space="0" w:color="auto"/>
        <w:bottom w:val="none" w:sz="0" w:space="0" w:color="auto"/>
        <w:right w:val="none" w:sz="0" w:space="0" w:color="auto"/>
      </w:divBdr>
    </w:div>
    <w:div w:id="21450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517/revedu.v43i2.318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255/3161/7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Sil12</b:Tag>
    <b:SourceType>JournalArticle</b:SourceType>
    <b:Guid>{83BA4A5B-B8E7-4CEE-A21D-322644C1AE83}</b:Guid>
    <b:Title>Percepción de los estudiantes de nivel medio superior sobre la educación superior. Dos ciudades y cinco instituciones</b:Title>
    <b:Year>2012</b:Year>
    <b:City>Tlaquepaque</b:City>
    <b:Author>
      <b:Author>
        <b:NameList>
          <b:Person>
            <b:Last>Silas</b:Last>
            <b:First>Casillas</b:First>
            <b:Middle>Juan Carlos</b:Middle>
          </b:Person>
        </b:NameList>
      </b:Author>
    </b:Author>
    <b:JournalName>Sinéctica</b:JournalName>
    <b:Month>junio</b:Month>
    <b:Issue>38</b:Issue>
    <b:StandardNumber>2007-7033</b:StandardNumber>
    <b:YearAccessed>2021</b:YearAccessed>
    <b:MonthAccessed>octubre</b:MonthAccessed>
    <b:DayAccessed>23</b:DayAccessed>
    <b:URL>http://www.scielo.org.mx/scielo.php?script=sci_arttext&amp;pid=S1665-109X2012000100010</b:URL>
    <b:RefOrder>3</b:RefOrder>
  </b:Source>
  <b:Source>
    <b:Tag>Cru14</b:Tag>
    <b:SourceType>JournalArticle</b:SourceType>
    <b:Guid>{31FF9AAC-30B2-4C27-B634-19F36FF22DC4}</b:Guid>
    <b:Author>
      <b:Author>
        <b:NameList>
          <b:Person>
            <b:Last>Cruz</b:Last>
            <b:First>Sancho</b:First>
            <b:Middle>Steve</b:Middle>
          </b:Person>
          <b:Person>
            <b:Last>Sandí</b:Last>
            <b:First>Delgado</b:First>
            <b:Middle>Juan Carlos</b:Middle>
          </b:Person>
        </b:NameList>
      </b:Author>
    </b:Author>
    <b:Title>IMPORTANCIA DE LA EDUCACIÓN SUPERIOR EN EL DESARROLLO PROFESIONAL PARA LA POBLACIÓN ESTUDIANTIL</b:Title>
    <b:JournalName>SEDICI</b:JournalName>
    <b:Year>2014</b:Year>
    <b:City>Costa Rica</b:City>
    <b:Month>octubre</b:Month>
    <b:Day>10</b:Day>
    <b:StandardNumber>978-9968-26-050-3</b:StandardNumber>
    <b:YearAccessed>2021</b:YearAccessed>
    <b:MonthAccessed>octubre</b:MonthAccessed>
    <b:DayAccessed>23</b:DayAccessed>
    <b:URL>http://sedici.unlp.edu.ar/handle/10915/46200</b:URL>
    <b:RefOrder>4</b:RefOrder>
  </b:Source>
  <b:Source>
    <b:Tag>OEC19</b:Tag>
    <b:SourceType>JournalArticle</b:SourceType>
    <b:Guid>{F5120EF3-BBD1-4B43-BFF2-0A350E95FD7F}</b:Guid>
    <b:Author>
      <b:Author>
        <b:NameList>
          <b:Person>
            <b:Last>OECD</b:Last>
          </b:Person>
        </b:NameList>
      </b:Author>
    </b:Author>
    <b:Title>Educación Superior en México: resultados y relevancia para el mercado laboral</b:Title>
    <b:Year>2019</b:Year>
    <b:City>Ciudad de México</b:City>
    <b:StandardNumber> 978-92-64-30943-2</b:StandardNumber>
    <b:YearAccessed>2021</b:YearAccessed>
    <b:MonthAccessed>octubre</b:MonthAccessed>
    <b:DayAccessed>23</b:DayAccessed>
    <b:URL>https://www.oecd.org/centrodemexico/medios/educacion_superior_en_mexico.pdf</b:URL>
    <b:DOI>https://doi.org/10.1787/9789264309432-en..</b:DOI>
    <b:RefOrder>5</b:RefOrder>
  </b:Source>
  <b:Source>
    <b:Tag>Tor06</b:Tag>
    <b:SourceType>JournalArticle</b:SourceType>
    <b:Guid>{E0A56EE8-24EE-4FE8-BF77-1BE011771E0D}</b:Guid>
    <b:Author>
      <b:Author>
        <b:NameList>
          <b:Person>
            <b:Last>Torres</b:Last>
            <b:First>Mariela</b:First>
          </b:Person>
          <b:Person>
            <b:Last>Paz</b:Last>
            <b:First>Karim</b:First>
          </b:Person>
          <b:Person>
            <b:Last>Salazar</b:Last>
            <b:First>Federico</b:First>
          </b:Person>
        </b:NameList>
      </b:Author>
    </b:Author>
    <b:Title>Tamaño de una muestra para una investigación de mercado</b:Title>
    <b:Year>2006</b:Year>
    <b:URL>http://fgsalazar.net/LANDIVAR/ING-PRIMERO/boletin02/URL_02_BAS02.pdf</b:URL>
    <b:YearAccessed>2020</b:YearAccessed>
    <b:MonthAccessed>Julio</b:MonthAccessed>
    <b:DayAccessed>27</b:DayAccessed>
    <b:JournalName>Boletín Electrónico</b:JournalName>
    <b:Pages>1-13</b:Pages>
    <b:Volume>2</b:Volume>
    <b:RefOrder>11</b:RefOrder>
  </b:Source>
</b:Sources>
</file>

<file path=customXml/itemProps1.xml><?xml version="1.0" encoding="utf-8"?>
<ds:datastoreItem xmlns:ds="http://schemas.openxmlformats.org/officeDocument/2006/customXml" ds:itemID="{27F21A66-7C26-45C2-B87F-D5EEA341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32</Pages>
  <Words>9378</Words>
  <Characters>51580</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60837</CharactersWithSpaces>
  <SharedDoc>false</SharedDoc>
  <HLinks>
    <vt:vector size="48" baseType="variant">
      <vt:variant>
        <vt:i4>3080311</vt:i4>
      </vt:variant>
      <vt:variant>
        <vt:i4>21</vt:i4>
      </vt:variant>
      <vt:variant>
        <vt:i4>0</vt:i4>
      </vt:variant>
      <vt:variant>
        <vt:i4>5</vt:i4>
      </vt:variant>
      <vt:variant>
        <vt:lpwstr>https://doi.org/10.5209/DCIN.54414</vt:lpwstr>
      </vt:variant>
      <vt:variant>
        <vt:lpwstr/>
      </vt:variant>
      <vt:variant>
        <vt:i4>2752532</vt:i4>
      </vt:variant>
      <vt:variant>
        <vt:i4>18</vt:i4>
      </vt:variant>
      <vt:variant>
        <vt:i4>0</vt:i4>
      </vt:variant>
      <vt:variant>
        <vt:i4>5</vt:i4>
      </vt:variant>
      <vt:variant>
        <vt:lpwstr>https://www.inegi.org.mx/contenidos/saladeprensa/aproposito/2020/Juventud2020_Nal.pdf</vt:lpwstr>
      </vt:variant>
      <vt:variant>
        <vt:lpwstr/>
      </vt:variant>
      <vt:variant>
        <vt:i4>3473528</vt:i4>
      </vt:variant>
      <vt:variant>
        <vt:i4>15</vt:i4>
      </vt:variant>
      <vt:variant>
        <vt:i4>0</vt:i4>
      </vt:variant>
      <vt:variant>
        <vt:i4>5</vt:i4>
      </vt:variant>
      <vt:variant>
        <vt:lpwstr>https://doi.org/10.15517/revedu.v43i2.31870</vt:lpwstr>
      </vt:variant>
      <vt:variant>
        <vt:lpwstr/>
      </vt:variant>
      <vt:variant>
        <vt:i4>1769540</vt:i4>
      </vt:variant>
      <vt:variant>
        <vt:i4>12</vt:i4>
      </vt:variant>
      <vt:variant>
        <vt:i4>0</vt:i4>
      </vt:variant>
      <vt:variant>
        <vt:i4>5</vt:i4>
      </vt:variant>
      <vt:variant>
        <vt:lpwstr>https://doi.org/10.33255/3161/783</vt:lpwstr>
      </vt:variant>
      <vt:variant>
        <vt:lpwstr/>
      </vt:variant>
      <vt:variant>
        <vt:i4>393236</vt:i4>
      </vt:variant>
      <vt:variant>
        <vt:i4>9</vt:i4>
      </vt:variant>
      <vt:variant>
        <vt:i4>0</vt:i4>
      </vt:variant>
      <vt:variant>
        <vt:i4>5</vt:i4>
      </vt:variant>
      <vt:variant>
        <vt:lpwstr>https://www.youtube.com/watch?v=Ksuc4FnfJe0&amp;t=17s</vt:lpwstr>
      </vt:variant>
      <vt:variant>
        <vt:lpwstr/>
      </vt:variant>
      <vt:variant>
        <vt:i4>524338</vt:i4>
      </vt:variant>
      <vt:variant>
        <vt:i4>6</vt:i4>
      </vt:variant>
      <vt:variant>
        <vt:i4>0</vt:i4>
      </vt:variant>
      <vt:variant>
        <vt:i4>5</vt:i4>
      </vt:variant>
      <vt:variant>
        <vt:lpwstr>https://www.youtube.com/watch?v=kttS0_0IBFM</vt:lpwstr>
      </vt:variant>
      <vt:variant>
        <vt:lpwstr/>
      </vt:variant>
      <vt:variant>
        <vt:i4>2752554</vt:i4>
      </vt:variant>
      <vt:variant>
        <vt:i4>3</vt:i4>
      </vt:variant>
      <vt:variant>
        <vt:i4>0</vt:i4>
      </vt:variant>
      <vt:variant>
        <vt:i4>5</vt:i4>
      </vt:variant>
      <vt:variant>
        <vt:lpwstr>https://www.youtube.com/watch?v=RUODILW9F18</vt:lpwstr>
      </vt:variant>
      <vt:variant>
        <vt:lpwstr/>
      </vt:variant>
      <vt:variant>
        <vt:i4>2752568</vt:i4>
      </vt:variant>
      <vt:variant>
        <vt:i4>0</vt:i4>
      </vt:variant>
      <vt:variant>
        <vt:i4>0</vt:i4>
      </vt:variant>
      <vt:variant>
        <vt:i4>5</vt:i4>
      </vt:variant>
      <vt:variant>
        <vt:lpwstr>http://vc20.utmetropolitana.edu.mx/Default.aspx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Concepcion González Herrera</dc:creator>
  <cp:keywords/>
  <dc:description/>
  <cp:lastModifiedBy>Gustavo Toledo</cp:lastModifiedBy>
  <cp:revision>9</cp:revision>
  <dcterms:created xsi:type="dcterms:W3CDTF">2022-06-14T04:36:00Z</dcterms:created>
  <dcterms:modified xsi:type="dcterms:W3CDTF">2022-06-15T15:38:00Z</dcterms:modified>
</cp:coreProperties>
</file>