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AA3F" w14:textId="65E0957E" w:rsidR="00145D7F" w:rsidRPr="00125B15" w:rsidRDefault="00125B15" w:rsidP="00145D7F">
      <w:pPr>
        <w:pStyle w:val="Ttulo3"/>
        <w:ind w:left="708" w:hanging="708"/>
        <w:jc w:val="right"/>
        <w:rPr>
          <w:rFonts w:ascii="Times New Roman" w:hAnsi="Times New Roman" w:cs="Times New Roman"/>
          <w:b/>
          <w:bCs/>
          <w:i/>
          <w:iCs/>
          <w:color w:val="000000" w:themeColor="text1"/>
        </w:rPr>
      </w:pPr>
      <w:r w:rsidRPr="00125B15">
        <w:rPr>
          <w:rFonts w:ascii="Times New Roman" w:hAnsi="Times New Roman" w:cs="Times New Roman"/>
          <w:b/>
          <w:bCs/>
          <w:i/>
          <w:iCs/>
          <w:color w:val="000000" w:themeColor="text1"/>
        </w:rPr>
        <w:t>https://doi.org/10.23913/ride.v12i24.1159</w:t>
      </w:r>
    </w:p>
    <w:p w14:paraId="0AAF9E51" w14:textId="0470FF3B" w:rsidR="00145D7F" w:rsidRPr="00145D7F" w:rsidRDefault="00145D7F" w:rsidP="00145D7F">
      <w:pPr>
        <w:pStyle w:val="Ttulo3"/>
        <w:ind w:left="708" w:hanging="708"/>
        <w:jc w:val="right"/>
        <w:rPr>
          <w:rFonts w:ascii="Times New Roman" w:eastAsia="Times New Roman" w:hAnsi="Times New Roman" w:cs="Times New Roman"/>
          <w:b/>
          <w:color w:val="000000" w:themeColor="text1"/>
          <w:sz w:val="32"/>
          <w:szCs w:val="32"/>
          <w:lang w:eastAsia="es-MX"/>
        </w:rPr>
      </w:pPr>
      <w:r w:rsidRPr="00145D7F">
        <w:rPr>
          <w:rFonts w:ascii="Times New Roman" w:hAnsi="Times New Roman" w:cs="Times New Roman"/>
          <w:b/>
          <w:bCs/>
          <w:i/>
          <w:iCs/>
          <w:color w:val="000000" w:themeColor="text1"/>
        </w:rPr>
        <w:t>Artículos científicos</w:t>
      </w:r>
    </w:p>
    <w:p w14:paraId="34A2EB8B" w14:textId="0CAE02D7" w:rsidR="003B31AD" w:rsidRPr="00145D7F" w:rsidRDefault="003B31AD" w:rsidP="00145D7F">
      <w:pPr>
        <w:pStyle w:val="Ttulo3"/>
        <w:spacing w:before="0" w:after="0" w:line="276" w:lineRule="auto"/>
        <w:ind w:left="708" w:hanging="708"/>
        <w:jc w:val="right"/>
        <w:rPr>
          <w:rFonts w:ascii="Calibri" w:eastAsia="Times New Roman" w:hAnsi="Calibri" w:cs="Calibri"/>
          <w:b/>
          <w:color w:val="000000"/>
          <w:sz w:val="36"/>
          <w:szCs w:val="36"/>
          <w:lang w:eastAsia="es-MX"/>
        </w:rPr>
      </w:pPr>
      <w:r w:rsidRPr="00145D7F">
        <w:rPr>
          <w:rFonts w:ascii="Calibri" w:eastAsia="Times New Roman" w:hAnsi="Calibri" w:cs="Calibri"/>
          <w:b/>
          <w:color w:val="000000"/>
          <w:sz w:val="36"/>
          <w:szCs w:val="36"/>
          <w:lang w:eastAsia="es-MX"/>
        </w:rPr>
        <w:t xml:space="preserve">El efecto del modelo estructural </w:t>
      </w:r>
      <w:r w:rsidR="00A957D4" w:rsidRPr="00145D7F">
        <w:rPr>
          <w:rFonts w:ascii="Calibri" w:eastAsia="Times New Roman" w:hAnsi="Calibri" w:cs="Calibri"/>
          <w:b/>
          <w:color w:val="000000"/>
          <w:sz w:val="36"/>
          <w:szCs w:val="36"/>
          <w:lang w:eastAsia="es-MX"/>
        </w:rPr>
        <w:t xml:space="preserve">y la sostenibilidad </w:t>
      </w:r>
      <w:r w:rsidRPr="00145D7F">
        <w:rPr>
          <w:rFonts w:ascii="Calibri" w:eastAsia="Times New Roman" w:hAnsi="Calibri" w:cs="Calibri"/>
          <w:b/>
          <w:color w:val="000000"/>
          <w:sz w:val="36"/>
          <w:szCs w:val="36"/>
          <w:lang w:eastAsia="es-MX"/>
        </w:rPr>
        <w:t>en las universidades públicas: un estudio de caso</w:t>
      </w:r>
    </w:p>
    <w:p w14:paraId="1274D4AB" w14:textId="1F238698" w:rsidR="001C0F76" w:rsidRPr="00522FCC" w:rsidRDefault="00145D7F" w:rsidP="00145D7F">
      <w:pPr>
        <w:spacing w:line="276" w:lineRule="auto"/>
        <w:jc w:val="right"/>
        <w:rPr>
          <w:rFonts w:ascii="Calibri" w:eastAsia="Times New Roman" w:hAnsi="Calibri" w:cs="Calibri"/>
          <w:b/>
          <w:i/>
          <w:iCs/>
          <w:color w:val="000000"/>
          <w:sz w:val="28"/>
          <w:szCs w:val="28"/>
          <w:lang w:val="en-US" w:eastAsia="es-MX"/>
        </w:rPr>
      </w:pPr>
      <w:r w:rsidRPr="00125B15">
        <w:rPr>
          <w:rFonts w:ascii="Calibri" w:eastAsia="Times New Roman" w:hAnsi="Calibri" w:cs="Calibri"/>
          <w:b/>
          <w:i/>
          <w:iCs/>
          <w:color w:val="000000"/>
          <w:sz w:val="28"/>
          <w:szCs w:val="28"/>
          <w:lang w:val="en-US" w:eastAsia="es-MX"/>
        </w:rPr>
        <w:br/>
      </w:r>
      <w:r w:rsidR="001C0F76" w:rsidRPr="00522FCC">
        <w:rPr>
          <w:rFonts w:ascii="Calibri" w:eastAsia="Times New Roman" w:hAnsi="Calibri" w:cs="Calibri"/>
          <w:b/>
          <w:i/>
          <w:iCs/>
          <w:color w:val="000000"/>
          <w:sz w:val="28"/>
          <w:szCs w:val="28"/>
          <w:lang w:val="en-US" w:eastAsia="es-MX"/>
        </w:rPr>
        <w:t>The Effect of the Structural Model and Sustainability in Public Universities: A Case Study</w:t>
      </w:r>
    </w:p>
    <w:p w14:paraId="79CEDFA9" w14:textId="30EF3DC0" w:rsidR="00145D7F" w:rsidRPr="00145D7F" w:rsidRDefault="00145D7F" w:rsidP="00145D7F">
      <w:pPr>
        <w:spacing w:line="276" w:lineRule="auto"/>
        <w:jc w:val="right"/>
        <w:rPr>
          <w:rFonts w:ascii="Calibri" w:eastAsia="Times New Roman" w:hAnsi="Calibri" w:cs="Calibri"/>
          <w:b/>
          <w:i/>
          <w:iCs/>
          <w:color w:val="000000"/>
          <w:sz w:val="28"/>
          <w:szCs w:val="28"/>
          <w:lang w:eastAsia="es-MX"/>
        </w:rPr>
      </w:pPr>
      <w:r w:rsidRPr="00125B15">
        <w:rPr>
          <w:rFonts w:ascii="Calibri" w:eastAsia="Times New Roman" w:hAnsi="Calibri" w:cs="Calibri"/>
          <w:b/>
          <w:i/>
          <w:iCs/>
          <w:color w:val="000000"/>
          <w:sz w:val="28"/>
          <w:szCs w:val="28"/>
          <w:lang w:eastAsia="es-MX"/>
        </w:rPr>
        <w:br/>
      </w:r>
      <w:r w:rsidRPr="00145D7F">
        <w:rPr>
          <w:rFonts w:ascii="Calibri" w:eastAsia="Times New Roman" w:hAnsi="Calibri" w:cs="Calibri"/>
          <w:b/>
          <w:i/>
          <w:iCs/>
          <w:color w:val="000000"/>
          <w:sz w:val="28"/>
          <w:szCs w:val="28"/>
          <w:lang w:eastAsia="es-MX"/>
        </w:rPr>
        <w:t xml:space="preserve">O </w:t>
      </w:r>
      <w:proofErr w:type="spellStart"/>
      <w:r w:rsidRPr="00145D7F">
        <w:rPr>
          <w:rFonts w:ascii="Calibri" w:eastAsia="Times New Roman" w:hAnsi="Calibri" w:cs="Calibri"/>
          <w:b/>
          <w:i/>
          <w:iCs/>
          <w:color w:val="000000"/>
          <w:sz w:val="28"/>
          <w:szCs w:val="28"/>
          <w:lang w:eastAsia="es-MX"/>
        </w:rPr>
        <w:t>efeito</w:t>
      </w:r>
      <w:proofErr w:type="spellEnd"/>
      <w:r w:rsidRPr="00145D7F">
        <w:rPr>
          <w:rFonts w:ascii="Calibri" w:eastAsia="Times New Roman" w:hAnsi="Calibri" w:cs="Calibri"/>
          <w:b/>
          <w:i/>
          <w:iCs/>
          <w:color w:val="000000"/>
          <w:sz w:val="28"/>
          <w:szCs w:val="28"/>
          <w:lang w:eastAsia="es-MX"/>
        </w:rPr>
        <w:t xml:space="preserve"> do modelo </w:t>
      </w:r>
      <w:proofErr w:type="spellStart"/>
      <w:r w:rsidRPr="00145D7F">
        <w:rPr>
          <w:rFonts w:ascii="Calibri" w:eastAsia="Times New Roman" w:hAnsi="Calibri" w:cs="Calibri"/>
          <w:b/>
          <w:i/>
          <w:iCs/>
          <w:color w:val="000000"/>
          <w:sz w:val="28"/>
          <w:szCs w:val="28"/>
          <w:lang w:eastAsia="es-MX"/>
        </w:rPr>
        <w:t>estrutural</w:t>
      </w:r>
      <w:proofErr w:type="spellEnd"/>
      <w:r w:rsidRPr="00145D7F">
        <w:rPr>
          <w:rFonts w:ascii="Calibri" w:eastAsia="Times New Roman" w:hAnsi="Calibri" w:cs="Calibri"/>
          <w:b/>
          <w:i/>
          <w:iCs/>
          <w:color w:val="000000"/>
          <w:sz w:val="28"/>
          <w:szCs w:val="28"/>
          <w:lang w:eastAsia="es-MX"/>
        </w:rPr>
        <w:t xml:space="preserve"> e da </w:t>
      </w:r>
      <w:proofErr w:type="spellStart"/>
      <w:r w:rsidRPr="00145D7F">
        <w:rPr>
          <w:rFonts w:ascii="Calibri" w:eastAsia="Times New Roman" w:hAnsi="Calibri" w:cs="Calibri"/>
          <w:b/>
          <w:i/>
          <w:iCs/>
          <w:color w:val="000000"/>
          <w:sz w:val="28"/>
          <w:szCs w:val="28"/>
          <w:lang w:eastAsia="es-MX"/>
        </w:rPr>
        <w:t>sustentabilidade</w:t>
      </w:r>
      <w:proofErr w:type="spellEnd"/>
      <w:r w:rsidRPr="00145D7F">
        <w:rPr>
          <w:rFonts w:ascii="Calibri" w:eastAsia="Times New Roman" w:hAnsi="Calibri" w:cs="Calibri"/>
          <w:b/>
          <w:i/>
          <w:iCs/>
          <w:color w:val="000000"/>
          <w:sz w:val="28"/>
          <w:szCs w:val="28"/>
          <w:lang w:eastAsia="es-MX"/>
        </w:rPr>
        <w:t xml:space="preserve"> em universidades públicas: </w:t>
      </w:r>
      <w:proofErr w:type="spellStart"/>
      <w:r w:rsidRPr="00145D7F">
        <w:rPr>
          <w:rFonts w:ascii="Calibri" w:eastAsia="Times New Roman" w:hAnsi="Calibri" w:cs="Calibri"/>
          <w:b/>
          <w:i/>
          <w:iCs/>
          <w:color w:val="000000"/>
          <w:sz w:val="28"/>
          <w:szCs w:val="28"/>
          <w:lang w:eastAsia="es-MX"/>
        </w:rPr>
        <w:t>um</w:t>
      </w:r>
      <w:proofErr w:type="spellEnd"/>
      <w:r w:rsidRPr="00145D7F">
        <w:rPr>
          <w:rFonts w:ascii="Calibri" w:eastAsia="Times New Roman" w:hAnsi="Calibri" w:cs="Calibri"/>
          <w:b/>
          <w:i/>
          <w:iCs/>
          <w:color w:val="000000"/>
          <w:sz w:val="28"/>
          <w:szCs w:val="28"/>
          <w:lang w:eastAsia="es-MX"/>
        </w:rPr>
        <w:t xml:space="preserve"> </w:t>
      </w:r>
      <w:proofErr w:type="spellStart"/>
      <w:r w:rsidRPr="00145D7F">
        <w:rPr>
          <w:rFonts w:ascii="Calibri" w:eastAsia="Times New Roman" w:hAnsi="Calibri" w:cs="Calibri"/>
          <w:b/>
          <w:i/>
          <w:iCs/>
          <w:color w:val="000000"/>
          <w:sz w:val="28"/>
          <w:szCs w:val="28"/>
          <w:lang w:eastAsia="es-MX"/>
        </w:rPr>
        <w:t>estudo</w:t>
      </w:r>
      <w:proofErr w:type="spellEnd"/>
      <w:r w:rsidRPr="00145D7F">
        <w:rPr>
          <w:rFonts w:ascii="Calibri" w:eastAsia="Times New Roman" w:hAnsi="Calibri" w:cs="Calibri"/>
          <w:b/>
          <w:i/>
          <w:iCs/>
          <w:color w:val="000000"/>
          <w:sz w:val="28"/>
          <w:szCs w:val="28"/>
          <w:lang w:eastAsia="es-MX"/>
        </w:rPr>
        <w:t xml:space="preserve"> de caso</w:t>
      </w:r>
    </w:p>
    <w:p w14:paraId="1F2396B2" w14:textId="77777777" w:rsidR="00C62DFD" w:rsidRPr="00145D7F" w:rsidRDefault="00C62DFD" w:rsidP="00951F7B">
      <w:pPr>
        <w:pStyle w:val="Default"/>
        <w:spacing w:line="360" w:lineRule="auto"/>
      </w:pPr>
    </w:p>
    <w:p w14:paraId="3358EF26" w14:textId="46CFC766" w:rsidR="00C62DFD" w:rsidRPr="00145D7F" w:rsidRDefault="00AD78AA" w:rsidP="00145D7F">
      <w:pPr>
        <w:pStyle w:val="Default"/>
        <w:spacing w:line="276" w:lineRule="auto"/>
        <w:jc w:val="right"/>
        <w:rPr>
          <w:rFonts w:asciiTheme="minorHAnsi" w:hAnsiTheme="minorHAnsi" w:cstheme="minorHAnsi"/>
          <w:b/>
          <w:bCs/>
        </w:rPr>
      </w:pPr>
      <w:r>
        <w:rPr>
          <w:rFonts w:asciiTheme="minorHAnsi" w:hAnsiTheme="minorHAnsi" w:cstheme="minorHAnsi"/>
          <w:b/>
          <w:bCs/>
        </w:rPr>
        <w:t>O</w:t>
      </w:r>
      <w:r w:rsidR="00C62DFD" w:rsidRPr="00145D7F">
        <w:rPr>
          <w:rFonts w:asciiTheme="minorHAnsi" w:hAnsiTheme="minorHAnsi" w:cstheme="minorHAnsi"/>
          <w:b/>
          <w:bCs/>
        </w:rPr>
        <w:t>scar Zúñiga Sánchez</w:t>
      </w:r>
    </w:p>
    <w:p w14:paraId="5444A5DC" w14:textId="77777777" w:rsidR="00145D7F" w:rsidRPr="00145D7F" w:rsidRDefault="00145D7F" w:rsidP="00145D7F">
      <w:pPr>
        <w:pStyle w:val="Default"/>
        <w:spacing w:line="276" w:lineRule="auto"/>
        <w:jc w:val="right"/>
        <w:rPr>
          <w:rFonts w:ascii="Times New Roman" w:hAnsi="Times New Roman" w:cs="Times New Roman"/>
        </w:rPr>
      </w:pPr>
      <w:r w:rsidRPr="00145D7F">
        <w:rPr>
          <w:rFonts w:ascii="Times New Roman" w:hAnsi="Times New Roman" w:cs="Times New Roman"/>
        </w:rPr>
        <w:t>Universidad de Guadalajara, México</w:t>
      </w:r>
    </w:p>
    <w:p w14:paraId="32C08CB5" w14:textId="59D8265D" w:rsidR="00145D7F" w:rsidRPr="00145D7F" w:rsidRDefault="00145D7F" w:rsidP="00145D7F">
      <w:pPr>
        <w:pStyle w:val="Default"/>
        <w:spacing w:line="276" w:lineRule="auto"/>
        <w:jc w:val="right"/>
        <w:rPr>
          <w:rFonts w:asciiTheme="minorHAnsi" w:hAnsiTheme="minorHAnsi" w:cstheme="minorHAnsi"/>
          <w:color w:val="FF0000"/>
        </w:rPr>
      </w:pPr>
      <w:r w:rsidRPr="00145D7F">
        <w:rPr>
          <w:rFonts w:asciiTheme="minorHAnsi" w:hAnsiTheme="minorHAnsi" w:cstheme="minorHAnsi"/>
          <w:color w:val="FF0000"/>
        </w:rPr>
        <w:t>zunigaoscar777@gmail.com</w:t>
      </w:r>
    </w:p>
    <w:p w14:paraId="76B1A3A4" w14:textId="1B783B5E" w:rsidR="00A957D4" w:rsidRDefault="001E2D22" w:rsidP="001E2D22">
      <w:pPr>
        <w:pStyle w:val="Default"/>
        <w:spacing w:line="360" w:lineRule="auto"/>
        <w:jc w:val="right"/>
        <w:rPr>
          <w:rFonts w:ascii="Times New Roman" w:hAnsi="Times New Roman" w:cs="Times New Roman"/>
        </w:rPr>
      </w:pPr>
      <w:r w:rsidRPr="001E2D22">
        <w:rPr>
          <w:rFonts w:ascii="Times New Roman" w:hAnsi="Times New Roman" w:cs="Times New Roman"/>
        </w:rPr>
        <w:t>https://orcid.org/0000-0003-2805-1961</w:t>
      </w:r>
    </w:p>
    <w:p w14:paraId="6E8A3720" w14:textId="77777777" w:rsidR="001E2D22" w:rsidRPr="00145D7F" w:rsidRDefault="001E2D22" w:rsidP="001E2D22">
      <w:pPr>
        <w:pStyle w:val="Default"/>
        <w:spacing w:line="360" w:lineRule="auto"/>
        <w:jc w:val="right"/>
        <w:rPr>
          <w:rFonts w:ascii="Times New Roman" w:hAnsi="Times New Roman" w:cs="Times New Roman"/>
        </w:rPr>
      </w:pPr>
    </w:p>
    <w:p w14:paraId="5F23A420" w14:textId="77777777" w:rsidR="00052AB4" w:rsidRPr="00145D7F" w:rsidRDefault="004467CA" w:rsidP="00951F7B">
      <w:pPr>
        <w:spacing w:after="0" w:line="360" w:lineRule="auto"/>
        <w:jc w:val="both"/>
        <w:rPr>
          <w:rFonts w:eastAsia="Times New Roman" w:cstheme="minorHAnsi"/>
          <w:b/>
          <w:sz w:val="28"/>
          <w:szCs w:val="28"/>
          <w:lang w:eastAsia="es-MX"/>
        </w:rPr>
      </w:pPr>
      <w:r w:rsidRPr="00145D7F">
        <w:rPr>
          <w:rFonts w:eastAsia="Times New Roman" w:cstheme="minorHAnsi"/>
          <w:b/>
          <w:sz w:val="28"/>
          <w:szCs w:val="28"/>
          <w:lang w:eastAsia="es-MX"/>
        </w:rPr>
        <w:t>Resumen</w:t>
      </w:r>
    </w:p>
    <w:p w14:paraId="755C3D0F" w14:textId="0EC76FFF" w:rsidR="006B52A4" w:rsidRDefault="00390CA5" w:rsidP="00951F7B">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presente investigación</w:t>
      </w:r>
      <w:r w:rsidR="006B52A4" w:rsidRPr="00951F7B">
        <w:rPr>
          <w:rFonts w:ascii="Times New Roman" w:eastAsia="Times New Roman" w:hAnsi="Times New Roman" w:cs="Times New Roman"/>
          <w:sz w:val="24"/>
          <w:szCs w:val="24"/>
          <w:lang w:eastAsia="es-MX"/>
        </w:rPr>
        <w:t xml:space="preserve"> analizó si la estrategia implementada por la Universidad de Guadalajara</w:t>
      </w:r>
      <w:r>
        <w:rPr>
          <w:rFonts w:ascii="Times New Roman" w:eastAsia="Times New Roman" w:hAnsi="Times New Roman" w:cs="Times New Roman"/>
          <w:sz w:val="24"/>
          <w:szCs w:val="24"/>
          <w:lang w:eastAsia="es-MX"/>
        </w:rPr>
        <w:t xml:space="preserve"> (UdeG)</w:t>
      </w:r>
      <w:r w:rsidR="006B52A4" w:rsidRPr="00951F7B">
        <w:rPr>
          <w:rFonts w:ascii="Times New Roman" w:eastAsia="Times New Roman" w:hAnsi="Times New Roman" w:cs="Times New Roman"/>
          <w:sz w:val="24"/>
          <w:szCs w:val="24"/>
          <w:lang w:eastAsia="es-MX"/>
        </w:rPr>
        <w:t xml:space="preserve"> en el periodo 2012-2016 permitió aumentar significativamente el número de programas de estudios de pregrado con los principios que demanda el desarrollo sostenible como parte de una formación integral del estudiantado. Asimismo, se analizó si el modelo estructural que la caracteriza es un factor que influye en este proceso. Los resultados </w:t>
      </w:r>
      <w:r w:rsidR="00EA326A" w:rsidRPr="00951F7B">
        <w:rPr>
          <w:rFonts w:ascii="Times New Roman" w:eastAsia="Times New Roman" w:hAnsi="Times New Roman" w:cs="Times New Roman"/>
          <w:sz w:val="24"/>
          <w:szCs w:val="24"/>
          <w:lang w:eastAsia="es-MX"/>
        </w:rPr>
        <w:t>indicaron</w:t>
      </w:r>
      <w:r w:rsidR="006B52A4" w:rsidRPr="00951F7B">
        <w:rPr>
          <w:rFonts w:ascii="Times New Roman" w:eastAsia="Times New Roman" w:hAnsi="Times New Roman" w:cs="Times New Roman"/>
          <w:sz w:val="24"/>
          <w:szCs w:val="24"/>
          <w:lang w:eastAsia="es-MX"/>
        </w:rPr>
        <w:t xml:space="preserve"> que la estructura multidisciplinar que caracteriza a los centros universitarios regionales contribuyen al logro de estos objetivos. Sin embargo, esto no sucede en el esquema de facultades o centros temáticos que constituyen a la </w:t>
      </w:r>
      <w:r>
        <w:rPr>
          <w:rFonts w:ascii="Times New Roman" w:eastAsia="Times New Roman" w:hAnsi="Times New Roman" w:cs="Times New Roman"/>
          <w:sz w:val="24"/>
          <w:szCs w:val="24"/>
          <w:lang w:eastAsia="es-MX"/>
        </w:rPr>
        <w:t>UdeG</w:t>
      </w:r>
      <w:r w:rsidRPr="00951F7B">
        <w:rPr>
          <w:rFonts w:ascii="Times New Roman" w:eastAsia="Times New Roman" w:hAnsi="Times New Roman" w:cs="Times New Roman"/>
          <w:sz w:val="24"/>
          <w:szCs w:val="24"/>
          <w:lang w:eastAsia="es-MX"/>
        </w:rPr>
        <w:t xml:space="preserve"> </w:t>
      </w:r>
      <w:r w:rsidR="006B52A4" w:rsidRPr="00951F7B">
        <w:rPr>
          <w:rFonts w:ascii="Times New Roman" w:eastAsia="Times New Roman" w:hAnsi="Times New Roman" w:cs="Times New Roman"/>
          <w:sz w:val="24"/>
          <w:szCs w:val="24"/>
          <w:lang w:eastAsia="es-MX"/>
        </w:rPr>
        <w:t xml:space="preserve">en su conjunto. Se concluye que la estructura </w:t>
      </w:r>
      <w:r w:rsidR="00300DAA" w:rsidRPr="00951F7B">
        <w:rPr>
          <w:rFonts w:ascii="Times New Roman" w:eastAsia="Times New Roman" w:hAnsi="Times New Roman" w:cs="Times New Roman"/>
          <w:sz w:val="24"/>
          <w:szCs w:val="24"/>
          <w:lang w:eastAsia="es-MX"/>
        </w:rPr>
        <w:t>es</w:t>
      </w:r>
      <w:r>
        <w:rPr>
          <w:rFonts w:ascii="Times New Roman" w:eastAsia="Times New Roman" w:hAnsi="Times New Roman" w:cs="Times New Roman"/>
          <w:sz w:val="24"/>
          <w:szCs w:val="24"/>
          <w:lang w:eastAsia="es-MX"/>
        </w:rPr>
        <w:t xml:space="preserve"> un</w:t>
      </w:r>
      <w:r w:rsidR="00300DAA" w:rsidRPr="00951F7B">
        <w:rPr>
          <w:rFonts w:ascii="Times New Roman" w:eastAsia="Times New Roman" w:hAnsi="Times New Roman" w:cs="Times New Roman"/>
          <w:sz w:val="24"/>
          <w:szCs w:val="24"/>
          <w:lang w:eastAsia="es-MX"/>
        </w:rPr>
        <w:t xml:space="preserve"> factor relevante en las estrategias </w:t>
      </w:r>
      <w:r w:rsidR="006B52A4" w:rsidRPr="00951F7B">
        <w:rPr>
          <w:rFonts w:ascii="Times New Roman" w:eastAsia="Times New Roman" w:hAnsi="Times New Roman" w:cs="Times New Roman"/>
          <w:sz w:val="24"/>
          <w:szCs w:val="24"/>
          <w:lang w:eastAsia="es-MX"/>
        </w:rPr>
        <w:t>para incorporar los principios que demanda el desarrollo sosteni</w:t>
      </w:r>
      <w:r w:rsidR="00300DAA" w:rsidRPr="00951F7B">
        <w:rPr>
          <w:rFonts w:ascii="Times New Roman" w:eastAsia="Times New Roman" w:hAnsi="Times New Roman" w:cs="Times New Roman"/>
          <w:sz w:val="24"/>
          <w:szCs w:val="24"/>
          <w:lang w:eastAsia="es-MX"/>
        </w:rPr>
        <w:t xml:space="preserve">ble al </w:t>
      </w:r>
      <w:r>
        <w:rPr>
          <w:rFonts w:ascii="Times New Roman" w:eastAsia="Times New Roman" w:hAnsi="Times New Roman" w:cs="Times New Roman"/>
          <w:sz w:val="24"/>
          <w:szCs w:val="24"/>
          <w:lang w:eastAsia="es-MX"/>
        </w:rPr>
        <w:t>curríc</w:t>
      </w:r>
      <w:r w:rsidR="007424D6">
        <w:rPr>
          <w:rFonts w:ascii="Times New Roman" w:eastAsia="Times New Roman" w:hAnsi="Times New Roman" w:cs="Times New Roman"/>
          <w:sz w:val="24"/>
          <w:szCs w:val="24"/>
          <w:lang w:eastAsia="es-MX"/>
        </w:rPr>
        <w:t>u</w:t>
      </w:r>
      <w:r>
        <w:rPr>
          <w:rFonts w:ascii="Times New Roman" w:eastAsia="Times New Roman" w:hAnsi="Times New Roman" w:cs="Times New Roman"/>
          <w:sz w:val="24"/>
          <w:szCs w:val="24"/>
          <w:lang w:eastAsia="es-MX"/>
        </w:rPr>
        <w:t>lo</w:t>
      </w:r>
      <w:r w:rsidRPr="00951F7B">
        <w:rPr>
          <w:rFonts w:ascii="Times New Roman" w:eastAsia="Times New Roman" w:hAnsi="Times New Roman" w:cs="Times New Roman"/>
          <w:sz w:val="24"/>
          <w:szCs w:val="24"/>
          <w:lang w:eastAsia="es-MX"/>
        </w:rPr>
        <w:t xml:space="preserve"> </w:t>
      </w:r>
      <w:r w:rsidR="00300DAA" w:rsidRPr="00951F7B">
        <w:rPr>
          <w:rFonts w:ascii="Times New Roman" w:eastAsia="Times New Roman" w:hAnsi="Times New Roman" w:cs="Times New Roman"/>
          <w:sz w:val="24"/>
          <w:szCs w:val="24"/>
          <w:lang w:eastAsia="es-MX"/>
        </w:rPr>
        <w:t>universitario, así como también inhibe el desarrollo de actividades inter y transdisciplinar</w:t>
      </w:r>
      <w:r w:rsidR="00C037FA">
        <w:rPr>
          <w:rFonts w:ascii="Times New Roman" w:eastAsia="Times New Roman" w:hAnsi="Times New Roman" w:cs="Times New Roman"/>
          <w:sz w:val="24"/>
          <w:szCs w:val="24"/>
          <w:lang w:eastAsia="es-MX"/>
        </w:rPr>
        <w:t>es</w:t>
      </w:r>
      <w:r>
        <w:rPr>
          <w:rFonts w:ascii="Times New Roman" w:eastAsia="Times New Roman" w:hAnsi="Times New Roman" w:cs="Times New Roman"/>
          <w:sz w:val="24"/>
          <w:szCs w:val="24"/>
          <w:lang w:eastAsia="es-MX"/>
        </w:rPr>
        <w:t>,</w:t>
      </w:r>
      <w:r w:rsidR="00300DAA" w:rsidRPr="00951F7B">
        <w:rPr>
          <w:rFonts w:ascii="Times New Roman" w:eastAsia="Times New Roman" w:hAnsi="Times New Roman" w:cs="Times New Roman"/>
          <w:sz w:val="24"/>
          <w:szCs w:val="24"/>
          <w:lang w:eastAsia="es-MX"/>
        </w:rPr>
        <w:t xml:space="preserve"> que es una condición necesaria para el tránsito hacia sociedades más sostenibles.</w:t>
      </w:r>
    </w:p>
    <w:p w14:paraId="6E9F55B1" w14:textId="449069B4" w:rsidR="00052AB4" w:rsidRPr="00951F7B" w:rsidRDefault="00052AB4" w:rsidP="00951F7B">
      <w:pPr>
        <w:spacing w:after="0" w:line="360" w:lineRule="auto"/>
        <w:jc w:val="both"/>
        <w:rPr>
          <w:rFonts w:ascii="Times New Roman" w:hAnsi="Times New Roman" w:cs="Times New Roman"/>
          <w:sz w:val="24"/>
          <w:szCs w:val="24"/>
        </w:rPr>
      </w:pPr>
      <w:r w:rsidRPr="00145D7F">
        <w:rPr>
          <w:rFonts w:eastAsia="Times New Roman" w:cstheme="minorHAnsi"/>
          <w:b/>
          <w:sz w:val="28"/>
          <w:szCs w:val="28"/>
          <w:lang w:eastAsia="es-MX"/>
        </w:rPr>
        <w:t>Palabras clave</w:t>
      </w:r>
      <w:r w:rsidRPr="003A1A5C">
        <w:rPr>
          <w:rFonts w:ascii="Times New Roman" w:hAnsi="Times New Roman" w:cs="Times New Roman"/>
          <w:bCs/>
          <w:sz w:val="24"/>
          <w:szCs w:val="24"/>
        </w:rPr>
        <w:t>:</w:t>
      </w:r>
      <w:r w:rsidRPr="00951F7B">
        <w:rPr>
          <w:rFonts w:ascii="Times New Roman" w:hAnsi="Times New Roman" w:cs="Times New Roman"/>
          <w:sz w:val="24"/>
          <w:szCs w:val="24"/>
        </w:rPr>
        <w:t xml:space="preserve"> </w:t>
      </w:r>
      <w:r w:rsidR="00A865B9" w:rsidRPr="00951F7B">
        <w:rPr>
          <w:rFonts w:ascii="Times New Roman" w:hAnsi="Times New Roman" w:cs="Times New Roman"/>
          <w:sz w:val="24"/>
          <w:szCs w:val="24"/>
        </w:rPr>
        <w:t xml:space="preserve">educación ambiental, </w:t>
      </w:r>
      <w:r w:rsidR="00BD5CE4" w:rsidRPr="00951F7B">
        <w:rPr>
          <w:rFonts w:ascii="Times New Roman" w:hAnsi="Times New Roman" w:cs="Times New Roman"/>
          <w:sz w:val="24"/>
          <w:szCs w:val="24"/>
        </w:rPr>
        <w:t>gestión del cambio</w:t>
      </w:r>
      <w:r w:rsidRPr="00951F7B">
        <w:rPr>
          <w:rFonts w:ascii="Times New Roman" w:hAnsi="Times New Roman" w:cs="Times New Roman"/>
          <w:sz w:val="24"/>
          <w:szCs w:val="24"/>
        </w:rPr>
        <w:t xml:space="preserve">, interdisciplina, </w:t>
      </w:r>
      <w:r w:rsidR="00A865B9" w:rsidRPr="00951F7B">
        <w:rPr>
          <w:rFonts w:ascii="Times New Roman" w:hAnsi="Times New Roman" w:cs="Times New Roman"/>
          <w:sz w:val="24"/>
          <w:szCs w:val="24"/>
        </w:rPr>
        <w:t>modelo napoleónico, reforma universitaria, sostenibilidad, universidad.</w:t>
      </w:r>
    </w:p>
    <w:p w14:paraId="71A76135" w14:textId="77777777" w:rsidR="00052AB4" w:rsidRPr="00522FCC" w:rsidRDefault="00052AB4" w:rsidP="00951F7B">
      <w:pPr>
        <w:spacing w:after="0" w:line="360" w:lineRule="auto"/>
        <w:rPr>
          <w:rFonts w:eastAsia="Times New Roman" w:cstheme="minorHAnsi"/>
          <w:b/>
          <w:sz w:val="28"/>
          <w:szCs w:val="28"/>
          <w:lang w:val="en-US" w:eastAsia="es-MX"/>
        </w:rPr>
      </w:pPr>
      <w:r w:rsidRPr="00522FCC">
        <w:rPr>
          <w:rFonts w:eastAsia="Times New Roman" w:cstheme="minorHAnsi"/>
          <w:b/>
          <w:sz w:val="28"/>
          <w:szCs w:val="28"/>
          <w:lang w:val="en-US" w:eastAsia="es-MX"/>
        </w:rPr>
        <w:lastRenderedPageBreak/>
        <w:t xml:space="preserve">Abstract </w:t>
      </w:r>
    </w:p>
    <w:p w14:paraId="543D8488" w14:textId="589532B8" w:rsidR="00C76FBA" w:rsidRPr="00951F7B" w:rsidRDefault="00C76FBA" w:rsidP="00951F7B">
      <w:pPr>
        <w:spacing w:after="0" w:line="360" w:lineRule="auto"/>
        <w:jc w:val="both"/>
        <w:rPr>
          <w:rFonts w:ascii="Times New Roman" w:eastAsia="Times New Roman" w:hAnsi="Times New Roman" w:cs="Times New Roman"/>
          <w:sz w:val="24"/>
          <w:szCs w:val="24"/>
          <w:lang w:val="en-US" w:eastAsia="es-MX"/>
        </w:rPr>
      </w:pPr>
      <w:r w:rsidRPr="00C76FBA">
        <w:rPr>
          <w:rFonts w:ascii="Times New Roman" w:eastAsia="Times New Roman" w:hAnsi="Times New Roman" w:cs="Times New Roman"/>
          <w:sz w:val="24"/>
          <w:szCs w:val="24"/>
          <w:lang w:val="en-US" w:eastAsia="es-MX"/>
        </w:rPr>
        <w:t>This research analyzed whether the strategy implemented by the University of Guadalajara (</w:t>
      </w:r>
      <w:proofErr w:type="spellStart"/>
      <w:r w:rsidRPr="00C76FBA">
        <w:rPr>
          <w:rFonts w:ascii="Times New Roman" w:eastAsia="Times New Roman" w:hAnsi="Times New Roman" w:cs="Times New Roman"/>
          <w:sz w:val="24"/>
          <w:szCs w:val="24"/>
          <w:lang w:val="en-US" w:eastAsia="es-MX"/>
        </w:rPr>
        <w:t>UdeG</w:t>
      </w:r>
      <w:proofErr w:type="spellEnd"/>
      <w:r w:rsidRPr="00C76FBA">
        <w:rPr>
          <w:rFonts w:ascii="Times New Roman" w:eastAsia="Times New Roman" w:hAnsi="Times New Roman" w:cs="Times New Roman"/>
          <w:sz w:val="24"/>
          <w:szCs w:val="24"/>
          <w:lang w:val="en-US" w:eastAsia="es-MX"/>
        </w:rPr>
        <w:t xml:space="preserve">) in the 2012-2016 period allowed for a significant increase in the number of undergraduate study programs with the principles demanded by sustainable development as part of a comprehensive training of the student body. Likewise, it was analyzed if the structural model that characterizes it is a factor that influences this process. The results indicated that the multidisciplinary structure that characterizes the regional university centers contributes to the achievement of these objectives. However, this does not happen in the scheme of faculties or thematic centers that constitute the </w:t>
      </w:r>
      <w:proofErr w:type="spellStart"/>
      <w:r w:rsidRPr="00C76FBA">
        <w:rPr>
          <w:rFonts w:ascii="Times New Roman" w:eastAsia="Times New Roman" w:hAnsi="Times New Roman" w:cs="Times New Roman"/>
          <w:sz w:val="24"/>
          <w:szCs w:val="24"/>
          <w:lang w:val="en-US" w:eastAsia="es-MX"/>
        </w:rPr>
        <w:t>UdeG</w:t>
      </w:r>
      <w:proofErr w:type="spellEnd"/>
      <w:r w:rsidRPr="00C76FBA">
        <w:rPr>
          <w:rFonts w:ascii="Times New Roman" w:eastAsia="Times New Roman" w:hAnsi="Times New Roman" w:cs="Times New Roman"/>
          <w:sz w:val="24"/>
          <w:szCs w:val="24"/>
          <w:lang w:val="en-US" w:eastAsia="es-MX"/>
        </w:rPr>
        <w:t xml:space="preserve"> as a whole. It is concluded that the structure is a relevant factor in the strategies to incorporate the principles that sustainable development demands into the university curriculum, as well as inhibits the development of inter and transdisciplinary activities, which is a necessary condition for the transition towards more sustainable societies.</w:t>
      </w:r>
    </w:p>
    <w:p w14:paraId="38D62F4A" w14:textId="6A61B780" w:rsidR="00BE02C6" w:rsidRDefault="00BE02C6" w:rsidP="00951F7B">
      <w:pPr>
        <w:spacing w:after="0" w:line="360" w:lineRule="auto"/>
        <w:jc w:val="both"/>
        <w:rPr>
          <w:rFonts w:ascii="Times New Roman" w:eastAsia="Times New Roman" w:hAnsi="Times New Roman" w:cs="Times New Roman"/>
          <w:sz w:val="24"/>
          <w:szCs w:val="24"/>
          <w:lang w:val="en-US" w:eastAsia="es-MX"/>
        </w:rPr>
      </w:pPr>
      <w:r w:rsidRPr="00145D7F">
        <w:rPr>
          <w:rFonts w:eastAsia="Times New Roman" w:cstheme="minorHAnsi"/>
          <w:b/>
          <w:sz w:val="28"/>
          <w:szCs w:val="28"/>
          <w:lang w:val="en-US" w:eastAsia="es-MX"/>
        </w:rPr>
        <w:t>Keywords:</w:t>
      </w:r>
      <w:r w:rsidRPr="00951F7B">
        <w:rPr>
          <w:rFonts w:ascii="Times New Roman" w:eastAsia="Times New Roman" w:hAnsi="Times New Roman" w:cs="Times New Roman"/>
          <w:sz w:val="24"/>
          <w:szCs w:val="24"/>
          <w:lang w:val="en-US" w:eastAsia="es-MX"/>
        </w:rPr>
        <w:t xml:space="preserve"> </w:t>
      </w:r>
      <w:r w:rsidR="00C76FBA" w:rsidRPr="00C76FBA">
        <w:rPr>
          <w:rFonts w:ascii="Times New Roman" w:eastAsia="Times New Roman" w:hAnsi="Times New Roman" w:cs="Times New Roman"/>
          <w:sz w:val="24"/>
          <w:szCs w:val="24"/>
          <w:lang w:val="en-US" w:eastAsia="es-MX"/>
        </w:rPr>
        <w:t xml:space="preserve">environmental education, change management, </w:t>
      </w:r>
      <w:proofErr w:type="spellStart"/>
      <w:r w:rsidR="00C76FBA" w:rsidRPr="00C76FBA">
        <w:rPr>
          <w:rFonts w:ascii="Times New Roman" w:eastAsia="Times New Roman" w:hAnsi="Times New Roman" w:cs="Times New Roman"/>
          <w:sz w:val="24"/>
          <w:szCs w:val="24"/>
          <w:lang w:val="en-US" w:eastAsia="es-MX"/>
        </w:rPr>
        <w:t>interdiscipline</w:t>
      </w:r>
      <w:proofErr w:type="spellEnd"/>
      <w:r w:rsidR="00C76FBA" w:rsidRPr="00C76FBA">
        <w:rPr>
          <w:rFonts w:ascii="Times New Roman" w:eastAsia="Times New Roman" w:hAnsi="Times New Roman" w:cs="Times New Roman"/>
          <w:sz w:val="24"/>
          <w:szCs w:val="24"/>
          <w:lang w:val="en-US" w:eastAsia="es-MX"/>
        </w:rPr>
        <w:t>, Napoleonic model, university reform, sustainability, university</w:t>
      </w:r>
      <w:r w:rsidRPr="00951F7B">
        <w:rPr>
          <w:rFonts w:ascii="Times New Roman" w:eastAsia="Times New Roman" w:hAnsi="Times New Roman" w:cs="Times New Roman"/>
          <w:sz w:val="24"/>
          <w:szCs w:val="24"/>
          <w:lang w:val="en-US" w:eastAsia="es-MX"/>
        </w:rPr>
        <w:t>.</w:t>
      </w:r>
    </w:p>
    <w:p w14:paraId="41C9A2A9" w14:textId="6F71FC37" w:rsidR="00145D7F" w:rsidRDefault="00145D7F" w:rsidP="00951F7B">
      <w:pPr>
        <w:spacing w:after="0" w:line="360" w:lineRule="auto"/>
        <w:jc w:val="both"/>
        <w:rPr>
          <w:rFonts w:ascii="Times New Roman" w:eastAsia="Times New Roman" w:hAnsi="Times New Roman" w:cs="Times New Roman"/>
          <w:sz w:val="24"/>
          <w:szCs w:val="24"/>
          <w:lang w:val="en-US" w:eastAsia="es-MX"/>
        </w:rPr>
      </w:pPr>
    </w:p>
    <w:p w14:paraId="02E5CD7C" w14:textId="5868BA3A" w:rsidR="00145D7F" w:rsidRPr="00145D7F" w:rsidRDefault="00145D7F" w:rsidP="00951F7B">
      <w:pPr>
        <w:spacing w:after="0" w:line="360" w:lineRule="auto"/>
        <w:jc w:val="both"/>
        <w:rPr>
          <w:rFonts w:eastAsia="Times New Roman" w:cstheme="minorHAnsi"/>
          <w:b/>
          <w:sz w:val="28"/>
          <w:szCs w:val="28"/>
          <w:lang w:val="en-US" w:eastAsia="es-MX"/>
        </w:rPr>
      </w:pPr>
      <w:proofErr w:type="spellStart"/>
      <w:r w:rsidRPr="00145D7F">
        <w:rPr>
          <w:rFonts w:eastAsia="Times New Roman" w:cstheme="minorHAnsi"/>
          <w:b/>
          <w:sz w:val="28"/>
          <w:szCs w:val="28"/>
          <w:lang w:val="en-US" w:eastAsia="es-MX"/>
        </w:rPr>
        <w:t>Resumo</w:t>
      </w:r>
      <w:proofErr w:type="spellEnd"/>
    </w:p>
    <w:p w14:paraId="6B6A9B65" w14:textId="77777777" w:rsidR="00145D7F" w:rsidRPr="00145D7F" w:rsidRDefault="00145D7F" w:rsidP="00145D7F">
      <w:pPr>
        <w:spacing w:after="0" w:line="360" w:lineRule="auto"/>
        <w:jc w:val="both"/>
        <w:rPr>
          <w:rFonts w:ascii="Times New Roman" w:eastAsia="Times New Roman" w:hAnsi="Times New Roman" w:cs="Times New Roman"/>
          <w:sz w:val="24"/>
          <w:szCs w:val="24"/>
          <w:lang w:eastAsia="es-MX"/>
        </w:rPr>
      </w:pPr>
      <w:r w:rsidRPr="00145D7F">
        <w:rPr>
          <w:rFonts w:ascii="Times New Roman" w:eastAsia="Times New Roman" w:hAnsi="Times New Roman" w:cs="Times New Roman"/>
          <w:sz w:val="24"/>
          <w:szCs w:val="24"/>
          <w:lang w:eastAsia="es-MX"/>
        </w:rPr>
        <w:t xml:space="preserve">Esta pesquisa </w:t>
      </w:r>
      <w:proofErr w:type="spellStart"/>
      <w:r w:rsidRPr="00145D7F">
        <w:rPr>
          <w:rFonts w:ascii="Times New Roman" w:eastAsia="Times New Roman" w:hAnsi="Times New Roman" w:cs="Times New Roman"/>
          <w:sz w:val="24"/>
          <w:szCs w:val="24"/>
          <w:lang w:eastAsia="es-MX"/>
        </w:rPr>
        <w:t>analisou</w:t>
      </w:r>
      <w:proofErr w:type="spellEnd"/>
      <w:r w:rsidRPr="00145D7F">
        <w:rPr>
          <w:rFonts w:ascii="Times New Roman" w:eastAsia="Times New Roman" w:hAnsi="Times New Roman" w:cs="Times New Roman"/>
          <w:sz w:val="24"/>
          <w:szCs w:val="24"/>
          <w:lang w:eastAsia="es-MX"/>
        </w:rPr>
        <w:t xml:space="preserve"> se </w:t>
      </w:r>
      <w:proofErr w:type="spellStart"/>
      <w:r w:rsidRPr="00145D7F">
        <w:rPr>
          <w:rFonts w:ascii="Times New Roman" w:eastAsia="Times New Roman" w:hAnsi="Times New Roman" w:cs="Times New Roman"/>
          <w:sz w:val="24"/>
          <w:szCs w:val="24"/>
          <w:lang w:eastAsia="es-MX"/>
        </w:rPr>
        <w:t>a</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estratégia</w:t>
      </w:r>
      <w:proofErr w:type="spellEnd"/>
      <w:r w:rsidRPr="00145D7F">
        <w:rPr>
          <w:rFonts w:ascii="Times New Roman" w:eastAsia="Times New Roman" w:hAnsi="Times New Roman" w:cs="Times New Roman"/>
          <w:sz w:val="24"/>
          <w:szCs w:val="24"/>
          <w:lang w:eastAsia="es-MX"/>
        </w:rPr>
        <w:t xml:space="preserve"> implementada pela </w:t>
      </w:r>
      <w:proofErr w:type="spellStart"/>
      <w:r w:rsidRPr="00145D7F">
        <w:rPr>
          <w:rFonts w:ascii="Times New Roman" w:eastAsia="Times New Roman" w:hAnsi="Times New Roman" w:cs="Times New Roman"/>
          <w:sz w:val="24"/>
          <w:szCs w:val="24"/>
          <w:lang w:eastAsia="es-MX"/>
        </w:rPr>
        <w:t>Universidade</w:t>
      </w:r>
      <w:proofErr w:type="spellEnd"/>
      <w:r w:rsidRPr="00145D7F">
        <w:rPr>
          <w:rFonts w:ascii="Times New Roman" w:eastAsia="Times New Roman" w:hAnsi="Times New Roman" w:cs="Times New Roman"/>
          <w:sz w:val="24"/>
          <w:szCs w:val="24"/>
          <w:lang w:eastAsia="es-MX"/>
        </w:rPr>
        <w:t xml:space="preserve"> de Guadalajara (UdeG) no período 2012-2016 </w:t>
      </w:r>
      <w:proofErr w:type="spellStart"/>
      <w:r w:rsidRPr="00145D7F">
        <w:rPr>
          <w:rFonts w:ascii="Times New Roman" w:eastAsia="Times New Roman" w:hAnsi="Times New Roman" w:cs="Times New Roman"/>
          <w:sz w:val="24"/>
          <w:szCs w:val="24"/>
          <w:lang w:eastAsia="es-MX"/>
        </w:rPr>
        <w:t>permitiu</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um</w:t>
      </w:r>
      <w:proofErr w:type="spellEnd"/>
      <w:r w:rsidRPr="00145D7F">
        <w:rPr>
          <w:rFonts w:ascii="Times New Roman" w:eastAsia="Times New Roman" w:hAnsi="Times New Roman" w:cs="Times New Roman"/>
          <w:sz w:val="24"/>
          <w:szCs w:val="24"/>
          <w:lang w:eastAsia="es-MX"/>
        </w:rPr>
        <w:t xml:space="preserve"> aumento significativo no número de cursos de </w:t>
      </w:r>
      <w:proofErr w:type="spellStart"/>
      <w:r w:rsidRPr="00145D7F">
        <w:rPr>
          <w:rFonts w:ascii="Times New Roman" w:eastAsia="Times New Roman" w:hAnsi="Times New Roman" w:cs="Times New Roman"/>
          <w:sz w:val="24"/>
          <w:szCs w:val="24"/>
          <w:lang w:eastAsia="es-MX"/>
        </w:rPr>
        <w:t>graduação</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com</w:t>
      </w:r>
      <w:proofErr w:type="spellEnd"/>
      <w:r w:rsidRPr="00145D7F">
        <w:rPr>
          <w:rFonts w:ascii="Times New Roman" w:eastAsia="Times New Roman" w:hAnsi="Times New Roman" w:cs="Times New Roman"/>
          <w:sz w:val="24"/>
          <w:szCs w:val="24"/>
          <w:lang w:eastAsia="es-MX"/>
        </w:rPr>
        <w:t xml:space="preserve"> os </w:t>
      </w:r>
      <w:proofErr w:type="spellStart"/>
      <w:r w:rsidRPr="00145D7F">
        <w:rPr>
          <w:rFonts w:ascii="Times New Roman" w:eastAsia="Times New Roman" w:hAnsi="Times New Roman" w:cs="Times New Roman"/>
          <w:sz w:val="24"/>
          <w:szCs w:val="24"/>
          <w:lang w:eastAsia="es-MX"/>
        </w:rPr>
        <w:t>princípios</w:t>
      </w:r>
      <w:proofErr w:type="spellEnd"/>
      <w:r w:rsidRPr="00145D7F">
        <w:rPr>
          <w:rFonts w:ascii="Times New Roman" w:eastAsia="Times New Roman" w:hAnsi="Times New Roman" w:cs="Times New Roman"/>
          <w:sz w:val="24"/>
          <w:szCs w:val="24"/>
          <w:lang w:eastAsia="es-MX"/>
        </w:rPr>
        <w:t xml:space="preserve"> exigidos pelo </w:t>
      </w:r>
      <w:proofErr w:type="spellStart"/>
      <w:r w:rsidRPr="00145D7F">
        <w:rPr>
          <w:rFonts w:ascii="Times New Roman" w:eastAsia="Times New Roman" w:hAnsi="Times New Roman" w:cs="Times New Roman"/>
          <w:sz w:val="24"/>
          <w:szCs w:val="24"/>
          <w:lang w:eastAsia="es-MX"/>
        </w:rPr>
        <w:t>desenvolvimento</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sustentável</w:t>
      </w:r>
      <w:proofErr w:type="spellEnd"/>
      <w:r w:rsidRPr="00145D7F">
        <w:rPr>
          <w:rFonts w:ascii="Times New Roman" w:eastAsia="Times New Roman" w:hAnsi="Times New Roman" w:cs="Times New Roman"/>
          <w:sz w:val="24"/>
          <w:szCs w:val="24"/>
          <w:lang w:eastAsia="es-MX"/>
        </w:rPr>
        <w:t xml:space="preserve"> como parte de </w:t>
      </w:r>
      <w:proofErr w:type="spellStart"/>
      <w:r w:rsidRPr="00145D7F">
        <w:rPr>
          <w:rFonts w:ascii="Times New Roman" w:eastAsia="Times New Roman" w:hAnsi="Times New Roman" w:cs="Times New Roman"/>
          <w:sz w:val="24"/>
          <w:szCs w:val="24"/>
          <w:lang w:eastAsia="es-MX"/>
        </w:rPr>
        <w:t>uma</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formação</w:t>
      </w:r>
      <w:proofErr w:type="spellEnd"/>
      <w:r w:rsidRPr="00145D7F">
        <w:rPr>
          <w:rFonts w:ascii="Times New Roman" w:eastAsia="Times New Roman" w:hAnsi="Times New Roman" w:cs="Times New Roman"/>
          <w:sz w:val="24"/>
          <w:szCs w:val="24"/>
          <w:lang w:eastAsia="es-MX"/>
        </w:rPr>
        <w:t xml:space="preserve"> integral do </w:t>
      </w:r>
      <w:proofErr w:type="spellStart"/>
      <w:r w:rsidRPr="00145D7F">
        <w:rPr>
          <w:rFonts w:ascii="Times New Roman" w:eastAsia="Times New Roman" w:hAnsi="Times New Roman" w:cs="Times New Roman"/>
          <w:sz w:val="24"/>
          <w:szCs w:val="24"/>
          <w:lang w:eastAsia="es-MX"/>
        </w:rPr>
        <w:t>corpo</w:t>
      </w:r>
      <w:proofErr w:type="spellEnd"/>
      <w:r w:rsidRPr="00145D7F">
        <w:rPr>
          <w:rFonts w:ascii="Times New Roman" w:eastAsia="Times New Roman" w:hAnsi="Times New Roman" w:cs="Times New Roman"/>
          <w:sz w:val="24"/>
          <w:szCs w:val="24"/>
          <w:lang w:eastAsia="es-MX"/>
        </w:rPr>
        <w:t xml:space="preserve"> </w:t>
      </w:r>
      <w:proofErr w:type="gramStart"/>
      <w:r w:rsidRPr="00145D7F">
        <w:rPr>
          <w:rFonts w:ascii="Times New Roman" w:eastAsia="Times New Roman" w:hAnsi="Times New Roman" w:cs="Times New Roman"/>
          <w:sz w:val="24"/>
          <w:szCs w:val="24"/>
          <w:lang w:eastAsia="es-MX"/>
        </w:rPr>
        <w:t>discente .</w:t>
      </w:r>
      <w:proofErr w:type="gramEnd"/>
      <w:r w:rsidRPr="00145D7F">
        <w:rPr>
          <w:rFonts w:ascii="Times New Roman" w:eastAsia="Times New Roman" w:hAnsi="Times New Roman" w:cs="Times New Roman"/>
          <w:sz w:val="24"/>
          <w:szCs w:val="24"/>
          <w:lang w:eastAsia="es-MX"/>
        </w:rPr>
        <w:t xml:space="preserve"> Da mesma forma, </w:t>
      </w:r>
      <w:proofErr w:type="spellStart"/>
      <w:r w:rsidRPr="00145D7F">
        <w:rPr>
          <w:rFonts w:ascii="Times New Roman" w:eastAsia="Times New Roman" w:hAnsi="Times New Roman" w:cs="Times New Roman"/>
          <w:sz w:val="24"/>
          <w:szCs w:val="24"/>
          <w:lang w:eastAsia="es-MX"/>
        </w:rPr>
        <w:t>foi</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analisado</w:t>
      </w:r>
      <w:proofErr w:type="spellEnd"/>
      <w:r w:rsidRPr="00145D7F">
        <w:rPr>
          <w:rFonts w:ascii="Times New Roman" w:eastAsia="Times New Roman" w:hAnsi="Times New Roman" w:cs="Times New Roman"/>
          <w:sz w:val="24"/>
          <w:szCs w:val="24"/>
          <w:lang w:eastAsia="es-MX"/>
        </w:rPr>
        <w:t xml:space="preserve"> se o modelo </w:t>
      </w:r>
      <w:proofErr w:type="spellStart"/>
      <w:r w:rsidRPr="00145D7F">
        <w:rPr>
          <w:rFonts w:ascii="Times New Roman" w:eastAsia="Times New Roman" w:hAnsi="Times New Roman" w:cs="Times New Roman"/>
          <w:sz w:val="24"/>
          <w:szCs w:val="24"/>
          <w:lang w:eastAsia="es-MX"/>
        </w:rPr>
        <w:t>estrutural</w:t>
      </w:r>
      <w:proofErr w:type="spellEnd"/>
      <w:r w:rsidRPr="00145D7F">
        <w:rPr>
          <w:rFonts w:ascii="Times New Roman" w:eastAsia="Times New Roman" w:hAnsi="Times New Roman" w:cs="Times New Roman"/>
          <w:sz w:val="24"/>
          <w:szCs w:val="24"/>
          <w:lang w:eastAsia="es-MX"/>
        </w:rPr>
        <w:t xml:space="preserve"> que o caracteriza é </w:t>
      </w:r>
      <w:proofErr w:type="spellStart"/>
      <w:r w:rsidRPr="00145D7F">
        <w:rPr>
          <w:rFonts w:ascii="Times New Roman" w:eastAsia="Times New Roman" w:hAnsi="Times New Roman" w:cs="Times New Roman"/>
          <w:sz w:val="24"/>
          <w:szCs w:val="24"/>
          <w:lang w:eastAsia="es-MX"/>
        </w:rPr>
        <w:t>um</w:t>
      </w:r>
      <w:proofErr w:type="spellEnd"/>
      <w:r w:rsidRPr="00145D7F">
        <w:rPr>
          <w:rFonts w:ascii="Times New Roman" w:eastAsia="Times New Roman" w:hAnsi="Times New Roman" w:cs="Times New Roman"/>
          <w:sz w:val="24"/>
          <w:szCs w:val="24"/>
          <w:lang w:eastAsia="es-MX"/>
        </w:rPr>
        <w:t xml:space="preserve"> fator que influencia </w:t>
      </w:r>
      <w:proofErr w:type="spellStart"/>
      <w:r w:rsidRPr="00145D7F">
        <w:rPr>
          <w:rFonts w:ascii="Times New Roman" w:eastAsia="Times New Roman" w:hAnsi="Times New Roman" w:cs="Times New Roman"/>
          <w:sz w:val="24"/>
          <w:szCs w:val="24"/>
          <w:lang w:eastAsia="es-MX"/>
        </w:rPr>
        <w:t>esse</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processo</w:t>
      </w:r>
      <w:proofErr w:type="spellEnd"/>
      <w:r w:rsidRPr="00145D7F">
        <w:rPr>
          <w:rFonts w:ascii="Times New Roman" w:eastAsia="Times New Roman" w:hAnsi="Times New Roman" w:cs="Times New Roman"/>
          <w:sz w:val="24"/>
          <w:szCs w:val="24"/>
          <w:lang w:eastAsia="es-MX"/>
        </w:rPr>
        <w:t xml:space="preserve">. Os resultados </w:t>
      </w:r>
      <w:proofErr w:type="spellStart"/>
      <w:r w:rsidRPr="00145D7F">
        <w:rPr>
          <w:rFonts w:ascii="Times New Roman" w:eastAsia="Times New Roman" w:hAnsi="Times New Roman" w:cs="Times New Roman"/>
          <w:sz w:val="24"/>
          <w:szCs w:val="24"/>
          <w:lang w:eastAsia="es-MX"/>
        </w:rPr>
        <w:t>indicaram</w:t>
      </w:r>
      <w:proofErr w:type="spellEnd"/>
      <w:r w:rsidRPr="00145D7F">
        <w:rPr>
          <w:rFonts w:ascii="Times New Roman" w:eastAsia="Times New Roman" w:hAnsi="Times New Roman" w:cs="Times New Roman"/>
          <w:sz w:val="24"/>
          <w:szCs w:val="24"/>
          <w:lang w:eastAsia="es-MX"/>
        </w:rPr>
        <w:t xml:space="preserve"> que a </w:t>
      </w:r>
      <w:proofErr w:type="spellStart"/>
      <w:r w:rsidRPr="00145D7F">
        <w:rPr>
          <w:rFonts w:ascii="Times New Roman" w:eastAsia="Times New Roman" w:hAnsi="Times New Roman" w:cs="Times New Roman"/>
          <w:sz w:val="24"/>
          <w:szCs w:val="24"/>
          <w:lang w:eastAsia="es-MX"/>
        </w:rPr>
        <w:t>estrutura</w:t>
      </w:r>
      <w:proofErr w:type="spellEnd"/>
      <w:r w:rsidRPr="00145D7F">
        <w:rPr>
          <w:rFonts w:ascii="Times New Roman" w:eastAsia="Times New Roman" w:hAnsi="Times New Roman" w:cs="Times New Roman"/>
          <w:sz w:val="24"/>
          <w:szCs w:val="24"/>
          <w:lang w:eastAsia="es-MX"/>
        </w:rPr>
        <w:t xml:space="preserve"> multidisciplinar que caracteriza os centros </w:t>
      </w:r>
      <w:proofErr w:type="spellStart"/>
      <w:r w:rsidRPr="00145D7F">
        <w:rPr>
          <w:rFonts w:ascii="Times New Roman" w:eastAsia="Times New Roman" w:hAnsi="Times New Roman" w:cs="Times New Roman"/>
          <w:sz w:val="24"/>
          <w:szCs w:val="24"/>
          <w:lang w:eastAsia="es-MX"/>
        </w:rPr>
        <w:t>universitários</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regionais</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contribui</w:t>
      </w:r>
      <w:proofErr w:type="spellEnd"/>
      <w:r w:rsidRPr="00145D7F">
        <w:rPr>
          <w:rFonts w:ascii="Times New Roman" w:eastAsia="Times New Roman" w:hAnsi="Times New Roman" w:cs="Times New Roman"/>
          <w:sz w:val="24"/>
          <w:szCs w:val="24"/>
          <w:lang w:eastAsia="es-MX"/>
        </w:rPr>
        <w:t xml:space="preserve"> para o alcance </w:t>
      </w:r>
      <w:proofErr w:type="spellStart"/>
      <w:r w:rsidRPr="00145D7F">
        <w:rPr>
          <w:rFonts w:ascii="Times New Roman" w:eastAsia="Times New Roman" w:hAnsi="Times New Roman" w:cs="Times New Roman"/>
          <w:sz w:val="24"/>
          <w:szCs w:val="24"/>
          <w:lang w:eastAsia="es-MX"/>
        </w:rPr>
        <w:t>desses</w:t>
      </w:r>
      <w:proofErr w:type="spellEnd"/>
      <w:r w:rsidRPr="00145D7F">
        <w:rPr>
          <w:rFonts w:ascii="Times New Roman" w:eastAsia="Times New Roman" w:hAnsi="Times New Roman" w:cs="Times New Roman"/>
          <w:sz w:val="24"/>
          <w:szCs w:val="24"/>
          <w:lang w:eastAsia="es-MX"/>
        </w:rPr>
        <w:t xml:space="preserve"> objetivos. No </w:t>
      </w:r>
      <w:proofErr w:type="spellStart"/>
      <w:r w:rsidRPr="00145D7F">
        <w:rPr>
          <w:rFonts w:ascii="Times New Roman" w:eastAsia="Times New Roman" w:hAnsi="Times New Roman" w:cs="Times New Roman"/>
          <w:sz w:val="24"/>
          <w:szCs w:val="24"/>
          <w:lang w:eastAsia="es-MX"/>
        </w:rPr>
        <w:t>entanto</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isso</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não</w:t>
      </w:r>
      <w:proofErr w:type="spellEnd"/>
      <w:r w:rsidRPr="00145D7F">
        <w:rPr>
          <w:rFonts w:ascii="Times New Roman" w:eastAsia="Times New Roman" w:hAnsi="Times New Roman" w:cs="Times New Roman"/>
          <w:sz w:val="24"/>
          <w:szCs w:val="24"/>
          <w:lang w:eastAsia="es-MX"/>
        </w:rPr>
        <w:t xml:space="preserve"> acontece no esquema de </w:t>
      </w:r>
      <w:proofErr w:type="spellStart"/>
      <w:r w:rsidRPr="00145D7F">
        <w:rPr>
          <w:rFonts w:ascii="Times New Roman" w:eastAsia="Times New Roman" w:hAnsi="Times New Roman" w:cs="Times New Roman"/>
          <w:sz w:val="24"/>
          <w:szCs w:val="24"/>
          <w:lang w:eastAsia="es-MX"/>
        </w:rPr>
        <w:t>faculdades</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ou</w:t>
      </w:r>
      <w:proofErr w:type="spellEnd"/>
      <w:r w:rsidRPr="00145D7F">
        <w:rPr>
          <w:rFonts w:ascii="Times New Roman" w:eastAsia="Times New Roman" w:hAnsi="Times New Roman" w:cs="Times New Roman"/>
          <w:sz w:val="24"/>
          <w:szCs w:val="24"/>
          <w:lang w:eastAsia="es-MX"/>
        </w:rPr>
        <w:t xml:space="preserve"> centros temáticos que </w:t>
      </w:r>
      <w:proofErr w:type="spellStart"/>
      <w:r w:rsidRPr="00145D7F">
        <w:rPr>
          <w:rFonts w:ascii="Times New Roman" w:eastAsia="Times New Roman" w:hAnsi="Times New Roman" w:cs="Times New Roman"/>
          <w:sz w:val="24"/>
          <w:szCs w:val="24"/>
          <w:lang w:eastAsia="es-MX"/>
        </w:rPr>
        <w:t>constituem</w:t>
      </w:r>
      <w:proofErr w:type="spellEnd"/>
      <w:r w:rsidRPr="00145D7F">
        <w:rPr>
          <w:rFonts w:ascii="Times New Roman" w:eastAsia="Times New Roman" w:hAnsi="Times New Roman" w:cs="Times New Roman"/>
          <w:sz w:val="24"/>
          <w:szCs w:val="24"/>
          <w:lang w:eastAsia="es-MX"/>
        </w:rPr>
        <w:t xml:space="preserve"> a UdeG como </w:t>
      </w:r>
      <w:proofErr w:type="spellStart"/>
      <w:r w:rsidRPr="00145D7F">
        <w:rPr>
          <w:rFonts w:ascii="Times New Roman" w:eastAsia="Times New Roman" w:hAnsi="Times New Roman" w:cs="Times New Roman"/>
          <w:sz w:val="24"/>
          <w:szCs w:val="24"/>
          <w:lang w:eastAsia="es-MX"/>
        </w:rPr>
        <w:t>um</w:t>
      </w:r>
      <w:proofErr w:type="spellEnd"/>
      <w:r w:rsidRPr="00145D7F">
        <w:rPr>
          <w:rFonts w:ascii="Times New Roman" w:eastAsia="Times New Roman" w:hAnsi="Times New Roman" w:cs="Times New Roman"/>
          <w:sz w:val="24"/>
          <w:szCs w:val="24"/>
          <w:lang w:eastAsia="es-MX"/>
        </w:rPr>
        <w:t xml:space="preserve"> todo. </w:t>
      </w:r>
      <w:proofErr w:type="spellStart"/>
      <w:r w:rsidRPr="00145D7F">
        <w:rPr>
          <w:rFonts w:ascii="Times New Roman" w:eastAsia="Times New Roman" w:hAnsi="Times New Roman" w:cs="Times New Roman"/>
          <w:sz w:val="24"/>
          <w:szCs w:val="24"/>
          <w:lang w:eastAsia="es-MX"/>
        </w:rPr>
        <w:t>Conclui</w:t>
      </w:r>
      <w:proofErr w:type="spellEnd"/>
      <w:r w:rsidRPr="00145D7F">
        <w:rPr>
          <w:rFonts w:ascii="Times New Roman" w:eastAsia="Times New Roman" w:hAnsi="Times New Roman" w:cs="Times New Roman"/>
          <w:sz w:val="24"/>
          <w:szCs w:val="24"/>
          <w:lang w:eastAsia="es-MX"/>
        </w:rPr>
        <w:t>-</w:t>
      </w:r>
      <w:proofErr w:type="spellStart"/>
      <w:r w:rsidRPr="00145D7F">
        <w:rPr>
          <w:rFonts w:ascii="Times New Roman" w:eastAsia="Times New Roman" w:hAnsi="Times New Roman" w:cs="Times New Roman"/>
          <w:sz w:val="24"/>
          <w:szCs w:val="24"/>
          <w:lang w:eastAsia="es-MX"/>
        </w:rPr>
        <w:t>se</w:t>
      </w:r>
      <w:proofErr w:type="spellEnd"/>
      <w:r w:rsidRPr="00145D7F">
        <w:rPr>
          <w:rFonts w:ascii="Times New Roman" w:eastAsia="Times New Roman" w:hAnsi="Times New Roman" w:cs="Times New Roman"/>
          <w:sz w:val="24"/>
          <w:szCs w:val="24"/>
          <w:lang w:eastAsia="es-MX"/>
        </w:rPr>
        <w:t xml:space="preserve"> que a </w:t>
      </w:r>
      <w:proofErr w:type="spellStart"/>
      <w:r w:rsidRPr="00145D7F">
        <w:rPr>
          <w:rFonts w:ascii="Times New Roman" w:eastAsia="Times New Roman" w:hAnsi="Times New Roman" w:cs="Times New Roman"/>
          <w:sz w:val="24"/>
          <w:szCs w:val="24"/>
          <w:lang w:eastAsia="es-MX"/>
        </w:rPr>
        <w:t>estrutura</w:t>
      </w:r>
      <w:proofErr w:type="spellEnd"/>
      <w:r w:rsidRPr="00145D7F">
        <w:rPr>
          <w:rFonts w:ascii="Times New Roman" w:eastAsia="Times New Roman" w:hAnsi="Times New Roman" w:cs="Times New Roman"/>
          <w:sz w:val="24"/>
          <w:szCs w:val="24"/>
          <w:lang w:eastAsia="es-MX"/>
        </w:rPr>
        <w:t xml:space="preserve"> é </w:t>
      </w:r>
      <w:proofErr w:type="spellStart"/>
      <w:r w:rsidRPr="00145D7F">
        <w:rPr>
          <w:rFonts w:ascii="Times New Roman" w:eastAsia="Times New Roman" w:hAnsi="Times New Roman" w:cs="Times New Roman"/>
          <w:sz w:val="24"/>
          <w:szCs w:val="24"/>
          <w:lang w:eastAsia="es-MX"/>
        </w:rPr>
        <w:t>um</w:t>
      </w:r>
      <w:proofErr w:type="spellEnd"/>
      <w:r w:rsidRPr="00145D7F">
        <w:rPr>
          <w:rFonts w:ascii="Times New Roman" w:eastAsia="Times New Roman" w:hAnsi="Times New Roman" w:cs="Times New Roman"/>
          <w:sz w:val="24"/>
          <w:szCs w:val="24"/>
          <w:lang w:eastAsia="es-MX"/>
        </w:rPr>
        <w:t xml:space="preserve"> fator relevante </w:t>
      </w:r>
      <w:proofErr w:type="spellStart"/>
      <w:r w:rsidRPr="00145D7F">
        <w:rPr>
          <w:rFonts w:ascii="Times New Roman" w:eastAsia="Times New Roman" w:hAnsi="Times New Roman" w:cs="Times New Roman"/>
          <w:sz w:val="24"/>
          <w:szCs w:val="24"/>
          <w:lang w:eastAsia="es-MX"/>
        </w:rPr>
        <w:t>nas</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estratégias</w:t>
      </w:r>
      <w:proofErr w:type="spellEnd"/>
      <w:r w:rsidRPr="00145D7F">
        <w:rPr>
          <w:rFonts w:ascii="Times New Roman" w:eastAsia="Times New Roman" w:hAnsi="Times New Roman" w:cs="Times New Roman"/>
          <w:sz w:val="24"/>
          <w:szCs w:val="24"/>
          <w:lang w:eastAsia="es-MX"/>
        </w:rPr>
        <w:t xml:space="preserve"> para incorporar os </w:t>
      </w:r>
      <w:proofErr w:type="spellStart"/>
      <w:r w:rsidRPr="00145D7F">
        <w:rPr>
          <w:rFonts w:ascii="Times New Roman" w:eastAsia="Times New Roman" w:hAnsi="Times New Roman" w:cs="Times New Roman"/>
          <w:sz w:val="24"/>
          <w:szCs w:val="24"/>
          <w:lang w:eastAsia="es-MX"/>
        </w:rPr>
        <w:t>princípios</w:t>
      </w:r>
      <w:proofErr w:type="spellEnd"/>
      <w:r w:rsidRPr="00145D7F">
        <w:rPr>
          <w:rFonts w:ascii="Times New Roman" w:eastAsia="Times New Roman" w:hAnsi="Times New Roman" w:cs="Times New Roman"/>
          <w:sz w:val="24"/>
          <w:szCs w:val="24"/>
          <w:lang w:eastAsia="es-MX"/>
        </w:rPr>
        <w:t xml:space="preserve"> que o </w:t>
      </w:r>
      <w:proofErr w:type="spellStart"/>
      <w:r w:rsidRPr="00145D7F">
        <w:rPr>
          <w:rFonts w:ascii="Times New Roman" w:eastAsia="Times New Roman" w:hAnsi="Times New Roman" w:cs="Times New Roman"/>
          <w:sz w:val="24"/>
          <w:szCs w:val="24"/>
          <w:lang w:eastAsia="es-MX"/>
        </w:rPr>
        <w:t>desenvolvimento</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sustentável</w:t>
      </w:r>
      <w:proofErr w:type="spellEnd"/>
      <w:r w:rsidRPr="00145D7F">
        <w:rPr>
          <w:rFonts w:ascii="Times New Roman" w:eastAsia="Times New Roman" w:hAnsi="Times New Roman" w:cs="Times New Roman"/>
          <w:sz w:val="24"/>
          <w:szCs w:val="24"/>
          <w:lang w:eastAsia="es-MX"/>
        </w:rPr>
        <w:t xml:space="preserve"> exige no currículo </w:t>
      </w:r>
      <w:proofErr w:type="spellStart"/>
      <w:r w:rsidRPr="00145D7F">
        <w:rPr>
          <w:rFonts w:ascii="Times New Roman" w:eastAsia="Times New Roman" w:hAnsi="Times New Roman" w:cs="Times New Roman"/>
          <w:sz w:val="24"/>
          <w:szCs w:val="24"/>
          <w:lang w:eastAsia="es-MX"/>
        </w:rPr>
        <w:t>universitário</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bem</w:t>
      </w:r>
      <w:proofErr w:type="spellEnd"/>
      <w:r w:rsidRPr="00145D7F">
        <w:rPr>
          <w:rFonts w:ascii="Times New Roman" w:eastAsia="Times New Roman" w:hAnsi="Times New Roman" w:cs="Times New Roman"/>
          <w:sz w:val="24"/>
          <w:szCs w:val="24"/>
          <w:lang w:eastAsia="es-MX"/>
        </w:rPr>
        <w:t xml:space="preserve"> como </w:t>
      </w:r>
      <w:proofErr w:type="spellStart"/>
      <w:r w:rsidRPr="00145D7F">
        <w:rPr>
          <w:rFonts w:ascii="Times New Roman" w:eastAsia="Times New Roman" w:hAnsi="Times New Roman" w:cs="Times New Roman"/>
          <w:sz w:val="24"/>
          <w:szCs w:val="24"/>
          <w:lang w:eastAsia="es-MX"/>
        </w:rPr>
        <w:t>inibe</w:t>
      </w:r>
      <w:proofErr w:type="spellEnd"/>
      <w:r w:rsidRPr="00145D7F">
        <w:rPr>
          <w:rFonts w:ascii="Times New Roman" w:eastAsia="Times New Roman" w:hAnsi="Times New Roman" w:cs="Times New Roman"/>
          <w:sz w:val="24"/>
          <w:szCs w:val="24"/>
          <w:lang w:eastAsia="es-MX"/>
        </w:rPr>
        <w:t xml:space="preserve"> o </w:t>
      </w:r>
      <w:proofErr w:type="spellStart"/>
      <w:r w:rsidRPr="00145D7F">
        <w:rPr>
          <w:rFonts w:ascii="Times New Roman" w:eastAsia="Times New Roman" w:hAnsi="Times New Roman" w:cs="Times New Roman"/>
          <w:sz w:val="24"/>
          <w:szCs w:val="24"/>
          <w:lang w:eastAsia="es-MX"/>
        </w:rPr>
        <w:t>desenvolvimento</w:t>
      </w:r>
      <w:proofErr w:type="spellEnd"/>
      <w:r w:rsidRPr="00145D7F">
        <w:rPr>
          <w:rFonts w:ascii="Times New Roman" w:eastAsia="Times New Roman" w:hAnsi="Times New Roman" w:cs="Times New Roman"/>
          <w:sz w:val="24"/>
          <w:szCs w:val="24"/>
          <w:lang w:eastAsia="es-MX"/>
        </w:rPr>
        <w:t xml:space="preserve"> de </w:t>
      </w:r>
      <w:proofErr w:type="spellStart"/>
      <w:r w:rsidRPr="00145D7F">
        <w:rPr>
          <w:rFonts w:ascii="Times New Roman" w:eastAsia="Times New Roman" w:hAnsi="Times New Roman" w:cs="Times New Roman"/>
          <w:sz w:val="24"/>
          <w:szCs w:val="24"/>
          <w:lang w:eastAsia="es-MX"/>
        </w:rPr>
        <w:t>atividades</w:t>
      </w:r>
      <w:proofErr w:type="spellEnd"/>
      <w:r w:rsidRPr="00145D7F">
        <w:rPr>
          <w:rFonts w:ascii="Times New Roman" w:eastAsia="Times New Roman" w:hAnsi="Times New Roman" w:cs="Times New Roman"/>
          <w:sz w:val="24"/>
          <w:szCs w:val="24"/>
          <w:lang w:eastAsia="es-MX"/>
        </w:rPr>
        <w:t xml:space="preserve"> inter e transdisciplinares, </w:t>
      </w:r>
      <w:proofErr w:type="spellStart"/>
      <w:r w:rsidRPr="00145D7F">
        <w:rPr>
          <w:rFonts w:ascii="Times New Roman" w:eastAsia="Times New Roman" w:hAnsi="Times New Roman" w:cs="Times New Roman"/>
          <w:sz w:val="24"/>
          <w:szCs w:val="24"/>
          <w:lang w:eastAsia="es-MX"/>
        </w:rPr>
        <w:t>condição</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necessária</w:t>
      </w:r>
      <w:proofErr w:type="spellEnd"/>
      <w:r w:rsidRPr="00145D7F">
        <w:rPr>
          <w:rFonts w:ascii="Times New Roman" w:eastAsia="Times New Roman" w:hAnsi="Times New Roman" w:cs="Times New Roman"/>
          <w:sz w:val="24"/>
          <w:szCs w:val="24"/>
          <w:lang w:eastAsia="es-MX"/>
        </w:rPr>
        <w:t xml:space="preserve"> para a </w:t>
      </w:r>
      <w:proofErr w:type="spellStart"/>
      <w:r w:rsidRPr="00145D7F">
        <w:rPr>
          <w:rFonts w:ascii="Times New Roman" w:eastAsia="Times New Roman" w:hAnsi="Times New Roman" w:cs="Times New Roman"/>
          <w:sz w:val="24"/>
          <w:szCs w:val="24"/>
          <w:lang w:eastAsia="es-MX"/>
        </w:rPr>
        <w:t>transição</w:t>
      </w:r>
      <w:proofErr w:type="spellEnd"/>
      <w:r w:rsidRPr="00145D7F">
        <w:rPr>
          <w:rFonts w:ascii="Times New Roman" w:eastAsia="Times New Roman" w:hAnsi="Times New Roman" w:cs="Times New Roman"/>
          <w:sz w:val="24"/>
          <w:szCs w:val="24"/>
          <w:lang w:eastAsia="es-MX"/>
        </w:rPr>
        <w:t xml:space="preserve"> para sociedades </w:t>
      </w:r>
      <w:proofErr w:type="spellStart"/>
      <w:r w:rsidRPr="00145D7F">
        <w:rPr>
          <w:rFonts w:ascii="Times New Roman" w:eastAsia="Times New Roman" w:hAnsi="Times New Roman" w:cs="Times New Roman"/>
          <w:sz w:val="24"/>
          <w:szCs w:val="24"/>
          <w:lang w:eastAsia="es-MX"/>
        </w:rPr>
        <w:t>mais</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sustentáveis</w:t>
      </w:r>
      <w:proofErr w:type="spellEnd"/>
      <w:proofErr w:type="gramStart"/>
      <w:r w:rsidRPr="00145D7F">
        <w:rPr>
          <w:rFonts w:ascii="Times New Roman" w:eastAsia="Times New Roman" w:hAnsi="Times New Roman" w:cs="Times New Roman"/>
          <w:sz w:val="24"/>
          <w:szCs w:val="24"/>
          <w:lang w:eastAsia="es-MX"/>
        </w:rPr>
        <w:t>. .</w:t>
      </w:r>
      <w:proofErr w:type="gramEnd"/>
    </w:p>
    <w:p w14:paraId="44BD2D78" w14:textId="61AEF8EA" w:rsidR="00145D7F" w:rsidRDefault="00145D7F" w:rsidP="00145D7F">
      <w:pPr>
        <w:spacing w:after="0" w:line="360" w:lineRule="auto"/>
        <w:jc w:val="both"/>
        <w:rPr>
          <w:rFonts w:ascii="Times New Roman" w:eastAsia="Times New Roman" w:hAnsi="Times New Roman" w:cs="Times New Roman"/>
          <w:sz w:val="24"/>
          <w:szCs w:val="24"/>
          <w:lang w:eastAsia="es-MX"/>
        </w:rPr>
      </w:pPr>
      <w:proofErr w:type="spellStart"/>
      <w:r w:rsidRPr="00145D7F">
        <w:rPr>
          <w:rFonts w:eastAsia="Times New Roman" w:cstheme="minorHAnsi"/>
          <w:b/>
          <w:sz w:val="28"/>
          <w:szCs w:val="28"/>
          <w:lang w:eastAsia="es-MX"/>
        </w:rPr>
        <w:t>Palavras</w:t>
      </w:r>
      <w:proofErr w:type="spellEnd"/>
      <w:r w:rsidRPr="00145D7F">
        <w:rPr>
          <w:rFonts w:eastAsia="Times New Roman" w:cstheme="minorHAnsi"/>
          <w:b/>
          <w:sz w:val="28"/>
          <w:szCs w:val="28"/>
          <w:lang w:eastAsia="es-MX"/>
        </w:rPr>
        <w:t>-chave:</w:t>
      </w:r>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educação</w:t>
      </w:r>
      <w:proofErr w:type="spellEnd"/>
      <w:r w:rsidRPr="00145D7F">
        <w:rPr>
          <w:rFonts w:ascii="Times New Roman" w:eastAsia="Times New Roman" w:hAnsi="Times New Roman" w:cs="Times New Roman"/>
          <w:sz w:val="24"/>
          <w:szCs w:val="24"/>
          <w:lang w:eastAsia="es-MX"/>
        </w:rPr>
        <w:t xml:space="preserve"> ambiental, </w:t>
      </w:r>
      <w:proofErr w:type="spellStart"/>
      <w:r w:rsidRPr="00145D7F">
        <w:rPr>
          <w:rFonts w:ascii="Times New Roman" w:eastAsia="Times New Roman" w:hAnsi="Times New Roman" w:cs="Times New Roman"/>
          <w:sz w:val="24"/>
          <w:szCs w:val="24"/>
          <w:lang w:eastAsia="es-MX"/>
        </w:rPr>
        <w:t>gestão</w:t>
      </w:r>
      <w:proofErr w:type="spellEnd"/>
      <w:r w:rsidRPr="00145D7F">
        <w:rPr>
          <w:rFonts w:ascii="Times New Roman" w:eastAsia="Times New Roman" w:hAnsi="Times New Roman" w:cs="Times New Roman"/>
          <w:sz w:val="24"/>
          <w:szCs w:val="24"/>
          <w:lang w:eastAsia="es-MX"/>
        </w:rPr>
        <w:t xml:space="preserve"> da </w:t>
      </w:r>
      <w:proofErr w:type="spellStart"/>
      <w:r w:rsidRPr="00145D7F">
        <w:rPr>
          <w:rFonts w:ascii="Times New Roman" w:eastAsia="Times New Roman" w:hAnsi="Times New Roman" w:cs="Times New Roman"/>
          <w:sz w:val="24"/>
          <w:szCs w:val="24"/>
          <w:lang w:eastAsia="es-MX"/>
        </w:rPr>
        <w:t>mudança</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interdisciplinaridade</w:t>
      </w:r>
      <w:proofErr w:type="spellEnd"/>
      <w:r w:rsidRPr="00145D7F">
        <w:rPr>
          <w:rFonts w:ascii="Times New Roman" w:eastAsia="Times New Roman" w:hAnsi="Times New Roman" w:cs="Times New Roman"/>
          <w:sz w:val="24"/>
          <w:szCs w:val="24"/>
          <w:lang w:eastAsia="es-MX"/>
        </w:rPr>
        <w:t xml:space="preserve">, modelo </w:t>
      </w:r>
      <w:proofErr w:type="spellStart"/>
      <w:r w:rsidRPr="00145D7F">
        <w:rPr>
          <w:rFonts w:ascii="Times New Roman" w:eastAsia="Times New Roman" w:hAnsi="Times New Roman" w:cs="Times New Roman"/>
          <w:sz w:val="24"/>
          <w:szCs w:val="24"/>
          <w:lang w:eastAsia="es-MX"/>
        </w:rPr>
        <w:t>napoleônico</w:t>
      </w:r>
      <w:proofErr w:type="spellEnd"/>
      <w:r w:rsidRPr="00145D7F">
        <w:rPr>
          <w:rFonts w:ascii="Times New Roman" w:eastAsia="Times New Roman" w:hAnsi="Times New Roman" w:cs="Times New Roman"/>
          <w:sz w:val="24"/>
          <w:szCs w:val="24"/>
          <w:lang w:eastAsia="es-MX"/>
        </w:rPr>
        <w:t xml:space="preserve">, reforma </w:t>
      </w:r>
      <w:proofErr w:type="spellStart"/>
      <w:r w:rsidRPr="00145D7F">
        <w:rPr>
          <w:rFonts w:ascii="Times New Roman" w:eastAsia="Times New Roman" w:hAnsi="Times New Roman" w:cs="Times New Roman"/>
          <w:sz w:val="24"/>
          <w:szCs w:val="24"/>
          <w:lang w:eastAsia="es-MX"/>
        </w:rPr>
        <w:t>universitária</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sustentabilidade</w:t>
      </w:r>
      <w:proofErr w:type="spellEnd"/>
      <w:r w:rsidRPr="00145D7F">
        <w:rPr>
          <w:rFonts w:ascii="Times New Roman" w:eastAsia="Times New Roman" w:hAnsi="Times New Roman" w:cs="Times New Roman"/>
          <w:sz w:val="24"/>
          <w:szCs w:val="24"/>
          <w:lang w:eastAsia="es-MX"/>
        </w:rPr>
        <w:t xml:space="preserve">, </w:t>
      </w:r>
      <w:proofErr w:type="spellStart"/>
      <w:r w:rsidRPr="00145D7F">
        <w:rPr>
          <w:rFonts w:ascii="Times New Roman" w:eastAsia="Times New Roman" w:hAnsi="Times New Roman" w:cs="Times New Roman"/>
          <w:sz w:val="24"/>
          <w:szCs w:val="24"/>
          <w:lang w:eastAsia="es-MX"/>
        </w:rPr>
        <w:t>universidade</w:t>
      </w:r>
      <w:proofErr w:type="spellEnd"/>
      <w:r w:rsidRPr="00145D7F">
        <w:rPr>
          <w:rFonts w:ascii="Times New Roman" w:eastAsia="Times New Roman" w:hAnsi="Times New Roman" w:cs="Times New Roman"/>
          <w:sz w:val="24"/>
          <w:szCs w:val="24"/>
          <w:lang w:eastAsia="es-MX"/>
        </w:rPr>
        <w:t>.</w:t>
      </w:r>
    </w:p>
    <w:p w14:paraId="586E6031" w14:textId="77777777" w:rsidR="00145D7F" w:rsidRPr="004334EF" w:rsidRDefault="00145D7F" w:rsidP="00145D7F">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2022</w:t>
      </w:r>
    </w:p>
    <w:p w14:paraId="1D6D10AB" w14:textId="77777777" w:rsidR="00145D7F" w:rsidRPr="00DD57D4" w:rsidRDefault="00FC445E" w:rsidP="00145D7F">
      <w:pPr>
        <w:spacing w:before="100" w:after="100" w:line="360" w:lineRule="auto"/>
        <w:rPr>
          <w:rFonts w:eastAsia="Times New Roman"/>
          <w:b/>
          <w:sz w:val="28"/>
          <w:szCs w:val="28"/>
        </w:rPr>
      </w:pPr>
      <w:r>
        <w:rPr>
          <w:noProof/>
        </w:rPr>
        <w:pict w14:anchorId="62259FBF">
          <v:rect id="_x0000_i1025" style="width:441.9pt;height:.05pt" o:hralign="center" o:hrstd="t" o:hr="t" fillcolor="#a0a0a0" stroked="f"/>
        </w:pict>
      </w:r>
    </w:p>
    <w:p w14:paraId="5210C51C" w14:textId="77777777" w:rsidR="00E937CC" w:rsidRPr="00951F7B" w:rsidRDefault="00E937CC" w:rsidP="00145D7F">
      <w:pPr>
        <w:pStyle w:val="Ttulo2"/>
        <w:spacing w:before="0" w:after="0"/>
        <w:jc w:val="center"/>
        <w:rPr>
          <w:rFonts w:ascii="Times New Roman" w:hAnsi="Times New Roman" w:cs="Times New Roman"/>
          <w:b/>
          <w:color w:val="auto"/>
          <w:sz w:val="32"/>
          <w:szCs w:val="32"/>
        </w:rPr>
      </w:pPr>
      <w:r w:rsidRPr="00951F7B">
        <w:rPr>
          <w:rFonts w:ascii="Times New Roman" w:hAnsi="Times New Roman" w:cs="Times New Roman"/>
          <w:b/>
          <w:color w:val="auto"/>
          <w:sz w:val="32"/>
          <w:szCs w:val="32"/>
        </w:rPr>
        <w:lastRenderedPageBreak/>
        <w:t>Introducción</w:t>
      </w:r>
    </w:p>
    <w:p w14:paraId="6866B6DC" w14:textId="56678EC1" w:rsidR="00686F45" w:rsidRPr="00951F7B" w:rsidRDefault="001B352E" w:rsidP="009E36DB">
      <w:pPr>
        <w:spacing w:after="0" w:line="360" w:lineRule="auto"/>
        <w:ind w:firstLine="708"/>
        <w:jc w:val="both"/>
        <w:rPr>
          <w:rFonts w:ascii="Times New Roman" w:hAnsi="Times New Roman" w:cs="Times New Roman"/>
          <w:sz w:val="24"/>
          <w:szCs w:val="24"/>
        </w:rPr>
      </w:pPr>
      <w:r w:rsidRPr="00951F7B">
        <w:rPr>
          <w:rFonts w:ascii="Times New Roman" w:hAnsi="Times New Roman" w:cs="Times New Roman"/>
          <w:sz w:val="24"/>
          <w:szCs w:val="24"/>
        </w:rPr>
        <w:t>En l</w:t>
      </w:r>
      <w:r w:rsidR="006B0AF1" w:rsidRPr="00951F7B">
        <w:rPr>
          <w:rFonts w:ascii="Times New Roman" w:hAnsi="Times New Roman" w:cs="Times New Roman"/>
          <w:sz w:val="24"/>
          <w:szCs w:val="24"/>
        </w:rPr>
        <w:t xml:space="preserve">os distintos marcos nacionales e internacionales </w:t>
      </w:r>
      <w:r w:rsidR="00EB48C8" w:rsidRPr="00951F7B">
        <w:rPr>
          <w:rFonts w:ascii="Times New Roman" w:hAnsi="Times New Roman" w:cs="Times New Roman"/>
          <w:sz w:val="24"/>
          <w:szCs w:val="24"/>
        </w:rPr>
        <w:t>se reconoce</w:t>
      </w:r>
      <w:r w:rsidR="006B0AF1" w:rsidRPr="00951F7B">
        <w:rPr>
          <w:rFonts w:ascii="Times New Roman" w:hAnsi="Times New Roman" w:cs="Times New Roman"/>
          <w:sz w:val="24"/>
          <w:szCs w:val="24"/>
        </w:rPr>
        <w:t xml:space="preserve"> </w:t>
      </w:r>
      <w:r w:rsidR="00EB48C8" w:rsidRPr="00951F7B">
        <w:rPr>
          <w:rFonts w:ascii="Times New Roman" w:hAnsi="Times New Roman" w:cs="Times New Roman"/>
          <w:sz w:val="24"/>
          <w:szCs w:val="24"/>
        </w:rPr>
        <w:t>la importancia que tiene</w:t>
      </w:r>
      <w:r w:rsidR="001C0F76">
        <w:rPr>
          <w:rFonts w:ascii="Times New Roman" w:hAnsi="Times New Roman" w:cs="Times New Roman"/>
          <w:sz w:val="24"/>
          <w:szCs w:val="24"/>
        </w:rPr>
        <w:t>n</w:t>
      </w:r>
      <w:r w:rsidR="00EB48C8" w:rsidRPr="00951F7B">
        <w:rPr>
          <w:rFonts w:ascii="Times New Roman" w:hAnsi="Times New Roman" w:cs="Times New Roman"/>
          <w:sz w:val="24"/>
          <w:szCs w:val="24"/>
        </w:rPr>
        <w:t xml:space="preserve"> las universidades públicas para contribuir con el desarrollo sostenible. </w:t>
      </w:r>
      <w:r w:rsidR="00686F45" w:rsidRPr="00951F7B">
        <w:rPr>
          <w:rFonts w:ascii="Times New Roman" w:hAnsi="Times New Roman" w:cs="Times New Roman"/>
          <w:sz w:val="24"/>
          <w:szCs w:val="24"/>
        </w:rPr>
        <w:t xml:space="preserve">De acuerdo con la </w:t>
      </w:r>
      <w:r w:rsidR="001474EF">
        <w:rPr>
          <w:rFonts w:ascii="Times New Roman" w:hAnsi="Times New Roman" w:cs="Times New Roman"/>
          <w:sz w:val="24"/>
          <w:szCs w:val="24"/>
        </w:rPr>
        <w:t xml:space="preserve">propia </w:t>
      </w:r>
      <w:r w:rsidR="001474EF" w:rsidRPr="001474EF">
        <w:rPr>
          <w:rFonts w:ascii="Times New Roman" w:hAnsi="Times New Roman" w:cs="Times New Roman"/>
          <w:sz w:val="24"/>
          <w:szCs w:val="24"/>
        </w:rPr>
        <w:t>Organización de las Naciones Unidas para la Educación, la Ciencia y la Cultura</w:t>
      </w:r>
      <w:r w:rsidR="001474EF">
        <w:rPr>
          <w:rFonts w:ascii="Times New Roman" w:hAnsi="Times New Roman" w:cs="Times New Roman"/>
          <w:sz w:val="24"/>
          <w:szCs w:val="24"/>
        </w:rPr>
        <w:t xml:space="preserve"> [Unesco] (2016),</w:t>
      </w:r>
      <w:r w:rsidR="002C2B52">
        <w:rPr>
          <w:rFonts w:ascii="Times New Roman" w:hAnsi="Times New Roman" w:cs="Times New Roman"/>
          <w:sz w:val="24"/>
          <w:szCs w:val="24"/>
        </w:rPr>
        <w:t xml:space="preserve"> </w:t>
      </w:r>
      <w:r w:rsidR="00686F45" w:rsidRPr="00951F7B">
        <w:rPr>
          <w:rFonts w:ascii="Times New Roman" w:hAnsi="Times New Roman" w:cs="Times New Roman"/>
          <w:sz w:val="24"/>
          <w:szCs w:val="24"/>
        </w:rPr>
        <w:t xml:space="preserve">la educación de </w:t>
      </w:r>
      <w:r w:rsidR="00EB48C8" w:rsidRPr="00951F7B">
        <w:rPr>
          <w:rFonts w:ascii="Times New Roman" w:hAnsi="Times New Roman" w:cs="Times New Roman"/>
          <w:sz w:val="24"/>
          <w:szCs w:val="24"/>
        </w:rPr>
        <w:t xml:space="preserve">los </w:t>
      </w:r>
      <w:r w:rsidR="00686F45" w:rsidRPr="00951F7B">
        <w:rPr>
          <w:rFonts w:ascii="Times New Roman" w:hAnsi="Times New Roman" w:cs="Times New Roman"/>
          <w:sz w:val="24"/>
          <w:szCs w:val="24"/>
        </w:rPr>
        <w:t xml:space="preserve">individuos es la base para el seguimiento de </w:t>
      </w:r>
      <w:r w:rsidR="001474EF">
        <w:rPr>
          <w:rFonts w:ascii="Times New Roman" w:hAnsi="Times New Roman" w:cs="Times New Roman"/>
          <w:sz w:val="24"/>
          <w:szCs w:val="24"/>
        </w:rPr>
        <w:t xml:space="preserve">la </w:t>
      </w:r>
      <w:r w:rsidR="001474EF" w:rsidRPr="001474EF">
        <w:rPr>
          <w:rFonts w:ascii="Times New Roman" w:hAnsi="Times New Roman" w:cs="Times New Roman"/>
          <w:sz w:val="24"/>
          <w:szCs w:val="24"/>
        </w:rPr>
        <w:t>Agenda 2030 para el Desarrollo Sostenible</w:t>
      </w:r>
      <w:r w:rsidR="001474EF">
        <w:rPr>
          <w:rFonts w:ascii="Times New Roman" w:hAnsi="Times New Roman" w:cs="Times New Roman"/>
          <w:sz w:val="24"/>
          <w:szCs w:val="24"/>
        </w:rPr>
        <w:t>.</w:t>
      </w:r>
      <w:r w:rsidR="00686F45" w:rsidRPr="00951F7B">
        <w:rPr>
          <w:rFonts w:ascii="Times New Roman" w:hAnsi="Times New Roman" w:cs="Times New Roman"/>
          <w:sz w:val="24"/>
          <w:szCs w:val="24"/>
        </w:rPr>
        <w:t xml:space="preserve"> </w:t>
      </w:r>
      <w:r w:rsidR="00C46398">
        <w:rPr>
          <w:rFonts w:ascii="Times New Roman" w:hAnsi="Times New Roman" w:cs="Times New Roman"/>
          <w:sz w:val="24"/>
          <w:szCs w:val="24"/>
        </w:rPr>
        <w:t xml:space="preserve">No se trata de cualquier educación, sino </w:t>
      </w:r>
      <w:r w:rsidR="00B9135C">
        <w:rPr>
          <w:rFonts w:ascii="Times New Roman" w:hAnsi="Times New Roman" w:cs="Times New Roman"/>
          <w:sz w:val="24"/>
          <w:szCs w:val="24"/>
        </w:rPr>
        <w:t>una</w:t>
      </w:r>
      <w:r w:rsidR="00EB48C8" w:rsidRPr="00951F7B">
        <w:rPr>
          <w:rFonts w:ascii="Times New Roman" w:hAnsi="Times New Roman" w:cs="Times New Roman"/>
          <w:sz w:val="24"/>
          <w:szCs w:val="24"/>
        </w:rPr>
        <w:t xml:space="preserve"> educación</w:t>
      </w:r>
      <w:r w:rsidR="00C46398">
        <w:rPr>
          <w:rFonts w:ascii="Times New Roman" w:hAnsi="Times New Roman" w:cs="Times New Roman"/>
          <w:sz w:val="24"/>
          <w:szCs w:val="24"/>
        </w:rPr>
        <w:t xml:space="preserve"> de calidad</w:t>
      </w:r>
      <w:r w:rsidR="00EB48C8" w:rsidRPr="00951F7B">
        <w:rPr>
          <w:rFonts w:ascii="Times New Roman" w:hAnsi="Times New Roman" w:cs="Times New Roman"/>
          <w:sz w:val="24"/>
          <w:szCs w:val="24"/>
        </w:rPr>
        <w:t xml:space="preserve"> que </w:t>
      </w:r>
      <w:r w:rsidR="00686F45" w:rsidRPr="00951F7B">
        <w:rPr>
          <w:rFonts w:ascii="Times New Roman" w:hAnsi="Times New Roman" w:cs="Times New Roman"/>
          <w:sz w:val="24"/>
          <w:szCs w:val="24"/>
        </w:rPr>
        <w:t xml:space="preserve">contemple </w:t>
      </w:r>
      <w:r w:rsidR="00897CA4" w:rsidRPr="00951F7B">
        <w:rPr>
          <w:rFonts w:ascii="Times New Roman" w:hAnsi="Times New Roman" w:cs="Times New Roman"/>
          <w:sz w:val="24"/>
          <w:szCs w:val="24"/>
        </w:rPr>
        <w:t xml:space="preserve">tanto las </w:t>
      </w:r>
      <w:r w:rsidR="00686F45" w:rsidRPr="00951F7B">
        <w:rPr>
          <w:rFonts w:ascii="Times New Roman" w:hAnsi="Times New Roman" w:cs="Times New Roman"/>
          <w:sz w:val="24"/>
          <w:szCs w:val="24"/>
        </w:rPr>
        <w:t>competencias</w:t>
      </w:r>
      <w:r w:rsidR="00897CA4" w:rsidRPr="00951F7B">
        <w:rPr>
          <w:rFonts w:ascii="Times New Roman" w:hAnsi="Times New Roman" w:cs="Times New Roman"/>
          <w:sz w:val="24"/>
          <w:szCs w:val="24"/>
        </w:rPr>
        <w:t xml:space="preserve"> </w:t>
      </w:r>
      <w:r w:rsidR="00686F45" w:rsidRPr="00951F7B">
        <w:rPr>
          <w:rFonts w:ascii="Times New Roman" w:hAnsi="Times New Roman" w:cs="Times New Roman"/>
          <w:sz w:val="24"/>
          <w:szCs w:val="24"/>
        </w:rPr>
        <w:t>profesionales</w:t>
      </w:r>
      <w:r w:rsidR="00123ACC" w:rsidRPr="00951F7B">
        <w:rPr>
          <w:rFonts w:ascii="Times New Roman" w:hAnsi="Times New Roman" w:cs="Times New Roman"/>
          <w:sz w:val="24"/>
          <w:szCs w:val="24"/>
        </w:rPr>
        <w:t xml:space="preserve"> de una disciplina como </w:t>
      </w:r>
      <w:r w:rsidR="00897CA4" w:rsidRPr="00951F7B">
        <w:rPr>
          <w:rFonts w:ascii="Times New Roman" w:hAnsi="Times New Roman" w:cs="Times New Roman"/>
          <w:sz w:val="24"/>
          <w:szCs w:val="24"/>
        </w:rPr>
        <w:t xml:space="preserve">las </w:t>
      </w:r>
      <w:r w:rsidR="00EB48C8" w:rsidRPr="00951F7B">
        <w:rPr>
          <w:rFonts w:ascii="Times New Roman" w:hAnsi="Times New Roman" w:cs="Times New Roman"/>
          <w:sz w:val="24"/>
          <w:szCs w:val="24"/>
        </w:rPr>
        <w:t xml:space="preserve">sustentables y </w:t>
      </w:r>
      <w:r w:rsidR="00897CA4" w:rsidRPr="00951F7B">
        <w:rPr>
          <w:rFonts w:ascii="Times New Roman" w:hAnsi="Times New Roman" w:cs="Times New Roman"/>
          <w:sz w:val="24"/>
          <w:szCs w:val="24"/>
        </w:rPr>
        <w:t xml:space="preserve">generales </w:t>
      </w:r>
      <w:r w:rsidR="00686F45" w:rsidRPr="00951F7B">
        <w:rPr>
          <w:rFonts w:ascii="Times New Roman" w:hAnsi="Times New Roman" w:cs="Times New Roman"/>
          <w:sz w:val="24"/>
          <w:szCs w:val="24"/>
        </w:rPr>
        <w:t xml:space="preserve">para </w:t>
      </w:r>
      <w:r w:rsidR="00897CA4" w:rsidRPr="00951F7B">
        <w:rPr>
          <w:rFonts w:ascii="Times New Roman" w:hAnsi="Times New Roman" w:cs="Times New Roman"/>
          <w:sz w:val="24"/>
          <w:szCs w:val="24"/>
        </w:rPr>
        <w:t xml:space="preserve">acceder a </w:t>
      </w:r>
      <w:r w:rsidR="00686F45" w:rsidRPr="00951F7B">
        <w:rPr>
          <w:rFonts w:ascii="Times New Roman" w:hAnsi="Times New Roman" w:cs="Times New Roman"/>
          <w:sz w:val="24"/>
          <w:szCs w:val="24"/>
        </w:rPr>
        <w:t xml:space="preserve">un trabajo decente con el fin de formar una </w:t>
      </w:r>
      <w:r w:rsidR="00123ACC" w:rsidRPr="00951F7B">
        <w:rPr>
          <w:rFonts w:ascii="Times New Roman" w:hAnsi="Times New Roman" w:cs="Times New Roman"/>
          <w:sz w:val="24"/>
          <w:szCs w:val="24"/>
        </w:rPr>
        <w:t>ciudadanía global (U</w:t>
      </w:r>
      <w:r w:rsidR="00D363E0" w:rsidRPr="00951F7B">
        <w:rPr>
          <w:rFonts w:ascii="Times New Roman" w:hAnsi="Times New Roman" w:cs="Times New Roman"/>
          <w:sz w:val="24"/>
          <w:szCs w:val="24"/>
        </w:rPr>
        <w:t>nesco</w:t>
      </w:r>
      <w:r w:rsidR="00123ACC" w:rsidRPr="00951F7B">
        <w:rPr>
          <w:rFonts w:ascii="Times New Roman" w:hAnsi="Times New Roman" w:cs="Times New Roman"/>
          <w:sz w:val="24"/>
          <w:szCs w:val="24"/>
        </w:rPr>
        <w:t>, 2016)</w:t>
      </w:r>
      <w:r w:rsidR="00686F45" w:rsidRPr="00951F7B">
        <w:rPr>
          <w:rFonts w:ascii="Times New Roman" w:hAnsi="Times New Roman" w:cs="Times New Roman"/>
          <w:sz w:val="24"/>
          <w:szCs w:val="24"/>
        </w:rPr>
        <w:t>.</w:t>
      </w:r>
    </w:p>
    <w:p w14:paraId="47820125" w14:textId="442113BD" w:rsidR="006B0AF1" w:rsidRPr="00951F7B" w:rsidRDefault="00686F45" w:rsidP="00951F7B">
      <w:pPr>
        <w:spacing w:after="0" w:line="360" w:lineRule="auto"/>
        <w:ind w:firstLine="708"/>
        <w:jc w:val="both"/>
        <w:rPr>
          <w:rFonts w:ascii="Times New Roman" w:hAnsi="Times New Roman" w:cs="Times New Roman"/>
          <w:sz w:val="24"/>
          <w:szCs w:val="24"/>
        </w:rPr>
      </w:pPr>
      <w:r w:rsidRPr="00951F7B">
        <w:rPr>
          <w:rFonts w:ascii="Times New Roman" w:hAnsi="Times New Roman" w:cs="Times New Roman"/>
          <w:sz w:val="24"/>
          <w:szCs w:val="24"/>
        </w:rPr>
        <w:t xml:space="preserve">Una de las estrategias más socorridas por las universidades públicas en México </w:t>
      </w:r>
      <w:r w:rsidR="00EB48C8" w:rsidRPr="00951F7B">
        <w:rPr>
          <w:rFonts w:ascii="Times New Roman" w:hAnsi="Times New Roman" w:cs="Times New Roman"/>
          <w:sz w:val="24"/>
          <w:szCs w:val="24"/>
        </w:rPr>
        <w:t>para alcanza</w:t>
      </w:r>
      <w:r w:rsidR="00090CE2">
        <w:rPr>
          <w:rFonts w:ascii="Times New Roman" w:hAnsi="Times New Roman" w:cs="Times New Roman"/>
          <w:sz w:val="24"/>
          <w:szCs w:val="24"/>
        </w:rPr>
        <w:t>r</w:t>
      </w:r>
      <w:r w:rsidR="00EB48C8" w:rsidRPr="00951F7B">
        <w:rPr>
          <w:rFonts w:ascii="Times New Roman" w:hAnsi="Times New Roman" w:cs="Times New Roman"/>
          <w:sz w:val="24"/>
          <w:szCs w:val="24"/>
        </w:rPr>
        <w:t xml:space="preserve"> este compromiso </w:t>
      </w:r>
      <w:r w:rsidR="00C46398">
        <w:rPr>
          <w:rFonts w:ascii="Times New Roman" w:hAnsi="Times New Roman" w:cs="Times New Roman"/>
          <w:sz w:val="24"/>
          <w:szCs w:val="24"/>
        </w:rPr>
        <w:t>ha sido</w:t>
      </w:r>
      <w:r w:rsidR="00C46398" w:rsidRPr="00951F7B">
        <w:rPr>
          <w:rFonts w:ascii="Times New Roman" w:hAnsi="Times New Roman" w:cs="Times New Roman"/>
          <w:sz w:val="24"/>
          <w:szCs w:val="24"/>
        </w:rPr>
        <w:t xml:space="preserve"> </w:t>
      </w:r>
      <w:r w:rsidRPr="00951F7B">
        <w:rPr>
          <w:rFonts w:ascii="Times New Roman" w:hAnsi="Times New Roman" w:cs="Times New Roman"/>
          <w:sz w:val="24"/>
          <w:szCs w:val="24"/>
        </w:rPr>
        <w:t>la conformación de r</w:t>
      </w:r>
      <w:r w:rsidR="006B0AF1" w:rsidRPr="00951F7B">
        <w:rPr>
          <w:rFonts w:ascii="Times New Roman" w:hAnsi="Times New Roman" w:cs="Times New Roman"/>
          <w:sz w:val="24"/>
          <w:szCs w:val="24"/>
        </w:rPr>
        <w:t xml:space="preserve">edes de universidades con el propósito de </w:t>
      </w:r>
      <w:r w:rsidR="005B35F7" w:rsidRPr="00951F7B">
        <w:rPr>
          <w:rFonts w:ascii="Times New Roman" w:hAnsi="Times New Roman" w:cs="Times New Roman"/>
          <w:sz w:val="24"/>
          <w:szCs w:val="24"/>
        </w:rPr>
        <w:t xml:space="preserve">generar </w:t>
      </w:r>
      <w:r w:rsidRPr="00951F7B">
        <w:rPr>
          <w:rFonts w:ascii="Times New Roman" w:hAnsi="Times New Roman" w:cs="Times New Roman"/>
          <w:sz w:val="24"/>
          <w:szCs w:val="24"/>
        </w:rPr>
        <w:t xml:space="preserve">un </w:t>
      </w:r>
      <w:r w:rsidR="00804EB1" w:rsidRPr="00951F7B">
        <w:rPr>
          <w:rFonts w:ascii="Times New Roman" w:hAnsi="Times New Roman" w:cs="Times New Roman"/>
          <w:sz w:val="24"/>
          <w:szCs w:val="24"/>
        </w:rPr>
        <w:t>intercambio de las mejores prácticas</w:t>
      </w:r>
      <w:r w:rsidRPr="00951F7B">
        <w:rPr>
          <w:rFonts w:ascii="Times New Roman" w:hAnsi="Times New Roman" w:cs="Times New Roman"/>
          <w:sz w:val="24"/>
          <w:szCs w:val="24"/>
        </w:rPr>
        <w:t xml:space="preserve"> y </w:t>
      </w:r>
      <w:r w:rsidR="008938D2">
        <w:rPr>
          <w:rFonts w:ascii="Times New Roman" w:hAnsi="Times New Roman" w:cs="Times New Roman"/>
          <w:sz w:val="24"/>
          <w:szCs w:val="24"/>
        </w:rPr>
        <w:t>cristalizar</w:t>
      </w:r>
      <w:r w:rsidR="008938D2" w:rsidRPr="00951F7B">
        <w:rPr>
          <w:rFonts w:ascii="Times New Roman" w:hAnsi="Times New Roman" w:cs="Times New Roman"/>
          <w:sz w:val="24"/>
          <w:szCs w:val="24"/>
        </w:rPr>
        <w:t xml:space="preserve"> </w:t>
      </w:r>
      <w:r w:rsidRPr="00951F7B">
        <w:rPr>
          <w:rFonts w:ascii="Times New Roman" w:hAnsi="Times New Roman" w:cs="Times New Roman"/>
          <w:sz w:val="24"/>
          <w:szCs w:val="24"/>
        </w:rPr>
        <w:t>el conocimiento requerido</w:t>
      </w:r>
      <w:r w:rsidR="00804EB1" w:rsidRPr="00951F7B">
        <w:rPr>
          <w:rFonts w:ascii="Times New Roman" w:hAnsi="Times New Roman" w:cs="Times New Roman"/>
          <w:sz w:val="24"/>
          <w:szCs w:val="24"/>
        </w:rPr>
        <w:t xml:space="preserve"> para </w:t>
      </w:r>
      <w:r w:rsidRPr="00951F7B">
        <w:rPr>
          <w:rFonts w:ascii="Times New Roman" w:hAnsi="Times New Roman" w:cs="Times New Roman"/>
          <w:sz w:val="24"/>
          <w:szCs w:val="24"/>
        </w:rPr>
        <w:t xml:space="preserve">facilitar el proceso de implementación de </w:t>
      </w:r>
      <w:r w:rsidR="006B0AF1" w:rsidRPr="00951F7B">
        <w:rPr>
          <w:rFonts w:ascii="Times New Roman" w:hAnsi="Times New Roman" w:cs="Times New Roman"/>
          <w:sz w:val="24"/>
          <w:szCs w:val="24"/>
        </w:rPr>
        <w:t>la sustentabilidad</w:t>
      </w:r>
      <w:r w:rsidRPr="00951F7B">
        <w:rPr>
          <w:rFonts w:ascii="Times New Roman" w:hAnsi="Times New Roman" w:cs="Times New Roman"/>
          <w:sz w:val="24"/>
          <w:szCs w:val="24"/>
        </w:rPr>
        <w:t xml:space="preserve"> tanto en sus funci</w:t>
      </w:r>
      <w:r w:rsidR="00860E97" w:rsidRPr="00951F7B">
        <w:rPr>
          <w:rFonts w:ascii="Times New Roman" w:hAnsi="Times New Roman" w:cs="Times New Roman"/>
          <w:sz w:val="24"/>
          <w:szCs w:val="24"/>
        </w:rPr>
        <w:t xml:space="preserve">ones sustantivas </w:t>
      </w:r>
      <w:r w:rsidR="00123ACC" w:rsidRPr="00951F7B">
        <w:rPr>
          <w:rFonts w:ascii="Times New Roman" w:hAnsi="Times New Roman" w:cs="Times New Roman"/>
          <w:sz w:val="24"/>
          <w:szCs w:val="24"/>
        </w:rPr>
        <w:t>como adjetivas</w:t>
      </w:r>
      <w:r w:rsidR="009550F1">
        <w:rPr>
          <w:rFonts w:ascii="Times New Roman" w:hAnsi="Times New Roman" w:cs="Times New Roman"/>
          <w:sz w:val="24"/>
          <w:szCs w:val="24"/>
        </w:rPr>
        <w:t>.</w:t>
      </w:r>
      <w:r w:rsidR="00123ACC" w:rsidRPr="00951F7B">
        <w:rPr>
          <w:rFonts w:ascii="Times New Roman" w:hAnsi="Times New Roman" w:cs="Times New Roman"/>
          <w:sz w:val="24"/>
          <w:szCs w:val="24"/>
        </w:rPr>
        <w:t xml:space="preserve"> </w:t>
      </w:r>
      <w:r w:rsidR="000A69FB">
        <w:rPr>
          <w:rFonts w:ascii="Times New Roman" w:hAnsi="Times New Roman" w:cs="Times New Roman"/>
          <w:sz w:val="24"/>
          <w:szCs w:val="24"/>
        </w:rPr>
        <w:t>Entre estas redes universitarias se encuentra</w:t>
      </w:r>
      <w:r w:rsidR="00A31FEF">
        <w:rPr>
          <w:rFonts w:ascii="Times New Roman" w:hAnsi="Times New Roman" w:cs="Times New Roman"/>
          <w:sz w:val="24"/>
          <w:szCs w:val="24"/>
        </w:rPr>
        <w:t xml:space="preserve"> el </w:t>
      </w:r>
      <w:r w:rsidR="00A31FEF" w:rsidRPr="00A31FEF">
        <w:rPr>
          <w:rFonts w:ascii="Times New Roman" w:hAnsi="Times New Roman" w:cs="Times New Roman"/>
          <w:sz w:val="24"/>
          <w:szCs w:val="24"/>
        </w:rPr>
        <w:t>Consorcio Mexicano de Programas Ambientales Universitarios para el Desarrollo Sustentable</w:t>
      </w:r>
      <w:r w:rsidR="00860E97" w:rsidRPr="00951F7B">
        <w:rPr>
          <w:rFonts w:ascii="Times New Roman" w:hAnsi="Times New Roman" w:cs="Times New Roman"/>
          <w:sz w:val="24"/>
          <w:szCs w:val="24"/>
        </w:rPr>
        <w:t xml:space="preserve"> </w:t>
      </w:r>
      <w:r w:rsidR="00A31FEF">
        <w:rPr>
          <w:rFonts w:ascii="Times New Roman" w:hAnsi="Times New Roman" w:cs="Times New Roman"/>
          <w:sz w:val="24"/>
          <w:szCs w:val="24"/>
        </w:rPr>
        <w:t>(</w:t>
      </w:r>
      <w:proofErr w:type="spellStart"/>
      <w:r w:rsidR="00860E97" w:rsidRPr="00951F7B">
        <w:rPr>
          <w:rFonts w:ascii="Times New Roman" w:hAnsi="Times New Roman" w:cs="Times New Roman"/>
          <w:sz w:val="24"/>
          <w:szCs w:val="24"/>
        </w:rPr>
        <w:t>Complexus</w:t>
      </w:r>
      <w:proofErr w:type="spellEnd"/>
      <w:r w:rsidR="00A31FEF">
        <w:rPr>
          <w:rFonts w:ascii="Times New Roman" w:hAnsi="Times New Roman" w:cs="Times New Roman"/>
          <w:sz w:val="24"/>
          <w:szCs w:val="24"/>
        </w:rPr>
        <w:t>)</w:t>
      </w:r>
      <w:r w:rsidR="00860E97" w:rsidRPr="00951F7B">
        <w:rPr>
          <w:rFonts w:ascii="Times New Roman" w:hAnsi="Times New Roman" w:cs="Times New Roman"/>
          <w:sz w:val="24"/>
          <w:szCs w:val="24"/>
        </w:rPr>
        <w:t xml:space="preserve">, </w:t>
      </w:r>
      <w:r w:rsidR="000A69FB">
        <w:rPr>
          <w:rFonts w:ascii="Times New Roman" w:hAnsi="Times New Roman" w:cs="Times New Roman"/>
          <w:sz w:val="24"/>
          <w:szCs w:val="24"/>
        </w:rPr>
        <w:t xml:space="preserve">la </w:t>
      </w:r>
      <w:r w:rsidR="00860E97" w:rsidRPr="00951F7B">
        <w:rPr>
          <w:rFonts w:ascii="Times New Roman" w:hAnsi="Times New Roman" w:cs="Times New Roman"/>
          <w:sz w:val="24"/>
          <w:szCs w:val="24"/>
        </w:rPr>
        <w:t xml:space="preserve">Red de Planes Ambientales Universitarios Institucionales, </w:t>
      </w:r>
      <w:r w:rsidR="000A69FB">
        <w:rPr>
          <w:rFonts w:ascii="Times New Roman" w:hAnsi="Times New Roman" w:cs="Times New Roman"/>
          <w:sz w:val="24"/>
          <w:szCs w:val="24"/>
        </w:rPr>
        <w:t xml:space="preserve">la </w:t>
      </w:r>
      <w:r w:rsidR="00860E97" w:rsidRPr="00951F7B">
        <w:rPr>
          <w:rFonts w:ascii="Times New Roman" w:hAnsi="Times New Roman" w:cs="Times New Roman"/>
          <w:sz w:val="24"/>
          <w:szCs w:val="24"/>
        </w:rPr>
        <w:t>Alianza de Redes Iberoamericanas de Universidades por la Sustentabilidad</w:t>
      </w:r>
      <w:r w:rsidR="000A69FB">
        <w:rPr>
          <w:rFonts w:ascii="Times New Roman" w:hAnsi="Times New Roman" w:cs="Times New Roman"/>
          <w:sz w:val="24"/>
          <w:szCs w:val="24"/>
        </w:rPr>
        <w:t xml:space="preserve"> (</w:t>
      </w:r>
      <w:proofErr w:type="spellStart"/>
      <w:r w:rsidR="000A69FB" w:rsidRPr="00951F7B">
        <w:rPr>
          <w:rFonts w:ascii="Times New Roman" w:hAnsi="Times New Roman" w:cs="Times New Roman"/>
          <w:sz w:val="24"/>
          <w:szCs w:val="24"/>
        </w:rPr>
        <w:t>Ariusa</w:t>
      </w:r>
      <w:proofErr w:type="spellEnd"/>
      <w:r w:rsidR="000A69FB">
        <w:rPr>
          <w:rFonts w:ascii="Times New Roman" w:hAnsi="Times New Roman" w:cs="Times New Roman"/>
          <w:sz w:val="24"/>
          <w:szCs w:val="24"/>
        </w:rPr>
        <w:t>)</w:t>
      </w:r>
      <w:r w:rsidR="000A69FB" w:rsidRPr="00951F7B">
        <w:rPr>
          <w:rFonts w:ascii="Times New Roman" w:hAnsi="Times New Roman" w:cs="Times New Roman"/>
          <w:sz w:val="24"/>
          <w:szCs w:val="24"/>
        </w:rPr>
        <w:t>,</w:t>
      </w:r>
      <w:r w:rsidR="002C2B52">
        <w:rPr>
          <w:rFonts w:ascii="Times New Roman" w:hAnsi="Times New Roman" w:cs="Times New Roman"/>
          <w:sz w:val="24"/>
          <w:szCs w:val="24"/>
        </w:rPr>
        <w:t xml:space="preserve"> la</w:t>
      </w:r>
      <w:r w:rsidR="000A69FB" w:rsidRPr="00951F7B">
        <w:rPr>
          <w:rFonts w:ascii="Times New Roman" w:hAnsi="Times New Roman" w:cs="Times New Roman"/>
          <w:sz w:val="24"/>
          <w:szCs w:val="24"/>
        </w:rPr>
        <w:t xml:space="preserve"> </w:t>
      </w:r>
      <w:r w:rsidR="002C2B52" w:rsidRPr="002C2B52">
        <w:rPr>
          <w:rFonts w:ascii="Times New Roman" w:hAnsi="Times New Roman" w:cs="Times New Roman"/>
          <w:sz w:val="24"/>
          <w:szCs w:val="24"/>
        </w:rPr>
        <w:t xml:space="preserve">Unión de Responsabilidad Social Universitaria Latinoamericana </w:t>
      </w:r>
      <w:r w:rsidR="002C2B52">
        <w:rPr>
          <w:rFonts w:ascii="Times New Roman" w:hAnsi="Times New Roman" w:cs="Times New Roman"/>
          <w:sz w:val="24"/>
          <w:szCs w:val="24"/>
        </w:rPr>
        <w:t>(</w:t>
      </w:r>
      <w:proofErr w:type="spellStart"/>
      <w:r w:rsidR="002C2B52">
        <w:rPr>
          <w:rFonts w:ascii="Times New Roman" w:hAnsi="Times New Roman" w:cs="Times New Roman"/>
          <w:sz w:val="24"/>
          <w:szCs w:val="24"/>
        </w:rPr>
        <w:t>Ursula</w:t>
      </w:r>
      <w:proofErr w:type="spellEnd"/>
      <w:r w:rsidR="002C2B52">
        <w:rPr>
          <w:rFonts w:ascii="Times New Roman" w:hAnsi="Times New Roman" w:cs="Times New Roman"/>
          <w:sz w:val="24"/>
          <w:szCs w:val="24"/>
        </w:rPr>
        <w:t>)</w:t>
      </w:r>
      <w:r w:rsidR="00860E97" w:rsidRPr="00951F7B">
        <w:rPr>
          <w:rFonts w:ascii="Times New Roman" w:hAnsi="Times New Roman" w:cs="Times New Roman"/>
          <w:sz w:val="24"/>
          <w:szCs w:val="24"/>
        </w:rPr>
        <w:t xml:space="preserve"> y la Red Internacional de Campus Sustentables </w:t>
      </w:r>
      <w:r w:rsidR="009550F1">
        <w:rPr>
          <w:rFonts w:ascii="Times New Roman" w:hAnsi="Times New Roman" w:cs="Times New Roman"/>
          <w:sz w:val="24"/>
          <w:szCs w:val="24"/>
        </w:rPr>
        <w:t>(</w:t>
      </w:r>
      <w:r w:rsidR="00747CB2" w:rsidRPr="00951F7B">
        <w:rPr>
          <w:rFonts w:ascii="Times New Roman" w:hAnsi="Times New Roman" w:cs="Times New Roman"/>
          <w:sz w:val="24"/>
          <w:szCs w:val="24"/>
        </w:rPr>
        <w:t xml:space="preserve">ISCN </w:t>
      </w:r>
      <w:r w:rsidR="00860E97" w:rsidRPr="00951F7B">
        <w:rPr>
          <w:rFonts w:ascii="Times New Roman" w:hAnsi="Times New Roman" w:cs="Times New Roman"/>
          <w:sz w:val="24"/>
          <w:szCs w:val="24"/>
        </w:rPr>
        <w:t xml:space="preserve">por </w:t>
      </w:r>
      <w:proofErr w:type="gramStart"/>
      <w:r w:rsidR="00860E97" w:rsidRPr="00951F7B">
        <w:rPr>
          <w:rFonts w:ascii="Times New Roman" w:hAnsi="Times New Roman" w:cs="Times New Roman"/>
          <w:sz w:val="24"/>
          <w:szCs w:val="24"/>
        </w:rPr>
        <w:t>sus sigla</w:t>
      </w:r>
      <w:proofErr w:type="gramEnd"/>
      <w:r w:rsidR="00860E97" w:rsidRPr="00951F7B">
        <w:rPr>
          <w:rFonts w:ascii="Times New Roman" w:hAnsi="Times New Roman" w:cs="Times New Roman"/>
          <w:sz w:val="24"/>
          <w:szCs w:val="24"/>
        </w:rPr>
        <w:t xml:space="preserve"> en inglés</w:t>
      </w:r>
      <w:r w:rsidR="009550F1">
        <w:rPr>
          <w:rFonts w:ascii="Times New Roman" w:hAnsi="Times New Roman" w:cs="Times New Roman"/>
          <w:sz w:val="24"/>
          <w:szCs w:val="24"/>
        </w:rPr>
        <w:t>).</w:t>
      </w:r>
      <w:r w:rsidR="00860E97" w:rsidRPr="00951F7B">
        <w:rPr>
          <w:rFonts w:ascii="Times New Roman" w:hAnsi="Times New Roman" w:cs="Times New Roman"/>
          <w:sz w:val="24"/>
          <w:szCs w:val="24"/>
        </w:rPr>
        <w:t xml:space="preserve"> </w:t>
      </w:r>
    </w:p>
    <w:p w14:paraId="33A2F18C" w14:textId="1556547F" w:rsidR="0062543F" w:rsidRDefault="009809EB" w:rsidP="00951F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00450A9E" w:rsidRPr="00951F7B">
        <w:rPr>
          <w:rFonts w:ascii="Times New Roman" w:hAnsi="Times New Roman" w:cs="Times New Roman"/>
          <w:sz w:val="24"/>
          <w:szCs w:val="24"/>
        </w:rPr>
        <w:t xml:space="preserve"> </w:t>
      </w:r>
      <w:proofErr w:type="spellStart"/>
      <w:r w:rsidR="00450A9E" w:rsidRPr="00951F7B">
        <w:rPr>
          <w:rFonts w:ascii="Times New Roman" w:hAnsi="Times New Roman" w:cs="Times New Roman"/>
          <w:sz w:val="24"/>
          <w:szCs w:val="24"/>
        </w:rPr>
        <w:t>Vallaeys</w:t>
      </w:r>
      <w:proofErr w:type="spellEnd"/>
      <w:r w:rsidR="00450A9E" w:rsidRPr="00951F7B">
        <w:rPr>
          <w:rFonts w:ascii="Times New Roman" w:hAnsi="Times New Roman" w:cs="Times New Roman"/>
          <w:sz w:val="24"/>
          <w:szCs w:val="24"/>
        </w:rPr>
        <w:t xml:space="preserve">, </w:t>
      </w:r>
      <w:r w:rsidR="006A28F6">
        <w:rPr>
          <w:rFonts w:ascii="Times New Roman" w:hAnsi="Times New Roman" w:cs="Times New Roman"/>
          <w:sz w:val="24"/>
          <w:szCs w:val="24"/>
        </w:rPr>
        <w:t>d</w:t>
      </w:r>
      <w:r w:rsidR="00450A9E" w:rsidRPr="00951F7B">
        <w:rPr>
          <w:rFonts w:ascii="Times New Roman" w:hAnsi="Times New Roman" w:cs="Times New Roman"/>
          <w:sz w:val="24"/>
          <w:szCs w:val="24"/>
        </w:rPr>
        <w:t xml:space="preserve">e la Cruz y </w:t>
      </w:r>
      <w:proofErr w:type="spellStart"/>
      <w:r w:rsidR="00450A9E" w:rsidRPr="00951F7B">
        <w:rPr>
          <w:rFonts w:ascii="Times New Roman" w:hAnsi="Times New Roman" w:cs="Times New Roman"/>
          <w:sz w:val="24"/>
          <w:szCs w:val="24"/>
        </w:rPr>
        <w:t>Sasia</w:t>
      </w:r>
      <w:proofErr w:type="spellEnd"/>
      <w:r w:rsidR="00450A9E" w:rsidRPr="00951F7B">
        <w:rPr>
          <w:rFonts w:ascii="Times New Roman" w:hAnsi="Times New Roman" w:cs="Times New Roman"/>
          <w:sz w:val="24"/>
          <w:szCs w:val="24"/>
        </w:rPr>
        <w:t xml:space="preserve"> </w:t>
      </w:r>
      <w:r w:rsidR="008F5287" w:rsidRPr="00951F7B">
        <w:rPr>
          <w:rFonts w:ascii="Times New Roman" w:hAnsi="Times New Roman" w:cs="Times New Roman"/>
          <w:sz w:val="24"/>
          <w:szCs w:val="24"/>
        </w:rPr>
        <w:t>(2009)</w:t>
      </w:r>
      <w:r w:rsidR="00414C5A">
        <w:rPr>
          <w:rFonts w:ascii="Times New Roman" w:hAnsi="Times New Roman" w:cs="Times New Roman"/>
          <w:sz w:val="24"/>
          <w:szCs w:val="24"/>
        </w:rPr>
        <w:t>,</w:t>
      </w:r>
      <w:r w:rsidR="00450A9E" w:rsidRPr="00951F7B">
        <w:rPr>
          <w:rFonts w:ascii="Times New Roman" w:hAnsi="Times New Roman" w:cs="Times New Roman"/>
          <w:sz w:val="24"/>
          <w:szCs w:val="24"/>
        </w:rPr>
        <w:t xml:space="preserve"> </w:t>
      </w:r>
      <w:r w:rsidR="00414C5A">
        <w:rPr>
          <w:rFonts w:ascii="Times New Roman" w:hAnsi="Times New Roman" w:cs="Times New Roman"/>
          <w:sz w:val="24"/>
          <w:szCs w:val="24"/>
        </w:rPr>
        <w:t>l</w:t>
      </w:r>
      <w:r w:rsidR="00450A9E" w:rsidRPr="00951F7B">
        <w:rPr>
          <w:rFonts w:ascii="Times New Roman" w:hAnsi="Times New Roman" w:cs="Times New Roman"/>
          <w:sz w:val="24"/>
          <w:szCs w:val="24"/>
        </w:rPr>
        <w:t xml:space="preserve">a </w:t>
      </w:r>
      <w:r w:rsidR="00414C5A">
        <w:rPr>
          <w:rFonts w:ascii="Times New Roman" w:hAnsi="Times New Roman" w:cs="Times New Roman"/>
          <w:sz w:val="24"/>
          <w:szCs w:val="24"/>
        </w:rPr>
        <w:t>r</w:t>
      </w:r>
      <w:r w:rsidR="0053571C" w:rsidRPr="00951F7B">
        <w:rPr>
          <w:rFonts w:ascii="Times New Roman" w:hAnsi="Times New Roman" w:cs="Times New Roman"/>
          <w:sz w:val="24"/>
          <w:szCs w:val="24"/>
        </w:rPr>
        <w:t xml:space="preserve">esponsabilidad </w:t>
      </w:r>
      <w:r w:rsidR="00414C5A">
        <w:rPr>
          <w:rFonts w:ascii="Times New Roman" w:hAnsi="Times New Roman" w:cs="Times New Roman"/>
          <w:sz w:val="24"/>
          <w:szCs w:val="24"/>
        </w:rPr>
        <w:t>s</w:t>
      </w:r>
      <w:r w:rsidR="00414C5A" w:rsidRPr="00951F7B">
        <w:rPr>
          <w:rFonts w:ascii="Times New Roman" w:hAnsi="Times New Roman" w:cs="Times New Roman"/>
          <w:sz w:val="24"/>
          <w:szCs w:val="24"/>
        </w:rPr>
        <w:t xml:space="preserve">ocial </w:t>
      </w:r>
      <w:r w:rsidR="00414C5A">
        <w:rPr>
          <w:rFonts w:ascii="Times New Roman" w:hAnsi="Times New Roman" w:cs="Times New Roman"/>
          <w:sz w:val="24"/>
          <w:szCs w:val="24"/>
        </w:rPr>
        <w:t>u</w:t>
      </w:r>
      <w:r w:rsidR="00414C5A" w:rsidRPr="00951F7B">
        <w:rPr>
          <w:rFonts w:ascii="Times New Roman" w:hAnsi="Times New Roman" w:cs="Times New Roman"/>
          <w:sz w:val="24"/>
          <w:szCs w:val="24"/>
        </w:rPr>
        <w:t>niversitaria</w:t>
      </w:r>
      <w:r w:rsidR="00414C5A">
        <w:rPr>
          <w:rFonts w:ascii="Times New Roman" w:hAnsi="Times New Roman" w:cs="Times New Roman"/>
          <w:sz w:val="24"/>
          <w:szCs w:val="24"/>
        </w:rPr>
        <w:t xml:space="preserve"> (RSU)</w:t>
      </w:r>
      <w:r w:rsidR="00414C5A" w:rsidRPr="00951F7B">
        <w:rPr>
          <w:rFonts w:ascii="Times New Roman" w:hAnsi="Times New Roman" w:cs="Times New Roman"/>
          <w:sz w:val="24"/>
          <w:szCs w:val="24"/>
        </w:rPr>
        <w:t xml:space="preserve"> </w:t>
      </w:r>
      <w:r w:rsidR="00414C5A">
        <w:rPr>
          <w:rFonts w:ascii="Times New Roman" w:hAnsi="Times New Roman" w:cs="Times New Roman"/>
          <w:sz w:val="24"/>
          <w:szCs w:val="24"/>
        </w:rPr>
        <w:t>“</w:t>
      </w:r>
      <w:r w:rsidR="00450A9E" w:rsidRPr="00951F7B">
        <w:rPr>
          <w:rFonts w:ascii="Times New Roman" w:hAnsi="Times New Roman" w:cs="Times New Roman"/>
          <w:sz w:val="24"/>
          <w:szCs w:val="24"/>
        </w:rPr>
        <w:t xml:space="preserve">ayuda a la universidad a reconectarse con el contexto social y a reencontrar su identidad” </w:t>
      </w:r>
      <w:r w:rsidR="008F5287" w:rsidRPr="00951F7B">
        <w:rPr>
          <w:rFonts w:ascii="Times New Roman" w:hAnsi="Times New Roman" w:cs="Times New Roman"/>
          <w:sz w:val="24"/>
          <w:szCs w:val="24"/>
        </w:rPr>
        <w:t xml:space="preserve">(p. </w:t>
      </w:r>
      <w:r w:rsidR="00F87D84">
        <w:rPr>
          <w:rFonts w:ascii="Times New Roman" w:hAnsi="Times New Roman" w:cs="Times New Roman"/>
          <w:sz w:val="24"/>
          <w:szCs w:val="24"/>
        </w:rPr>
        <w:t>vii</w:t>
      </w:r>
      <w:r w:rsidR="008F5287" w:rsidRPr="00951F7B">
        <w:rPr>
          <w:rFonts w:ascii="Times New Roman" w:hAnsi="Times New Roman" w:cs="Times New Roman"/>
          <w:sz w:val="24"/>
          <w:szCs w:val="24"/>
        </w:rPr>
        <w:t>)</w:t>
      </w:r>
      <w:r w:rsidR="00450A9E" w:rsidRPr="00951F7B">
        <w:rPr>
          <w:rFonts w:ascii="Times New Roman" w:hAnsi="Times New Roman" w:cs="Times New Roman"/>
          <w:sz w:val="24"/>
          <w:szCs w:val="24"/>
        </w:rPr>
        <w:t xml:space="preserve">. </w:t>
      </w:r>
      <w:r w:rsidR="006A28F6">
        <w:rPr>
          <w:rFonts w:ascii="Times New Roman" w:hAnsi="Times New Roman" w:cs="Times New Roman"/>
          <w:sz w:val="24"/>
          <w:szCs w:val="24"/>
        </w:rPr>
        <w:t>Estos autores</w:t>
      </w:r>
      <w:r w:rsidR="00450A9E" w:rsidRPr="00951F7B">
        <w:rPr>
          <w:rFonts w:ascii="Times New Roman" w:hAnsi="Times New Roman" w:cs="Times New Roman"/>
          <w:sz w:val="24"/>
          <w:szCs w:val="24"/>
        </w:rPr>
        <w:t xml:space="preserve"> argumentan </w:t>
      </w:r>
      <w:proofErr w:type="gramStart"/>
      <w:r w:rsidR="00450A9E" w:rsidRPr="00951F7B">
        <w:rPr>
          <w:rFonts w:ascii="Times New Roman" w:hAnsi="Times New Roman" w:cs="Times New Roman"/>
          <w:sz w:val="24"/>
          <w:szCs w:val="24"/>
        </w:rPr>
        <w:t>que</w:t>
      </w:r>
      <w:proofErr w:type="gramEnd"/>
      <w:r w:rsidR="00450A9E" w:rsidRPr="00951F7B">
        <w:rPr>
          <w:rFonts w:ascii="Times New Roman" w:hAnsi="Times New Roman" w:cs="Times New Roman"/>
          <w:sz w:val="24"/>
          <w:szCs w:val="24"/>
        </w:rPr>
        <w:t xml:space="preserve"> si bien las políticas educativas </w:t>
      </w:r>
      <w:r w:rsidR="00953BC4">
        <w:rPr>
          <w:rFonts w:ascii="Times New Roman" w:hAnsi="Times New Roman" w:cs="Times New Roman"/>
          <w:sz w:val="24"/>
          <w:szCs w:val="24"/>
        </w:rPr>
        <w:t xml:space="preserve">implementadas en Latinoamérica han </w:t>
      </w:r>
      <w:r w:rsidR="00F23B3C">
        <w:rPr>
          <w:rFonts w:ascii="Times New Roman" w:hAnsi="Times New Roman" w:cs="Times New Roman"/>
          <w:sz w:val="24"/>
          <w:szCs w:val="24"/>
        </w:rPr>
        <w:t>logrado una mayor cobertura</w:t>
      </w:r>
      <w:r w:rsidR="00BF0A42">
        <w:rPr>
          <w:rFonts w:ascii="Times New Roman" w:hAnsi="Times New Roman" w:cs="Times New Roman"/>
          <w:sz w:val="24"/>
          <w:szCs w:val="24"/>
        </w:rPr>
        <w:t>, esto es</w:t>
      </w:r>
      <w:r w:rsidR="00450A9E" w:rsidRPr="00951F7B">
        <w:rPr>
          <w:rFonts w:ascii="Times New Roman" w:hAnsi="Times New Roman" w:cs="Times New Roman"/>
          <w:sz w:val="24"/>
          <w:szCs w:val="24"/>
        </w:rPr>
        <w:t>,</w:t>
      </w:r>
      <w:r w:rsidR="00BF0A42">
        <w:rPr>
          <w:rFonts w:ascii="Times New Roman" w:hAnsi="Times New Roman" w:cs="Times New Roman"/>
          <w:sz w:val="24"/>
          <w:szCs w:val="24"/>
        </w:rPr>
        <w:t xml:space="preserve"> más instituciones de educación superior y más estudiantes matriculados,</w:t>
      </w:r>
      <w:r w:rsidR="00450A9E" w:rsidRPr="00951F7B">
        <w:rPr>
          <w:rFonts w:ascii="Times New Roman" w:hAnsi="Times New Roman" w:cs="Times New Roman"/>
          <w:sz w:val="24"/>
          <w:szCs w:val="24"/>
        </w:rPr>
        <w:t xml:space="preserve"> </w:t>
      </w:r>
      <w:r w:rsidR="00D824A5">
        <w:rPr>
          <w:rFonts w:ascii="Times New Roman" w:hAnsi="Times New Roman" w:cs="Times New Roman"/>
          <w:sz w:val="24"/>
          <w:szCs w:val="24"/>
        </w:rPr>
        <w:t xml:space="preserve">dicho crecimiento </w:t>
      </w:r>
      <w:r w:rsidR="00066446">
        <w:rPr>
          <w:rFonts w:ascii="Times New Roman" w:hAnsi="Times New Roman" w:cs="Times New Roman"/>
          <w:sz w:val="24"/>
          <w:szCs w:val="24"/>
        </w:rPr>
        <w:t>también ha traído</w:t>
      </w:r>
      <w:r w:rsidR="00450A9E" w:rsidRPr="00951F7B">
        <w:rPr>
          <w:rFonts w:ascii="Times New Roman" w:hAnsi="Times New Roman" w:cs="Times New Roman"/>
          <w:sz w:val="24"/>
          <w:szCs w:val="24"/>
        </w:rPr>
        <w:t xml:space="preserve"> aspectos negativos</w:t>
      </w:r>
      <w:r w:rsidR="00D824A5">
        <w:rPr>
          <w:rFonts w:ascii="Times New Roman" w:hAnsi="Times New Roman" w:cs="Times New Roman"/>
          <w:sz w:val="24"/>
          <w:szCs w:val="24"/>
        </w:rPr>
        <w:t xml:space="preserve">. </w:t>
      </w:r>
    </w:p>
    <w:p w14:paraId="26D927B9" w14:textId="4DADF36D" w:rsidR="0062543F" w:rsidRDefault="00BB639E" w:rsidP="00145D7F">
      <w:pPr>
        <w:spacing w:after="0" w:line="360" w:lineRule="auto"/>
        <w:ind w:left="1418"/>
        <w:jc w:val="both"/>
        <w:rPr>
          <w:rFonts w:ascii="Times New Roman" w:hAnsi="Times New Roman" w:cs="Times New Roman"/>
          <w:sz w:val="24"/>
          <w:szCs w:val="24"/>
        </w:rPr>
      </w:pPr>
      <w:r w:rsidRPr="00BB639E">
        <w:rPr>
          <w:rFonts w:ascii="Times New Roman" w:hAnsi="Times New Roman" w:cs="Times New Roman"/>
          <w:sz w:val="24"/>
          <w:szCs w:val="24"/>
        </w:rPr>
        <w:t xml:space="preserve">Una de ellas es la profundización de una crisis de identidad en la universidad latinoamericana. </w:t>
      </w:r>
      <w:r w:rsidR="0062543F">
        <w:rPr>
          <w:rFonts w:ascii="Times New Roman" w:hAnsi="Times New Roman" w:cs="Times New Roman"/>
          <w:sz w:val="24"/>
          <w:szCs w:val="24"/>
        </w:rPr>
        <w:t>“</w:t>
      </w:r>
      <w:r w:rsidRPr="00BB639E">
        <w:rPr>
          <w:rFonts w:ascii="Times New Roman" w:hAnsi="Times New Roman" w:cs="Times New Roman"/>
          <w:sz w:val="24"/>
          <w:szCs w:val="24"/>
        </w:rPr>
        <w:t>Crisis</w:t>
      </w:r>
      <w:r w:rsidR="0062543F">
        <w:rPr>
          <w:rFonts w:ascii="Times New Roman" w:hAnsi="Times New Roman" w:cs="Times New Roman"/>
          <w:sz w:val="24"/>
          <w:szCs w:val="24"/>
        </w:rPr>
        <w:t>”</w:t>
      </w:r>
      <w:r w:rsidRPr="00BB639E">
        <w:rPr>
          <w:rFonts w:ascii="Times New Roman" w:hAnsi="Times New Roman" w:cs="Times New Roman"/>
          <w:sz w:val="24"/>
          <w:szCs w:val="24"/>
        </w:rPr>
        <w:t>, por cuanto las universidades experimentan dificultades para cumplir adecuadamente con sus funciones estratégicas y para actuar como motores del desarrollo científico, tecnológico, económico, político y cultural</w:t>
      </w:r>
      <w:r>
        <w:rPr>
          <w:rFonts w:ascii="Times New Roman" w:hAnsi="Times New Roman" w:cs="Times New Roman"/>
          <w:sz w:val="24"/>
          <w:szCs w:val="24"/>
        </w:rPr>
        <w:t xml:space="preserve"> (</w:t>
      </w:r>
      <w:proofErr w:type="spellStart"/>
      <w:r w:rsidR="0062543F" w:rsidRPr="00951F7B">
        <w:rPr>
          <w:rFonts w:ascii="Times New Roman" w:hAnsi="Times New Roman" w:cs="Times New Roman"/>
          <w:sz w:val="24"/>
          <w:szCs w:val="24"/>
        </w:rPr>
        <w:t>Vallaeys</w:t>
      </w:r>
      <w:proofErr w:type="spellEnd"/>
      <w:r w:rsidR="0062543F">
        <w:rPr>
          <w:rFonts w:ascii="Times New Roman" w:hAnsi="Times New Roman" w:cs="Times New Roman"/>
          <w:sz w:val="24"/>
          <w:szCs w:val="24"/>
        </w:rPr>
        <w:t xml:space="preserve"> </w:t>
      </w:r>
      <w:r w:rsidR="0062543F">
        <w:rPr>
          <w:rFonts w:ascii="Times New Roman" w:hAnsi="Times New Roman" w:cs="Times New Roman"/>
          <w:i/>
          <w:iCs/>
          <w:sz w:val="24"/>
          <w:szCs w:val="24"/>
        </w:rPr>
        <w:t xml:space="preserve">et al., </w:t>
      </w:r>
      <w:r w:rsidR="0062543F">
        <w:rPr>
          <w:rFonts w:ascii="Times New Roman" w:hAnsi="Times New Roman" w:cs="Times New Roman"/>
          <w:sz w:val="24"/>
          <w:szCs w:val="24"/>
        </w:rPr>
        <w:t xml:space="preserve">2009, </w:t>
      </w:r>
      <w:r>
        <w:rPr>
          <w:rFonts w:ascii="Times New Roman" w:hAnsi="Times New Roman" w:cs="Times New Roman"/>
          <w:sz w:val="24"/>
          <w:szCs w:val="24"/>
        </w:rPr>
        <w:t xml:space="preserve">p. </w:t>
      </w:r>
      <w:r w:rsidR="00F87D84">
        <w:rPr>
          <w:rFonts w:ascii="Times New Roman" w:hAnsi="Times New Roman" w:cs="Times New Roman"/>
          <w:sz w:val="24"/>
          <w:szCs w:val="24"/>
        </w:rPr>
        <w:t>vii)</w:t>
      </w:r>
      <w:r w:rsidRPr="00BB639E">
        <w:rPr>
          <w:rFonts w:ascii="Times New Roman" w:hAnsi="Times New Roman" w:cs="Times New Roman"/>
          <w:sz w:val="24"/>
          <w:szCs w:val="24"/>
        </w:rPr>
        <w:t xml:space="preserve">. </w:t>
      </w:r>
    </w:p>
    <w:p w14:paraId="6172BF82" w14:textId="083A9C51" w:rsidR="00EB48C8" w:rsidRPr="00951F7B" w:rsidRDefault="00EB48C8" w:rsidP="00145D7F">
      <w:pPr>
        <w:spacing w:after="0" w:line="360" w:lineRule="auto"/>
        <w:jc w:val="both"/>
        <w:rPr>
          <w:rFonts w:ascii="Times New Roman" w:hAnsi="Times New Roman" w:cs="Times New Roman"/>
          <w:sz w:val="24"/>
          <w:szCs w:val="24"/>
        </w:rPr>
      </w:pPr>
      <w:r w:rsidRPr="00951F7B">
        <w:rPr>
          <w:rFonts w:ascii="Times New Roman" w:hAnsi="Times New Roman" w:cs="Times New Roman"/>
          <w:sz w:val="24"/>
          <w:szCs w:val="24"/>
        </w:rPr>
        <w:lastRenderedPageBreak/>
        <w:t xml:space="preserve">La responsabilidad de la universidad con la sociedad implica cuestionarse sobre la pertinencia de educar y formar profesionistas acordes al contexto actual de la segunda década del siglo XXI. </w:t>
      </w:r>
    </w:p>
    <w:p w14:paraId="64A8D1B1" w14:textId="3384DA96" w:rsidR="00090CE2" w:rsidRDefault="0062543F" w:rsidP="00951F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 los</w:t>
      </w:r>
      <w:r w:rsidR="005607C6" w:rsidRPr="00951F7B">
        <w:rPr>
          <w:rFonts w:ascii="Times New Roman" w:hAnsi="Times New Roman" w:cs="Times New Roman"/>
          <w:sz w:val="24"/>
          <w:szCs w:val="24"/>
        </w:rPr>
        <w:t xml:space="preserve"> </w:t>
      </w:r>
      <w:r w:rsidR="005B3F01" w:rsidRPr="00951F7B">
        <w:rPr>
          <w:rFonts w:ascii="Times New Roman" w:hAnsi="Times New Roman" w:cs="Times New Roman"/>
          <w:sz w:val="24"/>
          <w:szCs w:val="24"/>
        </w:rPr>
        <w:t>hallazgos encontrados en diversas investigaciones</w:t>
      </w:r>
      <w:r w:rsidR="00860E97" w:rsidRPr="00951F7B">
        <w:rPr>
          <w:rFonts w:ascii="Times New Roman" w:hAnsi="Times New Roman" w:cs="Times New Roman"/>
          <w:sz w:val="24"/>
          <w:szCs w:val="24"/>
        </w:rPr>
        <w:t xml:space="preserve"> </w:t>
      </w:r>
      <w:r w:rsidR="00354631" w:rsidRPr="00951F7B">
        <w:rPr>
          <w:rFonts w:ascii="Times New Roman" w:hAnsi="Times New Roman" w:cs="Times New Roman"/>
          <w:sz w:val="24"/>
          <w:szCs w:val="24"/>
        </w:rPr>
        <w:t>(</w:t>
      </w:r>
      <w:proofErr w:type="spellStart"/>
      <w:r w:rsidRPr="00951F7B">
        <w:rPr>
          <w:rFonts w:ascii="Times New Roman" w:hAnsi="Times New Roman" w:cs="Times New Roman"/>
          <w:sz w:val="24"/>
          <w:szCs w:val="24"/>
        </w:rPr>
        <w:t>Aleixo</w:t>
      </w:r>
      <w:proofErr w:type="spellEnd"/>
      <w:r w:rsidRPr="00951F7B">
        <w:rPr>
          <w:rFonts w:ascii="Times New Roman" w:hAnsi="Times New Roman" w:cs="Times New Roman"/>
          <w:sz w:val="24"/>
          <w:szCs w:val="24"/>
        </w:rPr>
        <w:t xml:space="preserve">, </w:t>
      </w:r>
      <w:proofErr w:type="spellStart"/>
      <w:r w:rsidRPr="00951F7B">
        <w:rPr>
          <w:rFonts w:ascii="Times New Roman" w:hAnsi="Times New Roman" w:cs="Times New Roman"/>
          <w:sz w:val="24"/>
          <w:szCs w:val="24"/>
        </w:rPr>
        <w:t>Azeiteiro</w:t>
      </w:r>
      <w:proofErr w:type="spellEnd"/>
      <w:r w:rsidRPr="00951F7B">
        <w:rPr>
          <w:rFonts w:ascii="Times New Roman" w:hAnsi="Times New Roman" w:cs="Times New Roman"/>
          <w:sz w:val="24"/>
          <w:szCs w:val="24"/>
        </w:rPr>
        <w:t xml:space="preserve"> y Leal, </w:t>
      </w:r>
      <w:r w:rsidRPr="00951F7B">
        <w:rPr>
          <w:rFonts w:ascii="Times New Roman" w:hAnsi="Times New Roman" w:cs="Times New Roman"/>
          <w:sz w:val="24"/>
        </w:rPr>
        <w:t>2018;</w:t>
      </w:r>
      <w:r w:rsidRPr="00951F7B">
        <w:rPr>
          <w:rFonts w:ascii="Times New Roman" w:hAnsi="Times New Roman" w:cs="Times New Roman"/>
          <w:sz w:val="24"/>
          <w:szCs w:val="24"/>
        </w:rPr>
        <w:t xml:space="preserve"> </w:t>
      </w:r>
      <w:r w:rsidR="00354631" w:rsidRPr="00951F7B">
        <w:rPr>
          <w:rFonts w:ascii="Times New Roman" w:hAnsi="Times New Roman" w:cs="Times New Roman"/>
          <w:sz w:val="24"/>
          <w:szCs w:val="24"/>
        </w:rPr>
        <w:t>Blanco</w:t>
      </w:r>
      <w:r w:rsidR="00EE34ED" w:rsidRPr="00951F7B">
        <w:rPr>
          <w:rFonts w:ascii="Times New Roman" w:hAnsi="Times New Roman" w:cs="Times New Roman"/>
          <w:sz w:val="24"/>
          <w:szCs w:val="24"/>
        </w:rPr>
        <w:t>, Benayas, Pertierra y Lozano</w:t>
      </w:r>
      <w:r w:rsidR="00354631" w:rsidRPr="00951F7B">
        <w:rPr>
          <w:rFonts w:ascii="Times New Roman" w:hAnsi="Times New Roman" w:cs="Times New Roman"/>
          <w:sz w:val="24"/>
          <w:szCs w:val="24"/>
        </w:rPr>
        <w:t>,</w:t>
      </w:r>
      <w:r w:rsidR="00EE34ED" w:rsidRPr="00951F7B">
        <w:rPr>
          <w:rFonts w:ascii="Times New Roman" w:hAnsi="Times New Roman" w:cs="Times New Roman"/>
          <w:sz w:val="24"/>
          <w:szCs w:val="24"/>
        </w:rPr>
        <w:t xml:space="preserve"> </w:t>
      </w:r>
      <w:r w:rsidR="00EB48C8" w:rsidRPr="00951F7B">
        <w:rPr>
          <w:rFonts w:ascii="Times New Roman" w:hAnsi="Times New Roman" w:cs="Times New Roman"/>
          <w:sz w:val="24"/>
        </w:rPr>
        <w:t>2017</w:t>
      </w:r>
      <w:r w:rsidR="00354631" w:rsidRPr="00951F7B">
        <w:rPr>
          <w:rFonts w:ascii="Times New Roman" w:hAnsi="Times New Roman" w:cs="Times New Roman"/>
          <w:sz w:val="24"/>
        </w:rPr>
        <w:t>;</w:t>
      </w:r>
      <w:r w:rsidR="00EB48C8"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Guerenabarrena, </w:t>
      </w:r>
      <w:proofErr w:type="spellStart"/>
      <w:r w:rsidRPr="00951F7B">
        <w:rPr>
          <w:rFonts w:ascii="Times New Roman" w:hAnsi="Times New Roman" w:cs="Times New Roman"/>
          <w:sz w:val="24"/>
          <w:szCs w:val="24"/>
        </w:rPr>
        <w:t>Olaskoaga</w:t>
      </w:r>
      <w:proofErr w:type="spellEnd"/>
      <w:r w:rsidRPr="00951F7B">
        <w:rPr>
          <w:rFonts w:ascii="Times New Roman" w:hAnsi="Times New Roman" w:cs="Times New Roman"/>
          <w:sz w:val="24"/>
          <w:szCs w:val="24"/>
        </w:rPr>
        <w:t xml:space="preserve"> y Cilleruelo, </w:t>
      </w:r>
      <w:r w:rsidRPr="00951F7B">
        <w:rPr>
          <w:rFonts w:ascii="Times New Roman" w:hAnsi="Times New Roman" w:cs="Times New Roman"/>
          <w:sz w:val="24"/>
        </w:rPr>
        <w:t>2021</w:t>
      </w:r>
      <w:r>
        <w:rPr>
          <w:rFonts w:ascii="Times New Roman" w:hAnsi="Times New Roman" w:cs="Times New Roman"/>
          <w:sz w:val="24"/>
        </w:rPr>
        <w:t xml:space="preserve">; </w:t>
      </w:r>
      <w:r w:rsidR="00354631" w:rsidRPr="00951F7B">
        <w:rPr>
          <w:rFonts w:ascii="Times New Roman" w:hAnsi="Times New Roman" w:cs="Times New Roman"/>
          <w:sz w:val="24"/>
          <w:szCs w:val="24"/>
        </w:rPr>
        <w:t>Jia</w:t>
      </w:r>
      <w:r w:rsidR="00EE34ED" w:rsidRPr="00951F7B">
        <w:rPr>
          <w:rFonts w:ascii="Times New Roman" w:hAnsi="Times New Roman" w:cs="Times New Roman"/>
          <w:sz w:val="24"/>
          <w:szCs w:val="24"/>
        </w:rPr>
        <w:t xml:space="preserve">, Wang y </w:t>
      </w:r>
      <w:proofErr w:type="spellStart"/>
      <w:r w:rsidR="00EE34ED" w:rsidRPr="00951F7B">
        <w:rPr>
          <w:rFonts w:ascii="Times New Roman" w:hAnsi="Times New Roman" w:cs="Times New Roman"/>
          <w:sz w:val="24"/>
          <w:szCs w:val="24"/>
        </w:rPr>
        <w:t>Fengting</w:t>
      </w:r>
      <w:proofErr w:type="spellEnd"/>
      <w:r w:rsidR="00EE34ED" w:rsidRPr="00951F7B">
        <w:rPr>
          <w:rFonts w:ascii="Times New Roman" w:hAnsi="Times New Roman" w:cs="Times New Roman"/>
          <w:sz w:val="24"/>
          <w:szCs w:val="24"/>
        </w:rPr>
        <w:t xml:space="preserve">, </w:t>
      </w:r>
      <w:r w:rsidR="00EB48C8" w:rsidRPr="00951F7B">
        <w:rPr>
          <w:rFonts w:ascii="Times New Roman" w:hAnsi="Times New Roman" w:cs="Times New Roman"/>
          <w:sz w:val="24"/>
        </w:rPr>
        <w:t>2019</w:t>
      </w:r>
      <w:r w:rsidR="00354631" w:rsidRPr="00951F7B">
        <w:rPr>
          <w:rFonts w:ascii="Times New Roman" w:hAnsi="Times New Roman" w:cs="Times New Roman"/>
          <w:sz w:val="24"/>
        </w:rPr>
        <w:t>;</w:t>
      </w:r>
      <w:r w:rsidR="00EB48C8"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Wright, </w:t>
      </w:r>
      <w:r w:rsidRPr="00951F7B">
        <w:rPr>
          <w:rFonts w:ascii="Times New Roman" w:hAnsi="Times New Roman" w:cs="Times New Roman"/>
          <w:sz w:val="24"/>
        </w:rPr>
        <w:t>2002</w:t>
      </w:r>
      <w:r w:rsidR="00354631" w:rsidRPr="00951F7B">
        <w:rPr>
          <w:rFonts w:ascii="Times New Roman" w:hAnsi="Times New Roman" w:cs="Times New Roman"/>
          <w:sz w:val="24"/>
        </w:rPr>
        <w:t>)</w:t>
      </w:r>
      <w:r>
        <w:rPr>
          <w:rFonts w:ascii="Times New Roman" w:hAnsi="Times New Roman" w:cs="Times New Roman"/>
          <w:sz w:val="24"/>
        </w:rPr>
        <w:t>,</w:t>
      </w:r>
      <w:r w:rsidR="00EB48C8" w:rsidRPr="00951F7B">
        <w:rPr>
          <w:rFonts w:ascii="Times New Roman" w:hAnsi="Times New Roman" w:cs="Times New Roman"/>
          <w:sz w:val="24"/>
          <w:szCs w:val="24"/>
        </w:rPr>
        <w:t xml:space="preserve"> </w:t>
      </w:r>
      <w:r w:rsidR="005607C6" w:rsidRPr="00951F7B">
        <w:rPr>
          <w:rFonts w:ascii="Times New Roman" w:hAnsi="Times New Roman" w:cs="Times New Roman"/>
          <w:sz w:val="24"/>
          <w:szCs w:val="24"/>
        </w:rPr>
        <w:t>las universidades han logrado incorporar la sustentabilidad en sus operaciones</w:t>
      </w:r>
      <w:r w:rsidR="0056434E" w:rsidRPr="00951F7B">
        <w:rPr>
          <w:rFonts w:ascii="Times New Roman" w:hAnsi="Times New Roman" w:cs="Times New Roman"/>
          <w:sz w:val="24"/>
          <w:szCs w:val="24"/>
        </w:rPr>
        <w:t xml:space="preserve"> y</w:t>
      </w:r>
      <w:r w:rsidR="005607C6" w:rsidRPr="00951F7B">
        <w:rPr>
          <w:rFonts w:ascii="Times New Roman" w:hAnsi="Times New Roman" w:cs="Times New Roman"/>
          <w:sz w:val="24"/>
          <w:szCs w:val="24"/>
        </w:rPr>
        <w:t xml:space="preserve"> </w:t>
      </w:r>
      <w:r w:rsidR="0056434E" w:rsidRPr="00951F7B">
        <w:rPr>
          <w:rFonts w:ascii="Times New Roman" w:hAnsi="Times New Roman" w:cs="Times New Roman"/>
          <w:sz w:val="24"/>
          <w:szCs w:val="24"/>
        </w:rPr>
        <w:t xml:space="preserve">funciones sustantivas </w:t>
      </w:r>
      <w:r w:rsidR="005607C6" w:rsidRPr="00951F7B">
        <w:rPr>
          <w:rFonts w:ascii="Times New Roman" w:hAnsi="Times New Roman" w:cs="Times New Roman"/>
          <w:sz w:val="24"/>
          <w:szCs w:val="24"/>
        </w:rPr>
        <w:t xml:space="preserve">de formas </w:t>
      </w:r>
      <w:r w:rsidR="003447D1" w:rsidRPr="00951F7B">
        <w:rPr>
          <w:rFonts w:ascii="Times New Roman" w:hAnsi="Times New Roman" w:cs="Times New Roman"/>
          <w:sz w:val="24"/>
          <w:szCs w:val="24"/>
        </w:rPr>
        <w:t>distintas,</w:t>
      </w:r>
      <w:r w:rsidR="005607C6" w:rsidRPr="00951F7B">
        <w:rPr>
          <w:rFonts w:ascii="Times New Roman" w:hAnsi="Times New Roman" w:cs="Times New Roman"/>
          <w:sz w:val="24"/>
          <w:szCs w:val="24"/>
        </w:rPr>
        <w:t xml:space="preserve"> por lo que se ha convertido en un fenómeno </w:t>
      </w:r>
      <w:r w:rsidR="007B12C5">
        <w:rPr>
          <w:rFonts w:ascii="Times New Roman" w:hAnsi="Times New Roman" w:cs="Times New Roman"/>
          <w:sz w:val="24"/>
          <w:szCs w:val="24"/>
        </w:rPr>
        <w:t>digno de análisis</w:t>
      </w:r>
      <w:r w:rsidR="005607C6" w:rsidRPr="00951F7B">
        <w:rPr>
          <w:rFonts w:ascii="Times New Roman" w:hAnsi="Times New Roman" w:cs="Times New Roman"/>
          <w:sz w:val="24"/>
          <w:szCs w:val="24"/>
        </w:rPr>
        <w:t xml:space="preserve">. La mayor parte de los estudios realizados señalan que la heterogeneidad de las universidades y </w:t>
      </w:r>
      <w:r w:rsidR="00F86BFC">
        <w:rPr>
          <w:rFonts w:ascii="Times New Roman" w:hAnsi="Times New Roman" w:cs="Times New Roman"/>
          <w:sz w:val="24"/>
          <w:szCs w:val="24"/>
        </w:rPr>
        <w:t>la</w:t>
      </w:r>
      <w:r w:rsidR="00F86BFC" w:rsidRPr="00951F7B">
        <w:rPr>
          <w:rFonts w:ascii="Times New Roman" w:hAnsi="Times New Roman" w:cs="Times New Roman"/>
          <w:sz w:val="24"/>
          <w:szCs w:val="24"/>
        </w:rPr>
        <w:t xml:space="preserve"> </w:t>
      </w:r>
      <w:r w:rsidR="005607C6" w:rsidRPr="00951F7B">
        <w:rPr>
          <w:rFonts w:ascii="Times New Roman" w:hAnsi="Times New Roman" w:cs="Times New Roman"/>
          <w:sz w:val="24"/>
          <w:szCs w:val="24"/>
        </w:rPr>
        <w:t>complejidad que las caracteriza son las razones principales que influyen en sus propósitos</w:t>
      </w:r>
      <w:r w:rsidR="003C481F">
        <w:rPr>
          <w:rFonts w:ascii="Times New Roman" w:hAnsi="Times New Roman" w:cs="Times New Roman"/>
          <w:sz w:val="24"/>
          <w:szCs w:val="24"/>
        </w:rPr>
        <w:t>.</w:t>
      </w:r>
      <w:r w:rsidR="00632C7A" w:rsidRPr="00951F7B">
        <w:rPr>
          <w:rFonts w:ascii="Times New Roman" w:hAnsi="Times New Roman" w:cs="Times New Roman"/>
          <w:sz w:val="24"/>
          <w:szCs w:val="24"/>
        </w:rPr>
        <w:t xml:space="preserve"> </w:t>
      </w:r>
    </w:p>
    <w:p w14:paraId="0A29BA9E" w14:textId="646E93A0" w:rsidR="00897CA4" w:rsidRPr="00951F7B" w:rsidRDefault="003C481F" w:rsidP="00951F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pues, tomando en cuenta todo lo anterior,</w:t>
      </w:r>
      <w:r w:rsidR="003447D1" w:rsidRPr="00951F7B">
        <w:rPr>
          <w:rFonts w:ascii="Times New Roman" w:hAnsi="Times New Roman" w:cs="Times New Roman"/>
          <w:sz w:val="24"/>
          <w:szCs w:val="24"/>
        </w:rPr>
        <w:t xml:space="preserve"> </w:t>
      </w:r>
      <w:r w:rsidR="00632C7A" w:rsidRPr="00951F7B">
        <w:rPr>
          <w:rFonts w:ascii="Times New Roman" w:hAnsi="Times New Roman" w:cs="Times New Roman"/>
          <w:sz w:val="24"/>
          <w:szCs w:val="24"/>
        </w:rPr>
        <w:t xml:space="preserve">se </w:t>
      </w:r>
      <w:r w:rsidR="003447D1" w:rsidRPr="00951F7B">
        <w:rPr>
          <w:rFonts w:ascii="Times New Roman" w:hAnsi="Times New Roman" w:cs="Times New Roman"/>
          <w:sz w:val="24"/>
          <w:szCs w:val="24"/>
        </w:rPr>
        <w:t>analizó</w:t>
      </w:r>
      <w:r w:rsidR="00632C7A" w:rsidRPr="00951F7B">
        <w:rPr>
          <w:rFonts w:ascii="Times New Roman" w:hAnsi="Times New Roman" w:cs="Times New Roman"/>
          <w:sz w:val="24"/>
          <w:szCs w:val="24"/>
        </w:rPr>
        <w:t xml:space="preserve"> </w:t>
      </w:r>
      <w:r w:rsidR="00982CDB" w:rsidRPr="00951F7B">
        <w:rPr>
          <w:rFonts w:ascii="Times New Roman" w:hAnsi="Times New Roman" w:cs="Times New Roman"/>
          <w:sz w:val="24"/>
          <w:szCs w:val="24"/>
        </w:rPr>
        <w:t>la relación existente entre la estructura organizacional y su efecto en la inclusión de temáticas ambientales y sustentables en los programas de estudio de nive</w:t>
      </w:r>
      <w:r w:rsidR="003447D1" w:rsidRPr="00951F7B">
        <w:rPr>
          <w:rFonts w:ascii="Times New Roman" w:hAnsi="Times New Roman" w:cs="Times New Roman"/>
          <w:sz w:val="24"/>
          <w:szCs w:val="24"/>
        </w:rPr>
        <w:t xml:space="preserve">l pregrado </w:t>
      </w:r>
      <w:r w:rsidR="000A0B76">
        <w:rPr>
          <w:rFonts w:ascii="Times New Roman" w:hAnsi="Times New Roman" w:cs="Times New Roman"/>
          <w:sz w:val="24"/>
          <w:szCs w:val="24"/>
        </w:rPr>
        <w:t>en la</w:t>
      </w:r>
      <w:r w:rsidR="003447D1" w:rsidRPr="00951F7B">
        <w:rPr>
          <w:rFonts w:ascii="Times New Roman" w:hAnsi="Times New Roman" w:cs="Times New Roman"/>
          <w:sz w:val="24"/>
          <w:szCs w:val="24"/>
        </w:rPr>
        <w:t xml:space="preserve"> Universidad de Guadalajara</w:t>
      </w:r>
      <w:r w:rsidR="0053736A">
        <w:rPr>
          <w:rFonts w:ascii="Times New Roman" w:hAnsi="Times New Roman" w:cs="Times New Roman"/>
          <w:sz w:val="24"/>
          <w:szCs w:val="24"/>
        </w:rPr>
        <w:t xml:space="preserve"> (UdeG)</w:t>
      </w:r>
      <w:r w:rsidR="003447D1" w:rsidRPr="00951F7B">
        <w:rPr>
          <w:rFonts w:ascii="Times New Roman" w:hAnsi="Times New Roman" w:cs="Times New Roman"/>
          <w:sz w:val="24"/>
          <w:szCs w:val="24"/>
        </w:rPr>
        <w:t>.</w:t>
      </w:r>
    </w:p>
    <w:p w14:paraId="7DE8F172" w14:textId="2EF1A75D" w:rsidR="00AC0F14" w:rsidRDefault="002F53DA" w:rsidP="00951F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Siguiendo a</w:t>
      </w:r>
      <w:r w:rsidR="005560AB" w:rsidRPr="00951F7B">
        <w:rPr>
          <w:rFonts w:ascii="Times New Roman" w:hAnsi="Times New Roman" w:cs="Times New Roman"/>
          <w:sz w:val="24"/>
          <w:szCs w:val="24"/>
        </w:rPr>
        <w:t xml:space="preserve"> Zúñiga</w:t>
      </w:r>
      <w:r w:rsidR="00AC0F14" w:rsidRPr="00951F7B">
        <w:rPr>
          <w:rFonts w:ascii="Times New Roman" w:hAnsi="Times New Roman" w:cs="Times New Roman"/>
          <w:sz w:val="24"/>
          <w:szCs w:val="24"/>
        </w:rPr>
        <w:t xml:space="preserve"> (2021)</w:t>
      </w:r>
      <w:r w:rsidR="00396338" w:rsidRPr="00951F7B">
        <w:rPr>
          <w:rFonts w:ascii="Times New Roman" w:hAnsi="Times New Roman" w:cs="Times New Roman"/>
          <w:sz w:val="24"/>
          <w:szCs w:val="24"/>
        </w:rPr>
        <w:t xml:space="preserve">, </w:t>
      </w:r>
      <w:r>
        <w:rPr>
          <w:rFonts w:ascii="Times New Roman" w:hAnsi="Times New Roman" w:cs="Times New Roman"/>
          <w:sz w:val="24"/>
          <w:szCs w:val="24"/>
        </w:rPr>
        <w:t xml:space="preserve">uno de los obstáculos </w:t>
      </w:r>
      <w:r w:rsidR="005560AB" w:rsidRPr="00951F7B">
        <w:rPr>
          <w:rFonts w:ascii="Times New Roman" w:hAnsi="Times New Roman" w:cs="Times New Roman"/>
          <w:sz w:val="24"/>
          <w:szCs w:val="24"/>
        </w:rPr>
        <w:t xml:space="preserve">para </w:t>
      </w:r>
      <w:r w:rsidR="00AC0F14" w:rsidRPr="00951F7B">
        <w:rPr>
          <w:rFonts w:ascii="Times New Roman" w:hAnsi="Times New Roman" w:cs="Times New Roman"/>
          <w:sz w:val="24"/>
          <w:szCs w:val="24"/>
        </w:rPr>
        <w:t>incorporar</w:t>
      </w:r>
      <w:r w:rsidR="005560AB" w:rsidRPr="00951F7B">
        <w:rPr>
          <w:rFonts w:ascii="Times New Roman" w:hAnsi="Times New Roman" w:cs="Times New Roman"/>
          <w:sz w:val="24"/>
          <w:szCs w:val="24"/>
        </w:rPr>
        <w:t xml:space="preserve"> los principios de la </w:t>
      </w:r>
      <w:r w:rsidR="00AC0F14" w:rsidRPr="00951F7B">
        <w:rPr>
          <w:rFonts w:ascii="Times New Roman" w:hAnsi="Times New Roman" w:cs="Times New Roman"/>
          <w:sz w:val="24"/>
          <w:szCs w:val="24"/>
        </w:rPr>
        <w:t>sustentabilidad</w:t>
      </w:r>
      <w:r w:rsidR="005560AB" w:rsidRPr="00951F7B">
        <w:rPr>
          <w:rFonts w:ascii="Times New Roman" w:hAnsi="Times New Roman" w:cs="Times New Roman"/>
          <w:sz w:val="24"/>
          <w:szCs w:val="24"/>
        </w:rPr>
        <w:t xml:space="preserve"> como parte del currículo </w:t>
      </w:r>
      <w:r w:rsidR="00090CE2">
        <w:rPr>
          <w:rFonts w:ascii="Times New Roman" w:hAnsi="Times New Roman" w:cs="Times New Roman"/>
          <w:sz w:val="24"/>
          <w:szCs w:val="24"/>
        </w:rPr>
        <w:t>en universidades públicas</w:t>
      </w:r>
      <w:r w:rsidR="00090CE2" w:rsidRPr="00951F7B">
        <w:rPr>
          <w:rFonts w:ascii="Times New Roman" w:hAnsi="Times New Roman" w:cs="Times New Roman"/>
          <w:sz w:val="24"/>
          <w:szCs w:val="24"/>
        </w:rPr>
        <w:t xml:space="preserve"> </w:t>
      </w:r>
      <w:r w:rsidR="00090CE2">
        <w:rPr>
          <w:rFonts w:ascii="Times New Roman" w:hAnsi="Times New Roman" w:cs="Times New Roman"/>
          <w:sz w:val="24"/>
          <w:szCs w:val="24"/>
        </w:rPr>
        <w:t>es</w:t>
      </w:r>
      <w:r w:rsidR="005560AB" w:rsidRPr="00951F7B">
        <w:rPr>
          <w:rFonts w:ascii="Times New Roman" w:hAnsi="Times New Roman" w:cs="Times New Roman"/>
          <w:sz w:val="24"/>
          <w:szCs w:val="24"/>
        </w:rPr>
        <w:t xml:space="preserve"> la forma </w:t>
      </w:r>
      <w:r>
        <w:rPr>
          <w:rFonts w:ascii="Times New Roman" w:hAnsi="Times New Roman" w:cs="Times New Roman"/>
          <w:sz w:val="24"/>
          <w:szCs w:val="24"/>
        </w:rPr>
        <w:t>en</w:t>
      </w:r>
      <w:r w:rsidRPr="00951F7B">
        <w:rPr>
          <w:rFonts w:ascii="Times New Roman" w:hAnsi="Times New Roman" w:cs="Times New Roman"/>
          <w:sz w:val="24"/>
          <w:szCs w:val="24"/>
        </w:rPr>
        <w:t xml:space="preserve"> </w:t>
      </w:r>
      <w:r w:rsidR="005560AB" w:rsidRPr="00951F7B">
        <w:rPr>
          <w:rFonts w:ascii="Times New Roman" w:hAnsi="Times New Roman" w:cs="Times New Roman"/>
          <w:sz w:val="24"/>
          <w:szCs w:val="24"/>
        </w:rPr>
        <w:t xml:space="preserve">cómo </w:t>
      </w:r>
      <w:r w:rsidR="00956078" w:rsidRPr="00951F7B">
        <w:rPr>
          <w:rFonts w:ascii="Times New Roman" w:hAnsi="Times New Roman" w:cs="Times New Roman"/>
          <w:sz w:val="24"/>
          <w:szCs w:val="24"/>
        </w:rPr>
        <w:t xml:space="preserve">este concepto </w:t>
      </w:r>
      <w:r w:rsidR="005560AB" w:rsidRPr="00951F7B">
        <w:rPr>
          <w:rFonts w:ascii="Times New Roman" w:hAnsi="Times New Roman" w:cs="Times New Roman"/>
          <w:sz w:val="24"/>
          <w:szCs w:val="24"/>
        </w:rPr>
        <w:t>es entendid</w:t>
      </w:r>
      <w:r w:rsidR="00956078" w:rsidRPr="00951F7B">
        <w:rPr>
          <w:rFonts w:ascii="Times New Roman" w:hAnsi="Times New Roman" w:cs="Times New Roman"/>
          <w:sz w:val="24"/>
          <w:szCs w:val="24"/>
        </w:rPr>
        <w:t>o</w:t>
      </w:r>
      <w:r w:rsidR="005560AB" w:rsidRPr="00951F7B">
        <w:rPr>
          <w:rFonts w:ascii="Times New Roman" w:hAnsi="Times New Roman" w:cs="Times New Roman"/>
          <w:sz w:val="24"/>
          <w:szCs w:val="24"/>
        </w:rPr>
        <w:t xml:space="preserve"> y emplead</w:t>
      </w:r>
      <w:r w:rsidR="00956078" w:rsidRPr="00951F7B">
        <w:rPr>
          <w:rFonts w:ascii="Times New Roman" w:hAnsi="Times New Roman" w:cs="Times New Roman"/>
          <w:sz w:val="24"/>
          <w:szCs w:val="24"/>
        </w:rPr>
        <w:t>o</w:t>
      </w:r>
      <w:r w:rsidR="005560AB" w:rsidRPr="00951F7B">
        <w:rPr>
          <w:rFonts w:ascii="Times New Roman" w:hAnsi="Times New Roman" w:cs="Times New Roman"/>
          <w:sz w:val="24"/>
          <w:szCs w:val="24"/>
        </w:rPr>
        <w:t xml:space="preserve"> por los distintos actores internos de la universidad.</w:t>
      </w:r>
      <w:r w:rsidR="00AC0F14" w:rsidRPr="00951F7B">
        <w:rPr>
          <w:rFonts w:ascii="Times New Roman" w:hAnsi="Times New Roman" w:cs="Times New Roman"/>
          <w:sz w:val="24"/>
          <w:szCs w:val="24"/>
        </w:rPr>
        <w:t xml:space="preserve"> </w:t>
      </w:r>
      <w:r w:rsidR="00396338" w:rsidRPr="00951F7B">
        <w:rPr>
          <w:rFonts w:ascii="Times New Roman" w:hAnsi="Times New Roman" w:cs="Times New Roman"/>
          <w:sz w:val="24"/>
          <w:szCs w:val="24"/>
        </w:rPr>
        <w:t>Por su p</w:t>
      </w:r>
      <w:r w:rsidR="0053571C" w:rsidRPr="00951F7B">
        <w:rPr>
          <w:rFonts w:ascii="Times New Roman" w:hAnsi="Times New Roman" w:cs="Times New Roman"/>
          <w:sz w:val="24"/>
          <w:szCs w:val="24"/>
        </w:rPr>
        <w:t xml:space="preserve">arte, Guerenabarrena </w:t>
      </w:r>
      <w:r w:rsidR="0053571C" w:rsidRPr="00145D7F">
        <w:rPr>
          <w:rFonts w:ascii="Times New Roman" w:hAnsi="Times New Roman" w:cs="Times New Roman"/>
          <w:i/>
          <w:iCs/>
          <w:sz w:val="24"/>
          <w:szCs w:val="24"/>
        </w:rPr>
        <w:t>et al.</w:t>
      </w:r>
      <w:r w:rsidR="0053571C" w:rsidRPr="00951F7B">
        <w:rPr>
          <w:rFonts w:ascii="Times New Roman" w:hAnsi="Times New Roman" w:cs="Times New Roman"/>
          <w:sz w:val="24"/>
          <w:szCs w:val="24"/>
        </w:rPr>
        <w:t xml:space="preserve"> </w:t>
      </w:r>
      <w:r w:rsidR="00396338" w:rsidRPr="00951F7B">
        <w:rPr>
          <w:rFonts w:ascii="Times New Roman" w:hAnsi="Times New Roman" w:cs="Times New Roman"/>
          <w:sz w:val="24"/>
          <w:szCs w:val="24"/>
        </w:rPr>
        <w:t xml:space="preserve">(2021) consideran a la reticencia de los académicos </w:t>
      </w:r>
      <w:r w:rsidR="001F0820" w:rsidRPr="00951F7B">
        <w:rPr>
          <w:rFonts w:ascii="Times New Roman" w:hAnsi="Times New Roman" w:cs="Times New Roman"/>
          <w:sz w:val="24"/>
          <w:szCs w:val="24"/>
        </w:rPr>
        <w:t xml:space="preserve">como un obstáculo en la transmisión de los principios y </w:t>
      </w:r>
      <w:r w:rsidR="00396338" w:rsidRPr="00951F7B">
        <w:rPr>
          <w:rFonts w:ascii="Times New Roman" w:hAnsi="Times New Roman" w:cs="Times New Roman"/>
          <w:sz w:val="24"/>
          <w:szCs w:val="24"/>
        </w:rPr>
        <w:t xml:space="preserve">contenidos que demanda el enfoque de la </w:t>
      </w:r>
      <w:r w:rsidR="005648DD">
        <w:rPr>
          <w:rFonts w:ascii="Times New Roman" w:hAnsi="Times New Roman" w:cs="Times New Roman"/>
          <w:sz w:val="24"/>
          <w:szCs w:val="24"/>
        </w:rPr>
        <w:t>educación para el desarrollo sostenible</w:t>
      </w:r>
      <w:r w:rsidR="00396338" w:rsidRPr="00951F7B">
        <w:rPr>
          <w:rFonts w:ascii="Times New Roman" w:hAnsi="Times New Roman" w:cs="Times New Roman"/>
          <w:sz w:val="24"/>
          <w:szCs w:val="24"/>
        </w:rPr>
        <w:t xml:space="preserve"> </w:t>
      </w:r>
      <w:r w:rsidR="001F0820" w:rsidRPr="00951F7B">
        <w:rPr>
          <w:rFonts w:ascii="Times New Roman" w:hAnsi="Times New Roman" w:cs="Times New Roman"/>
          <w:sz w:val="24"/>
          <w:szCs w:val="24"/>
        </w:rPr>
        <w:t xml:space="preserve">a los estudiantes; asimismo, </w:t>
      </w:r>
      <w:r w:rsidR="00396338" w:rsidRPr="00951F7B">
        <w:rPr>
          <w:rFonts w:ascii="Times New Roman" w:hAnsi="Times New Roman" w:cs="Times New Roman"/>
          <w:sz w:val="24"/>
          <w:szCs w:val="24"/>
        </w:rPr>
        <w:t>la tendencia del mismo</w:t>
      </w:r>
      <w:r w:rsidR="001F0820" w:rsidRPr="00951F7B">
        <w:rPr>
          <w:rFonts w:ascii="Times New Roman" w:hAnsi="Times New Roman" w:cs="Times New Roman"/>
          <w:sz w:val="24"/>
          <w:szCs w:val="24"/>
        </w:rPr>
        <w:t xml:space="preserve"> profesorado</w:t>
      </w:r>
      <w:r w:rsidR="00396338" w:rsidRPr="00951F7B">
        <w:rPr>
          <w:rFonts w:ascii="Times New Roman" w:hAnsi="Times New Roman" w:cs="Times New Roman"/>
          <w:sz w:val="24"/>
          <w:szCs w:val="24"/>
        </w:rPr>
        <w:t xml:space="preserve"> al inmovilismo</w:t>
      </w:r>
      <w:r w:rsidR="001F0820" w:rsidRPr="00951F7B">
        <w:rPr>
          <w:rFonts w:ascii="Times New Roman" w:hAnsi="Times New Roman" w:cs="Times New Roman"/>
          <w:sz w:val="24"/>
          <w:szCs w:val="24"/>
        </w:rPr>
        <w:t>,</w:t>
      </w:r>
      <w:r w:rsidR="00396338" w:rsidRPr="00951F7B">
        <w:rPr>
          <w:rFonts w:ascii="Times New Roman" w:hAnsi="Times New Roman" w:cs="Times New Roman"/>
          <w:sz w:val="24"/>
          <w:szCs w:val="24"/>
        </w:rPr>
        <w:t xml:space="preserve"> dos factores actitudinales</w:t>
      </w:r>
      <w:r w:rsidR="001F0820" w:rsidRPr="00951F7B">
        <w:rPr>
          <w:rFonts w:ascii="Times New Roman" w:hAnsi="Times New Roman" w:cs="Times New Roman"/>
          <w:sz w:val="24"/>
          <w:szCs w:val="24"/>
        </w:rPr>
        <w:t xml:space="preserve">, </w:t>
      </w:r>
      <w:r w:rsidR="00D363E0" w:rsidRPr="00951F7B">
        <w:rPr>
          <w:rFonts w:ascii="Times New Roman" w:hAnsi="Times New Roman" w:cs="Times New Roman"/>
          <w:sz w:val="24"/>
          <w:szCs w:val="24"/>
        </w:rPr>
        <w:t>y</w:t>
      </w:r>
      <w:r w:rsidR="001F0820" w:rsidRPr="00951F7B">
        <w:rPr>
          <w:rFonts w:ascii="Times New Roman" w:hAnsi="Times New Roman" w:cs="Times New Roman"/>
          <w:sz w:val="24"/>
          <w:szCs w:val="24"/>
        </w:rPr>
        <w:t xml:space="preserve"> de acuerdo con los autores,</w:t>
      </w:r>
      <w:r w:rsidR="00396338" w:rsidRPr="00951F7B">
        <w:rPr>
          <w:rFonts w:ascii="Times New Roman" w:hAnsi="Times New Roman" w:cs="Times New Roman"/>
          <w:sz w:val="24"/>
          <w:szCs w:val="24"/>
        </w:rPr>
        <w:t xml:space="preserve"> pueden influir en la efectividad de las estrategias implementadas. </w:t>
      </w:r>
      <w:r w:rsidR="001F0820" w:rsidRPr="00951F7B">
        <w:rPr>
          <w:rFonts w:ascii="Times New Roman" w:hAnsi="Times New Roman" w:cs="Times New Roman"/>
          <w:sz w:val="24"/>
          <w:szCs w:val="24"/>
        </w:rPr>
        <w:t xml:space="preserve">En este contexto, </w:t>
      </w:r>
      <w:r w:rsidR="00AC0F14" w:rsidRPr="00951F7B">
        <w:rPr>
          <w:rFonts w:ascii="Times New Roman" w:hAnsi="Times New Roman" w:cs="Times New Roman"/>
          <w:sz w:val="24"/>
          <w:szCs w:val="24"/>
        </w:rPr>
        <w:t xml:space="preserve">el campo de estudio de las organizaciones ha demostrado que factores relacionados con la estructura pueden </w:t>
      </w:r>
      <w:r w:rsidR="0087790A" w:rsidRPr="00951F7B">
        <w:rPr>
          <w:rFonts w:ascii="Times New Roman" w:hAnsi="Times New Roman" w:cs="Times New Roman"/>
          <w:sz w:val="24"/>
          <w:szCs w:val="24"/>
        </w:rPr>
        <w:t>ser atenuantes en</w:t>
      </w:r>
      <w:r w:rsidR="00AC0F14" w:rsidRPr="00951F7B">
        <w:rPr>
          <w:rFonts w:ascii="Times New Roman" w:hAnsi="Times New Roman" w:cs="Times New Roman"/>
          <w:sz w:val="24"/>
          <w:szCs w:val="24"/>
        </w:rPr>
        <w:t xml:space="preserve"> la forma en que los actores internos entienden y aplican las políticas y los cambios estratégicos implementados por gestores y directivos, que para el caso que nos ocupa, </w:t>
      </w:r>
      <w:r w:rsidR="0087790A" w:rsidRPr="00951F7B">
        <w:rPr>
          <w:rFonts w:ascii="Times New Roman" w:hAnsi="Times New Roman" w:cs="Times New Roman"/>
          <w:sz w:val="24"/>
          <w:szCs w:val="24"/>
        </w:rPr>
        <w:t xml:space="preserve">la incorporación de la perspectiva del desarrollo sostenible en </w:t>
      </w:r>
      <w:r w:rsidR="00AC0F14" w:rsidRPr="00951F7B">
        <w:rPr>
          <w:rFonts w:ascii="Times New Roman" w:hAnsi="Times New Roman" w:cs="Times New Roman"/>
          <w:sz w:val="24"/>
          <w:szCs w:val="24"/>
        </w:rPr>
        <w:t>las universidades públicas del país</w:t>
      </w:r>
      <w:r w:rsidR="00D363E0" w:rsidRPr="00951F7B">
        <w:rPr>
          <w:rFonts w:ascii="Times New Roman" w:hAnsi="Times New Roman" w:cs="Times New Roman"/>
          <w:sz w:val="24"/>
          <w:szCs w:val="24"/>
        </w:rPr>
        <w:t xml:space="preserve"> en el marco de la A</w:t>
      </w:r>
      <w:r w:rsidR="0087790A" w:rsidRPr="00951F7B">
        <w:rPr>
          <w:rFonts w:ascii="Times New Roman" w:hAnsi="Times New Roman" w:cs="Times New Roman"/>
          <w:sz w:val="24"/>
          <w:szCs w:val="24"/>
        </w:rPr>
        <w:t>genda 2030.</w:t>
      </w:r>
    </w:p>
    <w:p w14:paraId="6C83AF80" w14:textId="7698A01B" w:rsidR="00D8149E" w:rsidRPr="00951F7B" w:rsidRDefault="005B35F7" w:rsidP="00951F7B">
      <w:pPr>
        <w:spacing w:after="0" w:line="360" w:lineRule="auto"/>
        <w:ind w:firstLine="708"/>
        <w:jc w:val="both"/>
        <w:rPr>
          <w:rFonts w:ascii="Times New Roman" w:hAnsi="Times New Roman" w:cs="Times New Roman"/>
          <w:sz w:val="24"/>
          <w:szCs w:val="24"/>
        </w:rPr>
      </w:pPr>
      <w:r w:rsidRPr="00951F7B">
        <w:rPr>
          <w:rFonts w:ascii="Times New Roman" w:hAnsi="Times New Roman" w:cs="Times New Roman"/>
          <w:sz w:val="24"/>
          <w:szCs w:val="24"/>
        </w:rPr>
        <w:t xml:space="preserve">Por lo </w:t>
      </w:r>
      <w:r w:rsidR="00816870" w:rsidRPr="00951F7B">
        <w:rPr>
          <w:rFonts w:ascii="Times New Roman" w:hAnsi="Times New Roman" w:cs="Times New Roman"/>
          <w:sz w:val="24"/>
          <w:szCs w:val="24"/>
        </w:rPr>
        <w:t>tanto,</w:t>
      </w:r>
      <w:r w:rsidRPr="00951F7B">
        <w:rPr>
          <w:rFonts w:ascii="Times New Roman" w:hAnsi="Times New Roman" w:cs="Times New Roman"/>
          <w:sz w:val="24"/>
          <w:szCs w:val="24"/>
        </w:rPr>
        <w:t xml:space="preserve"> el propósito de este artículo </w:t>
      </w:r>
      <w:r w:rsidR="003F736B" w:rsidRPr="00951F7B">
        <w:rPr>
          <w:rFonts w:ascii="Times New Roman" w:hAnsi="Times New Roman" w:cs="Times New Roman"/>
          <w:sz w:val="24"/>
          <w:szCs w:val="24"/>
        </w:rPr>
        <w:t xml:space="preserve">fue analizar la efectividad de la estrategia implementada por la </w:t>
      </w:r>
      <w:r w:rsidR="00082BD2">
        <w:rPr>
          <w:rFonts w:ascii="Times New Roman" w:hAnsi="Times New Roman" w:cs="Times New Roman"/>
          <w:sz w:val="24"/>
          <w:szCs w:val="24"/>
        </w:rPr>
        <w:t>UdeG</w:t>
      </w:r>
      <w:r w:rsidR="001F0820" w:rsidRPr="00951F7B">
        <w:rPr>
          <w:rFonts w:ascii="Times New Roman" w:hAnsi="Times New Roman" w:cs="Times New Roman"/>
          <w:sz w:val="24"/>
          <w:szCs w:val="24"/>
        </w:rPr>
        <w:t xml:space="preserve"> </w:t>
      </w:r>
      <w:r w:rsidR="003F736B" w:rsidRPr="00951F7B">
        <w:rPr>
          <w:rFonts w:ascii="Times New Roman" w:hAnsi="Times New Roman" w:cs="Times New Roman"/>
          <w:sz w:val="24"/>
          <w:szCs w:val="24"/>
        </w:rPr>
        <w:t xml:space="preserve">y </w:t>
      </w:r>
      <w:r w:rsidR="004203E4">
        <w:rPr>
          <w:rFonts w:ascii="Times New Roman" w:hAnsi="Times New Roman" w:cs="Times New Roman"/>
          <w:sz w:val="24"/>
          <w:szCs w:val="24"/>
        </w:rPr>
        <w:t>la influencia</w:t>
      </w:r>
      <w:r w:rsidR="003C40C9" w:rsidRPr="00951F7B">
        <w:rPr>
          <w:rFonts w:ascii="Times New Roman" w:hAnsi="Times New Roman" w:cs="Times New Roman"/>
          <w:sz w:val="24"/>
          <w:szCs w:val="24"/>
        </w:rPr>
        <w:t xml:space="preserve"> </w:t>
      </w:r>
      <w:r w:rsidR="00B97534" w:rsidRPr="00951F7B">
        <w:rPr>
          <w:rFonts w:ascii="Times New Roman" w:hAnsi="Times New Roman" w:cs="Times New Roman"/>
          <w:sz w:val="24"/>
          <w:szCs w:val="24"/>
        </w:rPr>
        <w:t xml:space="preserve">que tiene </w:t>
      </w:r>
      <w:r w:rsidR="00DF6F08">
        <w:rPr>
          <w:rFonts w:ascii="Times New Roman" w:hAnsi="Times New Roman" w:cs="Times New Roman"/>
          <w:sz w:val="24"/>
          <w:szCs w:val="24"/>
        </w:rPr>
        <w:t>la</w:t>
      </w:r>
      <w:r w:rsidR="00DF6F08" w:rsidRPr="00951F7B">
        <w:rPr>
          <w:rFonts w:ascii="Times New Roman" w:hAnsi="Times New Roman" w:cs="Times New Roman"/>
          <w:sz w:val="24"/>
          <w:szCs w:val="24"/>
        </w:rPr>
        <w:t xml:space="preserve"> </w:t>
      </w:r>
      <w:r w:rsidR="00B97534" w:rsidRPr="00951F7B">
        <w:rPr>
          <w:rFonts w:ascii="Times New Roman" w:hAnsi="Times New Roman" w:cs="Times New Roman"/>
          <w:sz w:val="24"/>
          <w:szCs w:val="24"/>
        </w:rPr>
        <w:t>estructura</w:t>
      </w:r>
      <w:r w:rsidR="00DF6F08">
        <w:rPr>
          <w:rFonts w:ascii="Times New Roman" w:hAnsi="Times New Roman" w:cs="Times New Roman"/>
          <w:sz w:val="24"/>
          <w:szCs w:val="24"/>
        </w:rPr>
        <w:t xml:space="preserve"> de esta institución </w:t>
      </w:r>
      <w:r w:rsidR="00674AB5">
        <w:rPr>
          <w:rFonts w:ascii="Times New Roman" w:hAnsi="Times New Roman" w:cs="Times New Roman"/>
          <w:sz w:val="24"/>
          <w:szCs w:val="24"/>
        </w:rPr>
        <w:t>a la hora</w:t>
      </w:r>
      <w:r w:rsidR="00B97534" w:rsidRPr="00951F7B">
        <w:rPr>
          <w:rFonts w:ascii="Times New Roman" w:hAnsi="Times New Roman" w:cs="Times New Roman"/>
          <w:sz w:val="24"/>
          <w:szCs w:val="24"/>
        </w:rPr>
        <w:t xml:space="preserve"> de </w:t>
      </w:r>
      <w:r w:rsidR="0008053F" w:rsidRPr="00951F7B">
        <w:rPr>
          <w:rFonts w:ascii="Times New Roman" w:hAnsi="Times New Roman" w:cs="Times New Roman"/>
          <w:sz w:val="24"/>
          <w:szCs w:val="24"/>
        </w:rPr>
        <w:t>incorporar</w:t>
      </w:r>
      <w:r w:rsidR="00B97534" w:rsidRPr="00951F7B">
        <w:rPr>
          <w:rFonts w:ascii="Times New Roman" w:hAnsi="Times New Roman" w:cs="Times New Roman"/>
          <w:sz w:val="24"/>
          <w:szCs w:val="24"/>
        </w:rPr>
        <w:t xml:space="preserve"> la </w:t>
      </w:r>
      <w:r w:rsidR="0008053F" w:rsidRPr="00951F7B">
        <w:rPr>
          <w:rFonts w:ascii="Times New Roman" w:hAnsi="Times New Roman" w:cs="Times New Roman"/>
          <w:sz w:val="24"/>
          <w:szCs w:val="24"/>
        </w:rPr>
        <w:t>p</w:t>
      </w:r>
      <w:r w:rsidR="00B97534" w:rsidRPr="00951F7B">
        <w:rPr>
          <w:rFonts w:ascii="Times New Roman" w:hAnsi="Times New Roman" w:cs="Times New Roman"/>
          <w:sz w:val="24"/>
          <w:szCs w:val="24"/>
        </w:rPr>
        <w:t xml:space="preserve">erspectiva de la </w:t>
      </w:r>
      <w:r w:rsidR="005648DD">
        <w:rPr>
          <w:rFonts w:ascii="Times New Roman" w:hAnsi="Times New Roman" w:cs="Times New Roman"/>
          <w:sz w:val="24"/>
          <w:szCs w:val="24"/>
        </w:rPr>
        <w:t>educación para el desarrollo sostenible</w:t>
      </w:r>
      <w:r w:rsidR="005648DD" w:rsidRPr="00951F7B">
        <w:rPr>
          <w:rFonts w:ascii="Times New Roman" w:hAnsi="Times New Roman" w:cs="Times New Roman"/>
          <w:sz w:val="24"/>
          <w:szCs w:val="24"/>
        </w:rPr>
        <w:t xml:space="preserve"> </w:t>
      </w:r>
      <w:r w:rsidR="00B97534" w:rsidRPr="00951F7B">
        <w:rPr>
          <w:rFonts w:ascii="Times New Roman" w:hAnsi="Times New Roman" w:cs="Times New Roman"/>
          <w:sz w:val="24"/>
          <w:szCs w:val="24"/>
        </w:rPr>
        <w:t xml:space="preserve">en el currículo universitario. </w:t>
      </w:r>
      <w:r w:rsidR="001F0820" w:rsidRPr="00951F7B">
        <w:rPr>
          <w:rFonts w:ascii="Times New Roman" w:hAnsi="Times New Roman" w:cs="Times New Roman"/>
          <w:sz w:val="24"/>
          <w:szCs w:val="24"/>
        </w:rPr>
        <w:t>Este caso de estudio contempla e</w:t>
      </w:r>
      <w:r w:rsidR="00AE35B7" w:rsidRPr="00951F7B">
        <w:rPr>
          <w:rFonts w:ascii="Times New Roman" w:hAnsi="Times New Roman" w:cs="Times New Roman"/>
          <w:sz w:val="24"/>
          <w:szCs w:val="24"/>
        </w:rPr>
        <w:t xml:space="preserve">l análisis </w:t>
      </w:r>
      <w:r w:rsidR="00343CDC">
        <w:rPr>
          <w:rFonts w:ascii="Times New Roman" w:hAnsi="Times New Roman" w:cs="Times New Roman"/>
          <w:sz w:val="24"/>
          <w:szCs w:val="24"/>
        </w:rPr>
        <w:t xml:space="preserve">de </w:t>
      </w:r>
      <w:r w:rsidR="00AE35B7" w:rsidRPr="00951F7B">
        <w:rPr>
          <w:rFonts w:ascii="Times New Roman" w:hAnsi="Times New Roman" w:cs="Times New Roman"/>
          <w:sz w:val="24"/>
          <w:szCs w:val="24"/>
        </w:rPr>
        <w:t>la información d</w:t>
      </w:r>
      <w:r w:rsidR="00CB70AB" w:rsidRPr="00951F7B">
        <w:rPr>
          <w:rFonts w:ascii="Times New Roman" w:hAnsi="Times New Roman" w:cs="Times New Roman"/>
          <w:sz w:val="24"/>
          <w:szCs w:val="24"/>
        </w:rPr>
        <w:t>el periodo 2014</w:t>
      </w:r>
      <w:r w:rsidR="003C40C9" w:rsidRPr="00951F7B">
        <w:rPr>
          <w:rFonts w:ascii="Times New Roman" w:hAnsi="Times New Roman" w:cs="Times New Roman"/>
          <w:sz w:val="24"/>
          <w:szCs w:val="24"/>
        </w:rPr>
        <w:t>-2016</w:t>
      </w:r>
      <w:r w:rsidR="00B97534" w:rsidRPr="00951F7B">
        <w:rPr>
          <w:rFonts w:ascii="Times New Roman" w:hAnsi="Times New Roman" w:cs="Times New Roman"/>
          <w:sz w:val="24"/>
          <w:szCs w:val="24"/>
        </w:rPr>
        <w:t>,</w:t>
      </w:r>
      <w:r w:rsidR="00AE35B7" w:rsidRPr="00951F7B">
        <w:rPr>
          <w:rFonts w:ascii="Times New Roman" w:hAnsi="Times New Roman" w:cs="Times New Roman"/>
          <w:sz w:val="24"/>
          <w:szCs w:val="24"/>
        </w:rPr>
        <w:t xml:space="preserve"> datos que son resultado de la</w:t>
      </w:r>
      <w:r w:rsidR="00B97534" w:rsidRPr="00951F7B">
        <w:rPr>
          <w:rFonts w:ascii="Times New Roman" w:hAnsi="Times New Roman" w:cs="Times New Roman"/>
          <w:sz w:val="24"/>
          <w:szCs w:val="24"/>
        </w:rPr>
        <w:t xml:space="preserve"> estrategia</w:t>
      </w:r>
      <w:r w:rsidR="00AE35B7" w:rsidRPr="00951F7B">
        <w:rPr>
          <w:rFonts w:ascii="Times New Roman" w:hAnsi="Times New Roman" w:cs="Times New Roman"/>
          <w:sz w:val="24"/>
          <w:szCs w:val="24"/>
        </w:rPr>
        <w:t xml:space="preserve"> implementada por la </w:t>
      </w:r>
      <w:r w:rsidR="004203E4">
        <w:rPr>
          <w:rFonts w:ascii="Times New Roman" w:hAnsi="Times New Roman" w:cs="Times New Roman"/>
          <w:sz w:val="24"/>
          <w:szCs w:val="24"/>
        </w:rPr>
        <w:t>UdeG</w:t>
      </w:r>
      <w:r w:rsidR="004203E4" w:rsidRPr="00951F7B">
        <w:rPr>
          <w:rFonts w:ascii="Times New Roman" w:hAnsi="Times New Roman" w:cs="Times New Roman"/>
          <w:sz w:val="24"/>
          <w:szCs w:val="24"/>
        </w:rPr>
        <w:t xml:space="preserve"> </w:t>
      </w:r>
      <w:r w:rsidR="0087790A" w:rsidRPr="00951F7B">
        <w:rPr>
          <w:rFonts w:ascii="Times New Roman" w:hAnsi="Times New Roman" w:cs="Times New Roman"/>
          <w:sz w:val="24"/>
          <w:szCs w:val="24"/>
        </w:rPr>
        <w:t>con el</w:t>
      </w:r>
      <w:r w:rsidR="00B97534" w:rsidRPr="00951F7B">
        <w:rPr>
          <w:rFonts w:ascii="Times New Roman" w:hAnsi="Times New Roman" w:cs="Times New Roman"/>
          <w:sz w:val="24"/>
          <w:szCs w:val="24"/>
        </w:rPr>
        <w:t xml:space="preserve"> propósito </w:t>
      </w:r>
      <w:r w:rsidR="0087790A" w:rsidRPr="00951F7B">
        <w:rPr>
          <w:rFonts w:ascii="Times New Roman" w:hAnsi="Times New Roman" w:cs="Times New Roman"/>
          <w:sz w:val="24"/>
          <w:szCs w:val="24"/>
        </w:rPr>
        <w:t xml:space="preserve">de </w:t>
      </w:r>
      <w:r w:rsidR="005C4833">
        <w:rPr>
          <w:rFonts w:ascii="Times New Roman" w:hAnsi="Times New Roman" w:cs="Times New Roman"/>
          <w:sz w:val="24"/>
          <w:szCs w:val="24"/>
        </w:rPr>
        <w:t>inocular</w:t>
      </w:r>
      <w:r w:rsidR="008A491C" w:rsidRPr="00951F7B">
        <w:rPr>
          <w:rFonts w:ascii="Times New Roman" w:hAnsi="Times New Roman" w:cs="Times New Roman"/>
          <w:sz w:val="24"/>
          <w:szCs w:val="24"/>
        </w:rPr>
        <w:t xml:space="preserve"> </w:t>
      </w:r>
      <w:r w:rsidR="001F0820" w:rsidRPr="00951F7B">
        <w:rPr>
          <w:rFonts w:ascii="Times New Roman" w:hAnsi="Times New Roman" w:cs="Times New Roman"/>
          <w:sz w:val="24"/>
          <w:szCs w:val="24"/>
        </w:rPr>
        <w:t xml:space="preserve">la formación integral y contenidos de </w:t>
      </w:r>
      <w:r w:rsidR="004E19DA" w:rsidRPr="00951F7B">
        <w:rPr>
          <w:rFonts w:ascii="Times New Roman" w:hAnsi="Times New Roman" w:cs="Times New Roman"/>
          <w:sz w:val="24"/>
          <w:szCs w:val="24"/>
        </w:rPr>
        <w:t>sustentabilidad</w:t>
      </w:r>
      <w:r w:rsidR="001F0820" w:rsidRPr="00951F7B">
        <w:rPr>
          <w:rFonts w:ascii="Times New Roman" w:hAnsi="Times New Roman" w:cs="Times New Roman"/>
          <w:sz w:val="24"/>
          <w:szCs w:val="24"/>
        </w:rPr>
        <w:t xml:space="preserve"> </w:t>
      </w:r>
      <w:r w:rsidR="004E19DA" w:rsidRPr="00951F7B">
        <w:rPr>
          <w:rFonts w:ascii="Times New Roman" w:hAnsi="Times New Roman" w:cs="Times New Roman"/>
          <w:sz w:val="24"/>
          <w:szCs w:val="24"/>
        </w:rPr>
        <w:t xml:space="preserve">en los programas de estudio de </w:t>
      </w:r>
      <w:r w:rsidR="001F0820" w:rsidRPr="00951F7B">
        <w:rPr>
          <w:rFonts w:ascii="Times New Roman" w:hAnsi="Times New Roman" w:cs="Times New Roman"/>
          <w:sz w:val="24"/>
          <w:szCs w:val="24"/>
        </w:rPr>
        <w:t>pregrado</w:t>
      </w:r>
      <w:r w:rsidR="00B97534"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Para </w:t>
      </w:r>
      <w:r w:rsidR="00AE35B7" w:rsidRPr="00951F7B">
        <w:rPr>
          <w:rFonts w:ascii="Times New Roman" w:hAnsi="Times New Roman" w:cs="Times New Roman"/>
          <w:sz w:val="24"/>
          <w:szCs w:val="24"/>
        </w:rPr>
        <w:t>seguimiento de la investigación</w:t>
      </w:r>
      <w:r w:rsidRPr="00951F7B">
        <w:rPr>
          <w:rFonts w:ascii="Times New Roman" w:hAnsi="Times New Roman" w:cs="Times New Roman"/>
          <w:sz w:val="24"/>
          <w:szCs w:val="24"/>
        </w:rPr>
        <w:t>, partimos de la</w:t>
      </w:r>
      <w:r w:rsidR="00AE35B7" w:rsidRPr="00951F7B">
        <w:rPr>
          <w:rFonts w:ascii="Times New Roman" w:hAnsi="Times New Roman" w:cs="Times New Roman"/>
          <w:sz w:val="24"/>
          <w:szCs w:val="24"/>
        </w:rPr>
        <w:t>s</w:t>
      </w:r>
      <w:r w:rsidRPr="00951F7B">
        <w:rPr>
          <w:rFonts w:ascii="Times New Roman" w:hAnsi="Times New Roman" w:cs="Times New Roman"/>
          <w:sz w:val="24"/>
          <w:szCs w:val="24"/>
        </w:rPr>
        <w:t xml:space="preserve"> </w:t>
      </w:r>
      <w:r w:rsidR="000904C7" w:rsidRPr="00951F7B">
        <w:rPr>
          <w:rFonts w:ascii="Times New Roman" w:hAnsi="Times New Roman" w:cs="Times New Roman"/>
          <w:sz w:val="24"/>
          <w:szCs w:val="24"/>
        </w:rPr>
        <w:t>siguiente</w:t>
      </w:r>
      <w:r w:rsidR="00AE35B7" w:rsidRPr="00951F7B">
        <w:rPr>
          <w:rFonts w:ascii="Times New Roman" w:hAnsi="Times New Roman" w:cs="Times New Roman"/>
          <w:sz w:val="24"/>
          <w:szCs w:val="24"/>
        </w:rPr>
        <w:t>s</w:t>
      </w:r>
      <w:r w:rsidR="008134C7" w:rsidRPr="008134C7">
        <w:rPr>
          <w:rFonts w:ascii="Times New Roman" w:hAnsi="Times New Roman" w:cs="Times New Roman"/>
          <w:sz w:val="24"/>
          <w:szCs w:val="24"/>
        </w:rPr>
        <w:t xml:space="preserve"> </w:t>
      </w:r>
      <w:r w:rsidR="008134C7" w:rsidRPr="00951F7B">
        <w:rPr>
          <w:rFonts w:ascii="Times New Roman" w:hAnsi="Times New Roman" w:cs="Times New Roman"/>
          <w:sz w:val="24"/>
          <w:szCs w:val="24"/>
        </w:rPr>
        <w:t>preguntas</w:t>
      </w:r>
      <w:r w:rsidR="00AE35B7" w:rsidRPr="00951F7B">
        <w:rPr>
          <w:rFonts w:ascii="Times New Roman" w:hAnsi="Times New Roman" w:cs="Times New Roman"/>
          <w:sz w:val="24"/>
          <w:szCs w:val="24"/>
        </w:rPr>
        <w:t>:</w:t>
      </w:r>
      <w:r w:rsidRPr="00951F7B">
        <w:rPr>
          <w:rFonts w:ascii="Times New Roman" w:hAnsi="Times New Roman" w:cs="Times New Roman"/>
          <w:sz w:val="24"/>
          <w:szCs w:val="24"/>
        </w:rPr>
        <w:t xml:space="preserve"> </w:t>
      </w:r>
      <w:r w:rsidR="00D8149E" w:rsidRPr="00951F7B">
        <w:rPr>
          <w:rFonts w:ascii="Times New Roman" w:hAnsi="Times New Roman" w:cs="Times New Roman"/>
          <w:sz w:val="24"/>
          <w:szCs w:val="24"/>
        </w:rPr>
        <w:t>¿</w:t>
      </w:r>
      <w:r w:rsidR="005C4833">
        <w:rPr>
          <w:rFonts w:ascii="Times New Roman" w:hAnsi="Times New Roman" w:cs="Times New Roman"/>
          <w:sz w:val="24"/>
          <w:szCs w:val="24"/>
        </w:rPr>
        <w:t>e</w:t>
      </w:r>
      <w:r w:rsidR="00D8149E" w:rsidRPr="00951F7B">
        <w:rPr>
          <w:rFonts w:ascii="Times New Roman" w:hAnsi="Times New Roman" w:cs="Times New Roman"/>
          <w:sz w:val="24"/>
          <w:szCs w:val="24"/>
        </w:rPr>
        <w:t xml:space="preserve">n </w:t>
      </w:r>
      <w:r w:rsidR="00D8149E" w:rsidRPr="00951F7B">
        <w:rPr>
          <w:rFonts w:ascii="Times New Roman" w:hAnsi="Times New Roman" w:cs="Times New Roman"/>
          <w:sz w:val="24"/>
          <w:szCs w:val="24"/>
        </w:rPr>
        <w:lastRenderedPageBreak/>
        <w:t xml:space="preserve">qué medida la estrategia de cambio implementada por la </w:t>
      </w:r>
      <w:r w:rsidR="005C4833">
        <w:rPr>
          <w:rFonts w:ascii="Times New Roman" w:hAnsi="Times New Roman" w:cs="Times New Roman"/>
          <w:sz w:val="24"/>
          <w:szCs w:val="24"/>
        </w:rPr>
        <w:t>UdeG</w:t>
      </w:r>
      <w:r w:rsidR="00D8149E" w:rsidRPr="00951F7B">
        <w:rPr>
          <w:rFonts w:ascii="Times New Roman" w:hAnsi="Times New Roman" w:cs="Times New Roman"/>
          <w:sz w:val="24"/>
          <w:szCs w:val="24"/>
        </w:rPr>
        <w:t xml:space="preserve"> </w:t>
      </w:r>
      <w:r w:rsidR="005C4833">
        <w:rPr>
          <w:rFonts w:ascii="Times New Roman" w:hAnsi="Times New Roman" w:cs="Times New Roman"/>
          <w:sz w:val="24"/>
          <w:szCs w:val="24"/>
        </w:rPr>
        <w:t>durante</w:t>
      </w:r>
      <w:r w:rsidR="00D8149E" w:rsidRPr="00951F7B">
        <w:rPr>
          <w:rFonts w:ascii="Times New Roman" w:hAnsi="Times New Roman" w:cs="Times New Roman"/>
          <w:sz w:val="24"/>
          <w:szCs w:val="24"/>
        </w:rPr>
        <w:t xml:space="preserve"> el periodo 2012-2016 </w:t>
      </w:r>
      <w:r w:rsidR="0043739E">
        <w:rPr>
          <w:rFonts w:ascii="Times New Roman" w:hAnsi="Times New Roman" w:cs="Times New Roman"/>
          <w:sz w:val="24"/>
          <w:szCs w:val="24"/>
        </w:rPr>
        <w:t>influenció</w:t>
      </w:r>
      <w:r w:rsidR="00D8149E" w:rsidRPr="00951F7B">
        <w:rPr>
          <w:rFonts w:ascii="Times New Roman" w:hAnsi="Times New Roman" w:cs="Times New Roman"/>
          <w:sz w:val="24"/>
          <w:szCs w:val="24"/>
        </w:rPr>
        <w:t xml:space="preserve"> los programas de estudio para que contemplen un enfoque integral y de sustentabilidad acorde con la educación para el desarrollo sostenible?</w:t>
      </w:r>
      <w:r w:rsidR="0043739E">
        <w:rPr>
          <w:rFonts w:ascii="Times New Roman" w:hAnsi="Times New Roman" w:cs="Times New Roman"/>
          <w:sz w:val="24"/>
          <w:szCs w:val="24"/>
        </w:rPr>
        <w:t xml:space="preserve"> y</w:t>
      </w:r>
      <w:r w:rsidR="00D8149E" w:rsidRPr="00951F7B">
        <w:rPr>
          <w:rFonts w:ascii="Times New Roman" w:hAnsi="Times New Roman" w:cs="Times New Roman"/>
          <w:sz w:val="24"/>
          <w:szCs w:val="24"/>
        </w:rPr>
        <w:t xml:space="preserve"> ¿</w:t>
      </w:r>
      <w:r w:rsidR="0043739E">
        <w:rPr>
          <w:rFonts w:ascii="Times New Roman" w:hAnsi="Times New Roman" w:cs="Times New Roman"/>
          <w:sz w:val="24"/>
          <w:szCs w:val="24"/>
        </w:rPr>
        <w:t>l</w:t>
      </w:r>
      <w:r w:rsidR="00D8149E" w:rsidRPr="00951F7B">
        <w:rPr>
          <w:rFonts w:ascii="Times New Roman" w:hAnsi="Times New Roman" w:cs="Times New Roman"/>
          <w:sz w:val="24"/>
          <w:szCs w:val="24"/>
        </w:rPr>
        <w:t xml:space="preserve">a estructura que caracteriza los </w:t>
      </w:r>
      <w:r w:rsidR="0043739E" w:rsidRPr="00951F7B">
        <w:rPr>
          <w:rFonts w:ascii="Times New Roman" w:hAnsi="Times New Roman" w:cs="Times New Roman"/>
          <w:sz w:val="24"/>
          <w:szCs w:val="24"/>
        </w:rPr>
        <w:t xml:space="preserve">centros universitarios regionales </w:t>
      </w:r>
      <w:r w:rsidR="00D8149E" w:rsidRPr="00951F7B">
        <w:rPr>
          <w:rFonts w:ascii="Times New Roman" w:hAnsi="Times New Roman" w:cs="Times New Roman"/>
          <w:sz w:val="24"/>
          <w:szCs w:val="24"/>
        </w:rPr>
        <w:t xml:space="preserve">(multidisciplinar) mejora la reorientación de los programas de estudio con el enfoque integral y de la sustentabilidad en contraste con el modelo </w:t>
      </w:r>
      <w:r w:rsidR="00B9744D" w:rsidRPr="00951F7B">
        <w:rPr>
          <w:rFonts w:ascii="Times New Roman" w:hAnsi="Times New Roman" w:cs="Times New Roman"/>
          <w:sz w:val="24"/>
          <w:szCs w:val="24"/>
        </w:rPr>
        <w:t xml:space="preserve">napoleónico basado en </w:t>
      </w:r>
      <w:r w:rsidR="00D8149E" w:rsidRPr="00951F7B">
        <w:rPr>
          <w:rFonts w:ascii="Times New Roman" w:hAnsi="Times New Roman" w:cs="Times New Roman"/>
          <w:sz w:val="24"/>
          <w:szCs w:val="24"/>
        </w:rPr>
        <w:t>facultades?</w:t>
      </w:r>
    </w:p>
    <w:p w14:paraId="2FAFCAD2" w14:textId="77777777" w:rsidR="00951F7B" w:rsidRPr="00951F7B" w:rsidRDefault="00951F7B" w:rsidP="00951F7B">
      <w:pPr>
        <w:spacing w:after="0" w:line="360" w:lineRule="auto"/>
        <w:ind w:firstLine="708"/>
        <w:jc w:val="both"/>
        <w:rPr>
          <w:rFonts w:ascii="Times New Roman" w:hAnsi="Times New Roman" w:cs="Times New Roman"/>
          <w:sz w:val="24"/>
          <w:szCs w:val="24"/>
        </w:rPr>
      </w:pPr>
    </w:p>
    <w:p w14:paraId="75692AA3" w14:textId="39B73160" w:rsidR="00226E0C" w:rsidRPr="00951F7B" w:rsidRDefault="00226E0C" w:rsidP="00274328">
      <w:pPr>
        <w:spacing w:after="0" w:line="360" w:lineRule="auto"/>
        <w:jc w:val="center"/>
        <w:rPr>
          <w:rFonts w:ascii="Times New Roman" w:eastAsiaTheme="majorEastAsia" w:hAnsi="Times New Roman" w:cs="Times New Roman"/>
          <w:b/>
          <w:sz w:val="28"/>
          <w:szCs w:val="24"/>
        </w:rPr>
      </w:pPr>
      <w:r w:rsidRPr="00951F7B">
        <w:rPr>
          <w:rFonts w:ascii="Times New Roman" w:eastAsiaTheme="majorEastAsia" w:hAnsi="Times New Roman" w:cs="Times New Roman"/>
          <w:b/>
          <w:sz w:val="28"/>
          <w:szCs w:val="24"/>
        </w:rPr>
        <w:t>El modelo napoleónico</w:t>
      </w:r>
    </w:p>
    <w:p w14:paraId="00BDF5DE" w14:textId="555DDABB" w:rsidR="00226E0C" w:rsidRPr="00951F7B" w:rsidRDefault="00226E0C"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En el siglo XIX, el emperador Napoleón Bonaparte refunda la universidad de Par</w:t>
      </w:r>
      <w:r w:rsidR="0043739E">
        <w:rPr>
          <w:rFonts w:ascii="Times New Roman" w:hAnsi="Times New Roman" w:cs="Times New Roman"/>
          <w:sz w:val="24"/>
          <w:szCs w:val="24"/>
        </w:rPr>
        <w:t>í</w:t>
      </w:r>
      <w:r w:rsidRPr="00951F7B">
        <w:rPr>
          <w:rFonts w:ascii="Times New Roman" w:hAnsi="Times New Roman" w:cs="Times New Roman"/>
          <w:sz w:val="24"/>
          <w:szCs w:val="24"/>
        </w:rPr>
        <w:t>s en el año 1806</w:t>
      </w:r>
      <w:r w:rsidR="00495DE2">
        <w:rPr>
          <w:rFonts w:ascii="Times New Roman" w:hAnsi="Times New Roman" w:cs="Times New Roman"/>
          <w:sz w:val="24"/>
          <w:szCs w:val="24"/>
        </w:rPr>
        <w:t>. Como parte de este proceso</w:t>
      </w:r>
      <w:r w:rsidRPr="00951F7B">
        <w:rPr>
          <w:rFonts w:ascii="Times New Roman" w:hAnsi="Times New Roman" w:cs="Times New Roman"/>
          <w:sz w:val="24"/>
          <w:szCs w:val="24"/>
        </w:rPr>
        <w:t xml:space="preserve"> </w:t>
      </w:r>
      <w:r w:rsidR="00495DE2">
        <w:rPr>
          <w:rFonts w:ascii="Times New Roman" w:hAnsi="Times New Roman" w:cs="Times New Roman"/>
          <w:sz w:val="24"/>
          <w:szCs w:val="24"/>
        </w:rPr>
        <w:t>adoptó</w:t>
      </w:r>
      <w:r w:rsidR="00495DE2"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un nuevo modelo estructural </w:t>
      </w:r>
      <w:r w:rsidR="00495DE2">
        <w:rPr>
          <w:rFonts w:ascii="Times New Roman" w:hAnsi="Times New Roman" w:cs="Times New Roman"/>
          <w:sz w:val="24"/>
          <w:szCs w:val="24"/>
        </w:rPr>
        <w:t xml:space="preserve">y fue </w:t>
      </w:r>
      <w:r w:rsidRPr="00951F7B">
        <w:rPr>
          <w:rFonts w:ascii="Times New Roman" w:hAnsi="Times New Roman" w:cs="Times New Roman"/>
          <w:sz w:val="24"/>
          <w:szCs w:val="24"/>
        </w:rPr>
        <w:t xml:space="preserve">nombrada como la </w:t>
      </w:r>
      <w:r w:rsidRPr="00145D7F">
        <w:rPr>
          <w:rFonts w:ascii="Times New Roman" w:hAnsi="Times New Roman" w:cs="Times New Roman"/>
          <w:i/>
          <w:iCs/>
          <w:sz w:val="24"/>
          <w:szCs w:val="24"/>
        </w:rPr>
        <w:t>Universidad Imperial</w:t>
      </w:r>
      <w:r w:rsidR="002242DB">
        <w:rPr>
          <w:rFonts w:ascii="Times New Roman" w:hAnsi="Times New Roman" w:cs="Times New Roman"/>
          <w:sz w:val="24"/>
          <w:szCs w:val="24"/>
        </w:rPr>
        <w:t xml:space="preserve">. </w:t>
      </w:r>
      <w:r w:rsidR="00D45D00">
        <w:rPr>
          <w:rFonts w:ascii="Times New Roman" w:hAnsi="Times New Roman" w:cs="Times New Roman"/>
          <w:sz w:val="24"/>
          <w:szCs w:val="24"/>
        </w:rPr>
        <w:t>L</w:t>
      </w:r>
      <w:r w:rsidRPr="00951F7B">
        <w:rPr>
          <w:rFonts w:ascii="Times New Roman" w:hAnsi="Times New Roman" w:cs="Times New Roman"/>
          <w:sz w:val="24"/>
          <w:szCs w:val="24"/>
        </w:rPr>
        <w:t>a educación</w:t>
      </w:r>
      <w:r w:rsidR="00BE22A6">
        <w:rPr>
          <w:rFonts w:ascii="Times New Roman" w:hAnsi="Times New Roman" w:cs="Times New Roman"/>
          <w:sz w:val="24"/>
          <w:szCs w:val="24"/>
        </w:rPr>
        <w:t xml:space="preserve"> y la formación de </w:t>
      </w:r>
      <w:r w:rsidR="00BE22A6" w:rsidRPr="00951F7B">
        <w:rPr>
          <w:rFonts w:ascii="Times New Roman" w:hAnsi="Times New Roman" w:cs="Times New Roman"/>
          <w:sz w:val="24"/>
          <w:szCs w:val="24"/>
        </w:rPr>
        <w:t>profesionistas al servicio del Estado</w:t>
      </w:r>
      <w:r w:rsidRPr="00951F7B">
        <w:rPr>
          <w:rFonts w:ascii="Times New Roman" w:hAnsi="Times New Roman" w:cs="Times New Roman"/>
          <w:sz w:val="24"/>
          <w:szCs w:val="24"/>
        </w:rPr>
        <w:t xml:space="preserve"> </w:t>
      </w:r>
      <w:r w:rsidR="00D45D00">
        <w:rPr>
          <w:rFonts w:ascii="Times New Roman" w:hAnsi="Times New Roman" w:cs="Times New Roman"/>
          <w:sz w:val="24"/>
          <w:szCs w:val="24"/>
        </w:rPr>
        <w:t>fue su mantra</w:t>
      </w:r>
      <w:r w:rsidRPr="00951F7B">
        <w:rPr>
          <w:rFonts w:ascii="Times New Roman" w:hAnsi="Times New Roman" w:cs="Times New Roman"/>
          <w:sz w:val="24"/>
          <w:szCs w:val="24"/>
        </w:rPr>
        <w:t xml:space="preserve"> (</w:t>
      </w:r>
      <w:r w:rsidRPr="0031541C">
        <w:rPr>
          <w:rFonts w:ascii="Times New Roman" w:hAnsi="Times New Roman" w:cs="Times New Roman"/>
          <w:sz w:val="24"/>
          <w:szCs w:val="24"/>
        </w:rPr>
        <w:t>Arredondo</w:t>
      </w:r>
      <w:r w:rsidRPr="00951F7B">
        <w:rPr>
          <w:rFonts w:ascii="Times New Roman" w:hAnsi="Times New Roman" w:cs="Times New Roman"/>
          <w:sz w:val="24"/>
          <w:szCs w:val="24"/>
        </w:rPr>
        <w:t>, 2011). De acuerdo con Brunner (2014)</w:t>
      </w:r>
      <w:r w:rsidR="001B09FF">
        <w:rPr>
          <w:rFonts w:ascii="Times New Roman" w:hAnsi="Times New Roman" w:cs="Times New Roman"/>
          <w:sz w:val="24"/>
          <w:szCs w:val="24"/>
        </w:rPr>
        <w:t>,</w:t>
      </w:r>
      <w:r w:rsidRPr="00951F7B">
        <w:rPr>
          <w:rFonts w:ascii="Times New Roman" w:hAnsi="Times New Roman" w:cs="Times New Roman"/>
          <w:sz w:val="24"/>
          <w:szCs w:val="24"/>
        </w:rPr>
        <w:t xml:space="preserve"> </w:t>
      </w:r>
      <w:r w:rsidR="002242DB">
        <w:rPr>
          <w:rFonts w:ascii="Times New Roman" w:hAnsi="Times New Roman" w:cs="Times New Roman"/>
          <w:sz w:val="24"/>
          <w:szCs w:val="24"/>
        </w:rPr>
        <w:t xml:space="preserve">a pesar de que </w:t>
      </w:r>
      <w:r w:rsidRPr="00951F7B">
        <w:rPr>
          <w:rFonts w:ascii="Times New Roman" w:hAnsi="Times New Roman" w:cs="Times New Roman"/>
          <w:sz w:val="24"/>
          <w:szCs w:val="24"/>
        </w:rPr>
        <w:t xml:space="preserve">esta reforma implicó que las antiguas universidades se reestructuraran en facultades aisladas para formar así profesionales especializados para el Estado, se mantuvo una estructura de poder altamente centralizado. </w:t>
      </w:r>
      <w:r w:rsidR="002242DB">
        <w:rPr>
          <w:rFonts w:ascii="Times New Roman" w:hAnsi="Times New Roman" w:cs="Times New Roman"/>
          <w:sz w:val="24"/>
          <w:szCs w:val="24"/>
        </w:rPr>
        <w:t>Para</w:t>
      </w:r>
      <w:r w:rsidRPr="00951F7B">
        <w:rPr>
          <w:rFonts w:ascii="Times New Roman" w:hAnsi="Times New Roman" w:cs="Times New Roman"/>
          <w:sz w:val="24"/>
          <w:szCs w:val="24"/>
        </w:rPr>
        <w:t xml:space="preserve"> Rendón (2019)</w:t>
      </w:r>
      <w:r w:rsidR="002242DB">
        <w:rPr>
          <w:rFonts w:ascii="Times New Roman" w:hAnsi="Times New Roman" w:cs="Times New Roman"/>
          <w:sz w:val="24"/>
          <w:szCs w:val="24"/>
        </w:rPr>
        <w:t>,</w:t>
      </w:r>
      <w:r w:rsidRPr="00951F7B">
        <w:rPr>
          <w:rFonts w:ascii="Times New Roman" w:hAnsi="Times New Roman" w:cs="Times New Roman"/>
          <w:sz w:val="24"/>
          <w:szCs w:val="24"/>
        </w:rPr>
        <w:t xml:space="preserve"> este modelo de universidad no tuvo como fin fundamental “el cultivo de la ciencia ni la formación integral del hombre, sino la enseñanza de un oficio” (p.370).</w:t>
      </w:r>
    </w:p>
    <w:p w14:paraId="6489DEE1" w14:textId="016F02B7" w:rsidR="00226E0C" w:rsidRDefault="00226E0C"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En el contexto latinoamericano, gran parte de las universidades públicas del Estado mantienen rasgos de este modelo</w:t>
      </w:r>
      <w:r w:rsidR="00631D21">
        <w:rPr>
          <w:rFonts w:ascii="Times New Roman" w:hAnsi="Times New Roman" w:cs="Times New Roman"/>
          <w:sz w:val="24"/>
          <w:szCs w:val="24"/>
        </w:rPr>
        <w:t>,</w:t>
      </w:r>
      <w:r w:rsidRPr="00951F7B">
        <w:rPr>
          <w:rFonts w:ascii="Times New Roman" w:hAnsi="Times New Roman" w:cs="Times New Roman"/>
          <w:sz w:val="24"/>
          <w:szCs w:val="24"/>
        </w:rPr>
        <w:t xml:space="preserve"> </w:t>
      </w:r>
      <w:r w:rsidR="003D5692" w:rsidRPr="00951F7B">
        <w:rPr>
          <w:rFonts w:ascii="Times New Roman" w:hAnsi="Times New Roman" w:cs="Times New Roman"/>
          <w:sz w:val="24"/>
          <w:szCs w:val="24"/>
        </w:rPr>
        <w:t xml:space="preserve">el cual se caracteriza por contar con un rector o decano en cada facultad, y el núcleo de profesores encargado de actualizar los contenidos de un programa de estudio o curso se encuentra agrupado en silos llamados </w:t>
      </w:r>
      <w:r w:rsidR="003D5692" w:rsidRPr="00145D7F">
        <w:rPr>
          <w:rFonts w:ascii="Times New Roman" w:hAnsi="Times New Roman" w:cs="Times New Roman"/>
          <w:i/>
          <w:iCs/>
          <w:sz w:val="24"/>
          <w:szCs w:val="24"/>
        </w:rPr>
        <w:t>academias</w:t>
      </w:r>
      <w:r w:rsidR="003D5692" w:rsidRPr="00951F7B">
        <w:rPr>
          <w:rFonts w:ascii="Times New Roman" w:hAnsi="Times New Roman" w:cs="Times New Roman"/>
          <w:sz w:val="24"/>
          <w:szCs w:val="24"/>
        </w:rPr>
        <w:t>. Otra característica heredada de este modelo fueron la</w:t>
      </w:r>
      <w:r w:rsidR="00671474">
        <w:rPr>
          <w:rFonts w:ascii="Times New Roman" w:hAnsi="Times New Roman" w:cs="Times New Roman"/>
          <w:sz w:val="24"/>
          <w:szCs w:val="24"/>
        </w:rPr>
        <w:t>s</w:t>
      </w:r>
      <w:r w:rsidR="003D5692" w:rsidRPr="00951F7B">
        <w:rPr>
          <w:rFonts w:ascii="Times New Roman" w:hAnsi="Times New Roman" w:cs="Times New Roman"/>
          <w:sz w:val="24"/>
          <w:szCs w:val="24"/>
        </w:rPr>
        <w:t xml:space="preserve"> cátedras y seminarios.</w:t>
      </w:r>
    </w:p>
    <w:p w14:paraId="77BC4A87" w14:textId="77777777" w:rsidR="00522FCC" w:rsidRPr="00951F7B" w:rsidRDefault="00522FCC" w:rsidP="00951F7B">
      <w:pPr>
        <w:spacing w:after="0" w:line="360" w:lineRule="auto"/>
        <w:ind w:firstLine="709"/>
        <w:jc w:val="both"/>
        <w:rPr>
          <w:rFonts w:ascii="Times New Roman" w:hAnsi="Times New Roman" w:cs="Times New Roman"/>
          <w:sz w:val="24"/>
          <w:szCs w:val="24"/>
        </w:rPr>
      </w:pPr>
    </w:p>
    <w:p w14:paraId="33B58070" w14:textId="4385C2D6" w:rsidR="000C178B" w:rsidRPr="00951F7B" w:rsidRDefault="000C178B" w:rsidP="00274328">
      <w:pPr>
        <w:spacing w:after="0" w:line="360" w:lineRule="auto"/>
        <w:jc w:val="center"/>
        <w:rPr>
          <w:rFonts w:ascii="Times New Roman" w:eastAsiaTheme="majorEastAsia" w:hAnsi="Times New Roman" w:cs="Times New Roman"/>
          <w:b/>
          <w:sz w:val="28"/>
          <w:szCs w:val="24"/>
        </w:rPr>
      </w:pPr>
      <w:r w:rsidRPr="00951F7B">
        <w:rPr>
          <w:rFonts w:ascii="Times New Roman" w:eastAsiaTheme="majorEastAsia" w:hAnsi="Times New Roman" w:cs="Times New Roman"/>
          <w:b/>
          <w:sz w:val="28"/>
          <w:szCs w:val="24"/>
        </w:rPr>
        <w:t>El modelo norteamericano</w:t>
      </w:r>
    </w:p>
    <w:p w14:paraId="3CD005D4" w14:textId="0FC0DDF1" w:rsidR="00D555C5" w:rsidRDefault="00D555C5"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De acuerdo con Arredondo (2011)</w:t>
      </w:r>
      <w:r w:rsidR="00951F7B">
        <w:rPr>
          <w:rFonts w:ascii="Times New Roman" w:hAnsi="Times New Roman" w:cs="Times New Roman"/>
          <w:sz w:val="24"/>
          <w:szCs w:val="24"/>
        </w:rPr>
        <w:t>,</w:t>
      </w:r>
      <w:r w:rsidRPr="00951F7B">
        <w:rPr>
          <w:rFonts w:ascii="Times New Roman" w:hAnsi="Times New Roman" w:cs="Times New Roman"/>
          <w:sz w:val="24"/>
          <w:szCs w:val="24"/>
        </w:rPr>
        <w:t xml:space="preserve"> este modelo fue influenciado principalmente por las Universidades de Pensilvania, Virginia</w:t>
      </w:r>
      <w:r w:rsidR="00A45C0E" w:rsidRPr="00951F7B">
        <w:rPr>
          <w:rFonts w:ascii="Times New Roman" w:hAnsi="Times New Roman" w:cs="Times New Roman"/>
          <w:sz w:val="24"/>
          <w:szCs w:val="24"/>
        </w:rPr>
        <w:t xml:space="preserve">, </w:t>
      </w:r>
      <w:r w:rsidRPr="00951F7B">
        <w:rPr>
          <w:rFonts w:ascii="Times New Roman" w:hAnsi="Times New Roman" w:cs="Times New Roman"/>
          <w:sz w:val="24"/>
          <w:szCs w:val="24"/>
        </w:rPr>
        <w:t>Harvard</w:t>
      </w:r>
      <w:r w:rsidR="00A45C0E" w:rsidRPr="00951F7B">
        <w:rPr>
          <w:rFonts w:ascii="Times New Roman" w:hAnsi="Times New Roman" w:cs="Times New Roman"/>
          <w:sz w:val="24"/>
          <w:szCs w:val="24"/>
        </w:rPr>
        <w:t xml:space="preserve"> y otros como Oxford y Cambridge</w:t>
      </w:r>
      <w:r w:rsidRPr="00951F7B">
        <w:rPr>
          <w:rFonts w:ascii="Times New Roman" w:hAnsi="Times New Roman" w:cs="Times New Roman"/>
          <w:sz w:val="24"/>
          <w:szCs w:val="24"/>
        </w:rPr>
        <w:t xml:space="preserve">. Al respecto, señala que sus principales rasgos </w:t>
      </w:r>
      <w:r w:rsidR="00A45C0E" w:rsidRPr="00951F7B">
        <w:rPr>
          <w:rFonts w:ascii="Times New Roman" w:hAnsi="Times New Roman" w:cs="Times New Roman"/>
          <w:sz w:val="24"/>
          <w:szCs w:val="24"/>
        </w:rPr>
        <w:t>s</w:t>
      </w:r>
      <w:r w:rsidRPr="00951F7B">
        <w:rPr>
          <w:rFonts w:ascii="Times New Roman" w:hAnsi="Times New Roman" w:cs="Times New Roman"/>
          <w:sz w:val="24"/>
          <w:szCs w:val="24"/>
        </w:rPr>
        <w:t xml:space="preserve">on, entre otras, el contar con una estructura departamentalizada, la adopción de un sistema de cursos electivo flexible y semiflexible y el sistema de créditos. </w:t>
      </w:r>
      <w:r w:rsidR="00E931A6">
        <w:rPr>
          <w:rFonts w:ascii="Times New Roman" w:hAnsi="Times New Roman" w:cs="Times New Roman"/>
          <w:sz w:val="24"/>
          <w:szCs w:val="24"/>
        </w:rPr>
        <w:t>Puesto en tales términos</w:t>
      </w:r>
      <w:r w:rsidRPr="00951F7B">
        <w:rPr>
          <w:rFonts w:ascii="Times New Roman" w:hAnsi="Times New Roman" w:cs="Times New Roman"/>
          <w:sz w:val="24"/>
          <w:szCs w:val="24"/>
        </w:rPr>
        <w:t>, los departamentos son instancias académico-administrativas en l</w:t>
      </w:r>
      <w:r w:rsidR="00E931A6">
        <w:rPr>
          <w:rFonts w:ascii="Times New Roman" w:hAnsi="Times New Roman" w:cs="Times New Roman"/>
          <w:sz w:val="24"/>
          <w:szCs w:val="24"/>
        </w:rPr>
        <w:t>a</w:t>
      </w:r>
      <w:r w:rsidRPr="00951F7B">
        <w:rPr>
          <w:rFonts w:ascii="Times New Roman" w:hAnsi="Times New Roman" w:cs="Times New Roman"/>
          <w:sz w:val="24"/>
          <w:szCs w:val="24"/>
        </w:rPr>
        <w:t>s cuales se desarrolla la organización de la educación superior.</w:t>
      </w:r>
    </w:p>
    <w:p w14:paraId="750F13F4" w14:textId="77777777" w:rsidR="00125B15" w:rsidRPr="00951F7B" w:rsidRDefault="00125B15" w:rsidP="00951F7B">
      <w:pPr>
        <w:spacing w:after="0" w:line="360" w:lineRule="auto"/>
        <w:ind w:firstLine="709"/>
        <w:jc w:val="both"/>
        <w:rPr>
          <w:rFonts w:ascii="Times New Roman" w:hAnsi="Times New Roman" w:cs="Times New Roman"/>
          <w:sz w:val="24"/>
          <w:szCs w:val="24"/>
        </w:rPr>
      </w:pPr>
    </w:p>
    <w:p w14:paraId="6541581E" w14:textId="33C06D36" w:rsidR="00A45C0E" w:rsidRDefault="00A45C0E"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lastRenderedPageBreak/>
        <w:t xml:space="preserve">Tanto </w:t>
      </w:r>
      <w:r w:rsidR="00517B50" w:rsidRPr="00951F7B">
        <w:rPr>
          <w:rFonts w:ascii="Times New Roman" w:hAnsi="Times New Roman" w:cs="Times New Roman"/>
          <w:sz w:val="24"/>
          <w:szCs w:val="24"/>
        </w:rPr>
        <w:t>el</w:t>
      </w:r>
      <w:r w:rsidR="00C42C15" w:rsidRPr="00951F7B">
        <w:rPr>
          <w:rFonts w:ascii="Times New Roman" w:hAnsi="Times New Roman" w:cs="Times New Roman"/>
          <w:sz w:val="24"/>
          <w:szCs w:val="24"/>
        </w:rPr>
        <w:t xml:space="preserve"> modelo </w:t>
      </w:r>
      <w:r w:rsidRPr="00951F7B">
        <w:rPr>
          <w:rFonts w:ascii="Times New Roman" w:hAnsi="Times New Roman" w:cs="Times New Roman"/>
          <w:sz w:val="24"/>
          <w:szCs w:val="24"/>
        </w:rPr>
        <w:t xml:space="preserve">napoleónico como el </w:t>
      </w:r>
      <w:proofErr w:type="spellStart"/>
      <w:r w:rsidR="00671474">
        <w:rPr>
          <w:rFonts w:ascii="Times New Roman" w:hAnsi="Times New Roman" w:cs="Times New Roman"/>
          <w:sz w:val="24"/>
          <w:szCs w:val="24"/>
        </w:rPr>
        <w:t>h</w:t>
      </w:r>
      <w:r w:rsidR="00671474" w:rsidRPr="00671474">
        <w:rPr>
          <w:rFonts w:ascii="Times New Roman" w:hAnsi="Times New Roman" w:cs="Times New Roman"/>
          <w:sz w:val="24"/>
          <w:szCs w:val="24"/>
        </w:rPr>
        <w:t>umboldtiano</w:t>
      </w:r>
      <w:proofErr w:type="spellEnd"/>
      <w:r w:rsidR="00671474" w:rsidRPr="00671474" w:rsidDel="00671474">
        <w:rPr>
          <w:rFonts w:ascii="Times New Roman" w:hAnsi="Times New Roman" w:cs="Times New Roman"/>
          <w:sz w:val="24"/>
          <w:szCs w:val="24"/>
        </w:rPr>
        <w:t xml:space="preserve"> </w:t>
      </w:r>
      <w:r w:rsidRPr="00951F7B">
        <w:rPr>
          <w:rFonts w:ascii="Times New Roman" w:hAnsi="Times New Roman" w:cs="Times New Roman"/>
          <w:sz w:val="24"/>
          <w:szCs w:val="24"/>
        </w:rPr>
        <w:t xml:space="preserve">y el norteamericano han sido </w:t>
      </w:r>
      <w:r w:rsidR="00C42C15" w:rsidRPr="00951F7B">
        <w:rPr>
          <w:rFonts w:ascii="Times New Roman" w:hAnsi="Times New Roman" w:cs="Times New Roman"/>
          <w:sz w:val="24"/>
          <w:szCs w:val="24"/>
        </w:rPr>
        <w:t>objeto</w:t>
      </w:r>
      <w:r w:rsidRPr="00951F7B">
        <w:rPr>
          <w:rFonts w:ascii="Times New Roman" w:hAnsi="Times New Roman" w:cs="Times New Roman"/>
          <w:sz w:val="24"/>
          <w:szCs w:val="24"/>
        </w:rPr>
        <w:t xml:space="preserve"> de inspiración </w:t>
      </w:r>
      <w:r w:rsidR="00FF0EFC" w:rsidRPr="00951F7B">
        <w:rPr>
          <w:rFonts w:ascii="Times New Roman" w:hAnsi="Times New Roman" w:cs="Times New Roman"/>
          <w:sz w:val="24"/>
          <w:szCs w:val="24"/>
        </w:rPr>
        <w:t>en</w:t>
      </w:r>
      <w:r w:rsidRPr="00951F7B">
        <w:rPr>
          <w:rFonts w:ascii="Times New Roman" w:hAnsi="Times New Roman" w:cs="Times New Roman"/>
          <w:sz w:val="24"/>
          <w:szCs w:val="24"/>
        </w:rPr>
        <w:t xml:space="preserve"> </w:t>
      </w:r>
      <w:r w:rsidR="00FF0EFC" w:rsidRPr="00951F7B">
        <w:rPr>
          <w:rFonts w:ascii="Times New Roman" w:hAnsi="Times New Roman" w:cs="Times New Roman"/>
          <w:sz w:val="24"/>
          <w:szCs w:val="24"/>
        </w:rPr>
        <w:t xml:space="preserve">el desarrollo de las funciones sustantivas de </w:t>
      </w:r>
      <w:r w:rsidRPr="00951F7B">
        <w:rPr>
          <w:rFonts w:ascii="Times New Roman" w:hAnsi="Times New Roman" w:cs="Times New Roman"/>
          <w:sz w:val="24"/>
          <w:szCs w:val="24"/>
        </w:rPr>
        <w:t>las u</w:t>
      </w:r>
      <w:r w:rsidR="00C42C15" w:rsidRPr="00951F7B">
        <w:rPr>
          <w:rFonts w:ascii="Times New Roman" w:hAnsi="Times New Roman" w:cs="Times New Roman"/>
          <w:sz w:val="24"/>
          <w:szCs w:val="24"/>
        </w:rPr>
        <w:t>niversidades públicas mexicanas</w:t>
      </w:r>
      <w:r w:rsidR="00C8491A">
        <w:rPr>
          <w:rFonts w:ascii="Times New Roman" w:hAnsi="Times New Roman" w:cs="Times New Roman"/>
          <w:sz w:val="24"/>
          <w:szCs w:val="24"/>
        </w:rPr>
        <w:t>.</w:t>
      </w:r>
      <w:r w:rsidR="00C8491A" w:rsidRPr="00951F7B">
        <w:rPr>
          <w:rFonts w:ascii="Times New Roman" w:hAnsi="Times New Roman" w:cs="Times New Roman"/>
          <w:sz w:val="24"/>
          <w:szCs w:val="24"/>
        </w:rPr>
        <w:t xml:space="preserve"> </w:t>
      </w:r>
      <w:r w:rsidR="00C8491A">
        <w:rPr>
          <w:rFonts w:ascii="Times New Roman" w:hAnsi="Times New Roman" w:cs="Times New Roman"/>
          <w:sz w:val="24"/>
          <w:szCs w:val="24"/>
        </w:rPr>
        <w:t>D</w:t>
      </w:r>
      <w:r w:rsidR="00C8491A" w:rsidRPr="00951F7B">
        <w:rPr>
          <w:rFonts w:ascii="Times New Roman" w:hAnsi="Times New Roman" w:cs="Times New Roman"/>
          <w:sz w:val="24"/>
          <w:szCs w:val="24"/>
        </w:rPr>
        <w:t xml:space="preserve">el </w:t>
      </w:r>
      <w:r w:rsidRPr="00951F7B">
        <w:rPr>
          <w:rFonts w:ascii="Times New Roman" w:hAnsi="Times New Roman" w:cs="Times New Roman"/>
          <w:sz w:val="24"/>
          <w:szCs w:val="24"/>
        </w:rPr>
        <w:t xml:space="preserve">primero surgieron las </w:t>
      </w:r>
      <w:r w:rsidR="00C42C15" w:rsidRPr="00951F7B">
        <w:rPr>
          <w:rFonts w:ascii="Times New Roman" w:hAnsi="Times New Roman" w:cs="Times New Roman"/>
          <w:i/>
          <w:sz w:val="24"/>
          <w:szCs w:val="24"/>
        </w:rPr>
        <w:t>e</w:t>
      </w:r>
      <w:r w:rsidRPr="00951F7B">
        <w:rPr>
          <w:rFonts w:ascii="Times New Roman" w:hAnsi="Times New Roman" w:cs="Times New Roman"/>
          <w:i/>
          <w:sz w:val="24"/>
          <w:szCs w:val="24"/>
        </w:rPr>
        <w:t>scuelas</w:t>
      </w:r>
      <w:r w:rsidR="00C42C15" w:rsidRPr="00951F7B">
        <w:rPr>
          <w:rFonts w:ascii="Times New Roman" w:hAnsi="Times New Roman" w:cs="Times New Roman"/>
          <w:sz w:val="24"/>
          <w:szCs w:val="24"/>
        </w:rPr>
        <w:t xml:space="preserve"> o facultades acotadas</w:t>
      </w:r>
      <w:r w:rsidRPr="00951F7B">
        <w:rPr>
          <w:rFonts w:ascii="Times New Roman" w:hAnsi="Times New Roman" w:cs="Times New Roman"/>
          <w:sz w:val="24"/>
          <w:szCs w:val="24"/>
        </w:rPr>
        <w:t xml:space="preserve"> a un campo del conocimiento en específico</w:t>
      </w:r>
      <w:r w:rsidR="00C8491A">
        <w:rPr>
          <w:rFonts w:ascii="Times New Roman" w:hAnsi="Times New Roman" w:cs="Times New Roman"/>
          <w:sz w:val="24"/>
          <w:szCs w:val="24"/>
        </w:rPr>
        <w:t>;</w:t>
      </w:r>
      <w:r w:rsidR="00C8491A" w:rsidRPr="00951F7B">
        <w:rPr>
          <w:rFonts w:ascii="Times New Roman" w:hAnsi="Times New Roman" w:cs="Times New Roman"/>
          <w:sz w:val="24"/>
          <w:szCs w:val="24"/>
        </w:rPr>
        <w:t xml:space="preserve"> </w:t>
      </w:r>
      <w:r w:rsidR="00C42C15" w:rsidRPr="00951F7B">
        <w:rPr>
          <w:rFonts w:ascii="Times New Roman" w:hAnsi="Times New Roman" w:cs="Times New Roman"/>
          <w:sz w:val="24"/>
          <w:szCs w:val="24"/>
        </w:rPr>
        <w:t>d</w:t>
      </w:r>
      <w:r w:rsidRPr="00951F7B">
        <w:rPr>
          <w:rFonts w:ascii="Times New Roman" w:hAnsi="Times New Roman" w:cs="Times New Roman"/>
          <w:sz w:val="24"/>
          <w:szCs w:val="24"/>
        </w:rPr>
        <w:t xml:space="preserve">el segundo se heredó la relación docencia-investigación como un eje principal en la formación superior. </w:t>
      </w:r>
      <w:r w:rsidR="00C42C15" w:rsidRPr="00951F7B">
        <w:rPr>
          <w:rFonts w:ascii="Times New Roman" w:hAnsi="Times New Roman" w:cs="Times New Roman"/>
          <w:sz w:val="24"/>
          <w:szCs w:val="24"/>
        </w:rPr>
        <w:t xml:space="preserve">Sin embargo, desde la perspectiva del campo de estudio de la gestión, la estructura forma parte del lente de análisis para entender el funcionamiento de las organizaciones, </w:t>
      </w:r>
      <w:r w:rsidR="00DB2C9C">
        <w:rPr>
          <w:rFonts w:ascii="Times New Roman" w:hAnsi="Times New Roman" w:cs="Times New Roman"/>
          <w:sz w:val="24"/>
          <w:szCs w:val="24"/>
        </w:rPr>
        <w:t xml:space="preserve">y </w:t>
      </w:r>
      <w:r w:rsidR="00C8491A">
        <w:rPr>
          <w:rFonts w:ascii="Times New Roman" w:hAnsi="Times New Roman" w:cs="Times New Roman"/>
          <w:sz w:val="24"/>
          <w:szCs w:val="24"/>
        </w:rPr>
        <w:t>en este caso</w:t>
      </w:r>
      <w:r w:rsidR="00DB2C9C">
        <w:rPr>
          <w:rFonts w:ascii="Times New Roman" w:hAnsi="Times New Roman" w:cs="Times New Roman"/>
          <w:sz w:val="24"/>
          <w:szCs w:val="24"/>
        </w:rPr>
        <w:t xml:space="preserve"> </w:t>
      </w:r>
      <w:r w:rsidR="00C42C15" w:rsidRPr="00951F7B">
        <w:rPr>
          <w:rFonts w:ascii="Times New Roman" w:hAnsi="Times New Roman" w:cs="Times New Roman"/>
          <w:sz w:val="24"/>
          <w:szCs w:val="24"/>
        </w:rPr>
        <w:t>el de las universidades públicas.</w:t>
      </w:r>
    </w:p>
    <w:p w14:paraId="4A27B4A1" w14:textId="77777777" w:rsidR="00951F7B" w:rsidRPr="00951F7B" w:rsidRDefault="00951F7B" w:rsidP="00951F7B">
      <w:pPr>
        <w:spacing w:after="0" w:line="360" w:lineRule="auto"/>
        <w:ind w:firstLine="709"/>
        <w:jc w:val="both"/>
        <w:rPr>
          <w:rFonts w:ascii="Times New Roman" w:hAnsi="Times New Roman" w:cs="Times New Roman"/>
          <w:sz w:val="24"/>
          <w:szCs w:val="24"/>
        </w:rPr>
      </w:pPr>
    </w:p>
    <w:p w14:paraId="6AC33C51" w14:textId="3A28BE0A" w:rsidR="00B46E93" w:rsidRPr="00951F7B" w:rsidRDefault="006D302F" w:rsidP="00274328">
      <w:pPr>
        <w:spacing w:after="0" w:line="360" w:lineRule="auto"/>
        <w:jc w:val="center"/>
        <w:rPr>
          <w:rFonts w:ascii="Times New Roman" w:hAnsi="Times New Roman" w:cs="Times New Roman"/>
          <w:sz w:val="24"/>
          <w:szCs w:val="24"/>
        </w:rPr>
      </w:pPr>
      <w:r w:rsidRPr="00951F7B">
        <w:rPr>
          <w:rFonts w:ascii="Times New Roman" w:eastAsiaTheme="majorEastAsia" w:hAnsi="Times New Roman" w:cs="Times New Roman"/>
          <w:b/>
          <w:sz w:val="28"/>
          <w:szCs w:val="24"/>
        </w:rPr>
        <w:t xml:space="preserve">La estructuración de las </w:t>
      </w:r>
      <w:r w:rsidR="00E36167" w:rsidRPr="00951F7B">
        <w:rPr>
          <w:rFonts w:ascii="Times New Roman" w:eastAsiaTheme="majorEastAsia" w:hAnsi="Times New Roman" w:cs="Times New Roman"/>
          <w:b/>
          <w:sz w:val="28"/>
          <w:szCs w:val="24"/>
        </w:rPr>
        <w:t>u</w:t>
      </w:r>
      <w:r w:rsidR="00A97416" w:rsidRPr="00951F7B">
        <w:rPr>
          <w:rFonts w:ascii="Times New Roman" w:eastAsiaTheme="majorEastAsia" w:hAnsi="Times New Roman" w:cs="Times New Roman"/>
          <w:b/>
          <w:sz w:val="28"/>
          <w:szCs w:val="24"/>
        </w:rPr>
        <w:t xml:space="preserve">niversidades </w:t>
      </w:r>
      <w:r w:rsidR="00E36167" w:rsidRPr="00951F7B">
        <w:rPr>
          <w:rFonts w:ascii="Times New Roman" w:eastAsiaTheme="majorEastAsia" w:hAnsi="Times New Roman" w:cs="Times New Roman"/>
          <w:b/>
          <w:sz w:val="28"/>
          <w:szCs w:val="24"/>
        </w:rPr>
        <w:t>p</w:t>
      </w:r>
      <w:r w:rsidR="00A97416" w:rsidRPr="00951F7B">
        <w:rPr>
          <w:rFonts w:ascii="Times New Roman" w:eastAsiaTheme="majorEastAsia" w:hAnsi="Times New Roman" w:cs="Times New Roman"/>
          <w:b/>
          <w:sz w:val="28"/>
          <w:szCs w:val="24"/>
        </w:rPr>
        <w:t>úblicas en México</w:t>
      </w:r>
    </w:p>
    <w:p w14:paraId="5EEDE6EF" w14:textId="483C3E45" w:rsidR="008A6773" w:rsidRPr="00951F7B" w:rsidRDefault="008A6773"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El estudio de las </w:t>
      </w:r>
      <w:r w:rsidR="009E2495" w:rsidRPr="00951F7B">
        <w:rPr>
          <w:rFonts w:ascii="Times New Roman" w:hAnsi="Times New Roman" w:cs="Times New Roman"/>
          <w:sz w:val="24"/>
          <w:szCs w:val="24"/>
        </w:rPr>
        <w:t>instituciones de educación superior</w:t>
      </w:r>
      <w:r w:rsidRPr="00951F7B">
        <w:rPr>
          <w:rFonts w:ascii="Times New Roman" w:hAnsi="Times New Roman" w:cs="Times New Roman"/>
          <w:sz w:val="24"/>
          <w:szCs w:val="24"/>
        </w:rPr>
        <w:t xml:space="preserve"> ha cobrado relevancia desde mediados del </w:t>
      </w:r>
      <w:r w:rsidR="008B6C69">
        <w:rPr>
          <w:rFonts w:ascii="Times New Roman" w:hAnsi="Times New Roman" w:cs="Times New Roman"/>
          <w:sz w:val="24"/>
          <w:szCs w:val="24"/>
        </w:rPr>
        <w:t>s</w:t>
      </w:r>
      <w:r w:rsidRPr="00951F7B">
        <w:rPr>
          <w:rFonts w:ascii="Times New Roman" w:hAnsi="Times New Roman" w:cs="Times New Roman"/>
          <w:sz w:val="24"/>
          <w:szCs w:val="24"/>
        </w:rPr>
        <w:t>iglo XX. El interés que surge por explicar la forma en que su misión y su objetivo general son alcanzados resulta de mayor interés desde que se reconoció el papel importante que juega en la formación de profesionales acorde a las demandas actuales y particularmente del desarrollo sostenible.</w:t>
      </w:r>
    </w:p>
    <w:p w14:paraId="67C15429" w14:textId="74904868" w:rsidR="008A6773" w:rsidRPr="00951F7B" w:rsidRDefault="008E74B2"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La forma en que las </w:t>
      </w:r>
      <w:r w:rsidR="009E2495">
        <w:rPr>
          <w:rFonts w:ascii="Times New Roman" w:hAnsi="Times New Roman" w:cs="Times New Roman"/>
          <w:sz w:val="24"/>
          <w:szCs w:val="24"/>
        </w:rPr>
        <w:t>u</w:t>
      </w:r>
      <w:r w:rsidRPr="00951F7B">
        <w:rPr>
          <w:rFonts w:ascii="Times New Roman" w:hAnsi="Times New Roman" w:cs="Times New Roman"/>
          <w:sz w:val="24"/>
          <w:szCs w:val="24"/>
        </w:rPr>
        <w:t xml:space="preserve">niversidades públicas institucionalizan su compromiso con la educación para el desarrollo sustentable y la educación ambiental es objeto de estudio y análisis para explicar y predecir la forma en que este objetivo es o no alcanzado. Para ello, pueden ser empleados </w:t>
      </w:r>
      <w:r w:rsidR="00E36167" w:rsidRPr="00951F7B">
        <w:rPr>
          <w:rFonts w:ascii="Times New Roman" w:hAnsi="Times New Roman" w:cs="Times New Roman"/>
          <w:sz w:val="24"/>
          <w:szCs w:val="24"/>
        </w:rPr>
        <w:t>distintos enfoques de estudio</w:t>
      </w:r>
      <w:r w:rsidR="00962FF6">
        <w:rPr>
          <w:rFonts w:ascii="Times New Roman" w:hAnsi="Times New Roman" w:cs="Times New Roman"/>
          <w:sz w:val="24"/>
          <w:szCs w:val="24"/>
        </w:rPr>
        <w:t>, por ejemplo, la</w:t>
      </w:r>
      <w:r w:rsidR="00E36167" w:rsidRPr="00951F7B">
        <w:rPr>
          <w:rFonts w:ascii="Times New Roman" w:hAnsi="Times New Roman" w:cs="Times New Roman"/>
          <w:sz w:val="24"/>
          <w:szCs w:val="24"/>
        </w:rPr>
        <w:t xml:space="preserve"> estructura, </w:t>
      </w:r>
      <w:r w:rsidR="00962FF6">
        <w:rPr>
          <w:rFonts w:ascii="Times New Roman" w:hAnsi="Times New Roman" w:cs="Times New Roman"/>
          <w:sz w:val="24"/>
          <w:szCs w:val="24"/>
        </w:rPr>
        <w:t xml:space="preserve">la </w:t>
      </w:r>
      <w:r w:rsidR="00E36167" w:rsidRPr="00951F7B">
        <w:rPr>
          <w:rFonts w:ascii="Times New Roman" w:hAnsi="Times New Roman" w:cs="Times New Roman"/>
          <w:sz w:val="24"/>
          <w:szCs w:val="24"/>
        </w:rPr>
        <w:t>cultura y el comportamiento de sus actores.</w:t>
      </w:r>
      <w:r w:rsidRPr="00951F7B">
        <w:rPr>
          <w:rFonts w:ascii="Times New Roman" w:hAnsi="Times New Roman" w:cs="Times New Roman"/>
          <w:sz w:val="24"/>
          <w:szCs w:val="24"/>
        </w:rPr>
        <w:t xml:space="preserve"> </w:t>
      </w:r>
      <w:r w:rsidR="00962FF6">
        <w:rPr>
          <w:rFonts w:ascii="Times New Roman" w:hAnsi="Times New Roman" w:cs="Times New Roman"/>
          <w:sz w:val="24"/>
          <w:szCs w:val="24"/>
        </w:rPr>
        <w:t>D</w:t>
      </w:r>
      <w:r w:rsidRPr="00951F7B">
        <w:rPr>
          <w:rFonts w:ascii="Times New Roman" w:hAnsi="Times New Roman" w:cs="Times New Roman"/>
          <w:sz w:val="24"/>
          <w:szCs w:val="24"/>
        </w:rPr>
        <w:t xml:space="preserve">esde </w:t>
      </w:r>
      <w:r w:rsidR="00E36167" w:rsidRPr="00951F7B">
        <w:rPr>
          <w:rFonts w:ascii="Times New Roman" w:hAnsi="Times New Roman" w:cs="Times New Roman"/>
          <w:sz w:val="24"/>
          <w:szCs w:val="24"/>
        </w:rPr>
        <w:t>el campo de la gestión</w:t>
      </w:r>
      <w:r w:rsidR="00962FF6">
        <w:rPr>
          <w:rFonts w:ascii="Times New Roman" w:hAnsi="Times New Roman" w:cs="Times New Roman"/>
          <w:sz w:val="24"/>
          <w:szCs w:val="24"/>
        </w:rPr>
        <w:t>,</w:t>
      </w:r>
      <w:r w:rsidR="00E36167" w:rsidRPr="00951F7B">
        <w:rPr>
          <w:rFonts w:ascii="Times New Roman" w:hAnsi="Times New Roman" w:cs="Times New Roman"/>
          <w:sz w:val="24"/>
          <w:szCs w:val="24"/>
        </w:rPr>
        <w:t xml:space="preserve"> es posible analizar las implicaciones estructurales requeridas por las universidades para orientar un proceso de cambio efectivo en la incorporación de la </w:t>
      </w:r>
      <w:r w:rsidR="005648DD">
        <w:rPr>
          <w:rFonts w:ascii="Times New Roman" w:hAnsi="Times New Roman" w:cs="Times New Roman"/>
          <w:sz w:val="24"/>
          <w:szCs w:val="24"/>
        </w:rPr>
        <w:t>educación para el desarrollo sostenible</w:t>
      </w:r>
      <w:r w:rsidR="00E36167" w:rsidRPr="00951F7B">
        <w:rPr>
          <w:rFonts w:ascii="Times New Roman" w:hAnsi="Times New Roman" w:cs="Times New Roman"/>
          <w:sz w:val="24"/>
          <w:szCs w:val="24"/>
        </w:rPr>
        <w:t xml:space="preserve"> en el currícul</w:t>
      </w:r>
      <w:r w:rsidR="00C96D34">
        <w:rPr>
          <w:rFonts w:ascii="Times New Roman" w:hAnsi="Times New Roman" w:cs="Times New Roman"/>
          <w:sz w:val="24"/>
          <w:szCs w:val="24"/>
        </w:rPr>
        <w:t>o</w:t>
      </w:r>
      <w:r w:rsidR="00E36167" w:rsidRPr="00951F7B">
        <w:rPr>
          <w:rFonts w:ascii="Times New Roman" w:hAnsi="Times New Roman" w:cs="Times New Roman"/>
          <w:sz w:val="24"/>
          <w:szCs w:val="24"/>
        </w:rPr>
        <w:t xml:space="preserve"> universitario.</w:t>
      </w:r>
    </w:p>
    <w:p w14:paraId="7EC693F7" w14:textId="7291227D" w:rsidR="00B46E93" w:rsidRPr="00951F7B" w:rsidRDefault="00B46E93"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Mintzberg </w:t>
      </w:r>
      <w:r w:rsidR="008F5287" w:rsidRPr="00951F7B">
        <w:rPr>
          <w:rFonts w:ascii="Times New Roman" w:hAnsi="Times New Roman" w:cs="Times New Roman"/>
          <w:sz w:val="24"/>
          <w:szCs w:val="24"/>
        </w:rPr>
        <w:t>(2012)</w:t>
      </w:r>
      <w:r w:rsidR="00C96D34">
        <w:rPr>
          <w:rFonts w:ascii="Times New Roman" w:hAnsi="Times New Roman" w:cs="Times New Roman"/>
          <w:sz w:val="24"/>
          <w:szCs w:val="24"/>
        </w:rPr>
        <w:t xml:space="preserve"> explica que</w:t>
      </w:r>
      <w:r w:rsidRPr="00951F7B">
        <w:rPr>
          <w:rFonts w:ascii="Times New Roman" w:hAnsi="Times New Roman" w:cs="Times New Roman"/>
          <w:sz w:val="24"/>
          <w:szCs w:val="24"/>
        </w:rPr>
        <w:t xml:space="preserve"> las organizaciones difieren de </w:t>
      </w:r>
      <w:r w:rsidR="000B7509" w:rsidRPr="00951F7B">
        <w:rPr>
          <w:rFonts w:ascii="Times New Roman" w:hAnsi="Times New Roman" w:cs="Times New Roman"/>
          <w:sz w:val="24"/>
          <w:szCs w:val="24"/>
        </w:rPr>
        <w:t>un contexto a</w:t>
      </w:r>
      <w:r w:rsidRPr="00951F7B">
        <w:rPr>
          <w:rFonts w:ascii="Times New Roman" w:hAnsi="Times New Roman" w:cs="Times New Roman"/>
          <w:sz w:val="24"/>
          <w:szCs w:val="24"/>
        </w:rPr>
        <w:t xml:space="preserve"> otro. </w:t>
      </w:r>
      <w:r w:rsidR="008E74B2" w:rsidRPr="00951F7B">
        <w:rPr>
          <w:rFonts w:ascii="Times New Roman" w:hAnsi="Times New Roman" w:cs="Times New Roman"/>
          <w:sz w:val="24"/>
          <w:szCs w:val="24"/>
        </w:rPr>
        <w:t>S</w:t>
      </w:r>
      <w:r w:rsidRPr="00951F7B">
        <w:rPr>
          <w:rFonts w:ascii="Times New Roman" w:hAnsi="Times New Roman" w:cs="Times New Roman"/>
          <w:sz w:val="24"/>
          <w:szCs w:val="24"/>
        </w:rPr>
        <w:t xml:space="preserve">ugiere </w:t>
      </w:r>
      <w:r w:rsidR="00134273" w:rsidRPr="00951F7B">
        <w:rPr>
          <w:rFonts w:ascii="Times New Roman" w:hAnsi="Times New Roman" w:cs="Times New Roman"/>
          <w:sz w:val="24"/>
          <w:szCs w:val="24"/>
        </w:rPr>
        <w:t>que,</w:t>
      </w:r>
      <w:r w:rsidR="001810C4" w:rsidRPr="00951F7B">
        <w:rPr>
          <w:rFonts w:ascii="Times New Roman" w:hAnsi="Times New Roman" w:cs="Times New Roman"/>
          <w:sz w:val="24"/>
          <w:szCs w:val="24"/>
        </w:rPr>
        <w:t xml:space="preserve"> </w:t>
      </w:r>
      <w:r w:rsidR="00134273" w:rsidRPr="00951F7B">
        <w:rPr>
          <w:rFonts w:ascii="Times New Roman" w:hAnsi="Times New Roman" w:cs="Times New Roman"/>
          <w:sz w:val="24"/>
          <w:szCs w:val="24"/>
        </w:rPr>
        <w:t xml:space="preserve">para su análisis, </w:t>
      </w:r>
      <w:r w:rsidR="001810C4" w:rsidRPr="00951F7B">
        <w:rPr>
          <w:rFonts w:ascii="Times New Roman" w:hAnsi="Times New Roman" w:cs="Times New Roman"/>
          <w:sz w:val="24"/>
          <w:szCs w:val="24"/>
        </w:rPr>
        <w:t xml:space="preserve">se </w:t>
      </w:r>
      <w:r w:rsidR="00134273" w:rsidRPr="00951F7B">
        <w:rPr>
          <w:rFonts w:ascii="Times New Roman" w:hAnsi="Times New Roman" w:cs="Times New Roman"/>
          <w:sz w:val="24"/>
          <w:szCs w:val="24"/>
        </w:rPr>
        <w:t>comience</w:t>
      </w:r>
      <w:r w:rsidR="001810C4" w:rsidRPr="00951F7B">
        <w:rPr>
          <w:rFonts w:ascii="Times New Roman" w:hAnsi="Times New Roman" w:cs="Times New Roman"/>
          <w:sz w:val="24"/>
          <w:szCs w:val="24"/>
        </w:rPr>
        <w:t xml:space="preserve"> </w:t>
      </w:r>
      <w:r w:rsidR="00134273" w:rsidRPr="00951F7B">
        <w:rPr>
          <w:rFonts w:ascii="Times New Roman" w:hAnsi="Times New Roman" w:cs="Times New Roman"/>
          <w:sz w:val="24"/>
          <w:szCs w:val="24"/>
        </w:rPr>
        <w:t xml:space="preserve">considerando su </w:t>
      </w:r>
      <w:r w:rsidRPr="00951F7B">
        <w:rPr>
          <w:rFonts w:ascii="Times New Roman" w:hAnsi="Times New Roman" w:cs="Times New Roman"/>
          <w:sz w:val="24"/>
          <w:szCs w:val="24"/>
        </w:rPr>
        <w:t>configuración</w:t>
      </w:r>
      <w:r w:rsidR="00134273" w:rsidRPr="00951F7B">
        <w:rPr>
          <w:rFonts w:ascii="Times New Roman" w:hAnsi="Times New Roman" w:cs="Times New Roman"/>
          <w:sz w:val="24"/>
          <w:szCs w:val="24"/>
        </w:rPr>
        <w:t>.</w:t>
      </w:r>
      <w:r w:rsidRPr="00951F7B">
        <w:rPr>
          <w:rFonts w:ascii="Times New Roman" w:hAnsi="Times New Roman" w:cs="Times New Roman"/>
          <w:sz w:val="24"/>
          <w:szCs w:val="24"/>
        </w:rPr>
        <w:t xml:space="preserve"> </w:t>
      </w:r>
      <w:r w:rsidR="00C96D34">
        <w:rPr>
          <w:rFonts w:ascii="Times New Roman" w:hAnsi="Times New Roman" w:cs="Times New Roman"/>
          <w:sz w:val="24"/>
          <w:szCs w:val="24"/>
        </w:rPr>
        <w:t xml:space="preserve">Y </w:t>
      </w:r>
      <w:r w:rsidR="00134273" w:rsidRPr="00951F7B">
        <w:rPr>
          <w:rFonts w:ascii="Times New Roman" w:hAnsi="Times New Roman" w:cs="Times New Roman"/>
          <w:sz w:val="24"/>
          <w:szCs w:val="24"/>
        </w:rPr>
        <w:t xml:space="preserve">propone siete modelos </w:t>
      </w:r>
      <w:r w:rsidR="00C96D34">
        <w:rPr>
          <w:rFonts w:ascii="Times New Roman" w:hAnsi="Times New Roman" w:cs="Times New Roman"/>
          <w:sz w:val="24"/>
          <w:szCs w:val="24"/>
        </w:rPr>
        <w:t>a través de los cuales</w:t>
      </w:r>
      <w:r w:rsidR="00134273" w:rsidRPr="00951F7B">
        <w:rPr>
          <w:rFonts w:ascii="Times New Roman" w:hAnsi="Times New Roman" w:cs="Times New Roman"/>
          <w:sz w:val="24"/>
          <w:szCs w:val="24"/>
        </w:rPr>
        <w:t xml:space="preserve"> es posible estudiarlas, a saber: </w:t>
      </w:r>
      <w:r w:rsidR="00C96D34">
        <w:rPr>
          <w:rFonts w:ascii="Times New Roman" w:hAnsi="Times New Roman" w:cs="Times New Roman"/>
          <w:i/>
          <w:iCs/>
          <w:sz w:val="24"/>
          <w:szCs w:val="24"/>
        </w:rPr>
        <w:t>1</w:t>
      </w:r>
      <w:r w:rsidRPr="00145D7F">
        <w:rPr>
          <w:rFonts w:ascii="Times New Roman" w:hAnsi="Times New Roman" w:cs="Times New Roman"/>
          <w:i/>
          <w:iCs/>
          <w:sz w:val="24"/>
          <w:szCs w:val="24"/>
        </w:rPr>
        <w:t xml:space="preserve">) </w:t>
      </w:r>
      <w:r w:rsidRPr="00951F7B">
        <w:rPr>
          <w:rFonts w:ascii="Times New Roman" w:hAnsi="Times New Roman" w:cs="Times New Roman"/>
          <w:sz w:val="24"/>
          <w:szCs w:val="24"/>
        </w:rPr>
        <w:t xml:space="preserve">la organización empresarial, </w:t>
      </w:r>
      <w:r w:rsidR="00C96D34">
        <w:rPr>
          <w:rFonts w:ascii="Times New Roman" w:hAnsi="Times New Roman" w:cs="Times New Roman"/>
          <w:i/>
          <w:iCs/>
          <w:sz w:val="24"/>
          <w:szCs w:val="24"/>
        </w:rPr>
        <w:t>2</w:t>
      </w:r>
      <w:r w:rsidRPr="00145D7F">
        <w:rPr>
          <w:rFonts w:ascii="Times New Roman" w:hAnsi="Times New Roman" w:cs="Times New Roman"/>
          <w:i/>
          <w:iCs/>
          <w:sz w:val="24"/>
          <w:szCs w:val="24"/>
        </w:rPr>
        <w:t>)</w:t>
      </w:r>
      <w:r w:rsidRPr="00951F7B">
        <w:rPr>
          <w:rFonts w:ascii="Times New Roman" w:hAnsi="Times New Roman" w:cs="Times New Roman"/>
          <w:sz w:val="24"/>
          <w:szCs w:val="24"/>
        </w:rPr>
        <w:t xml:space="preserve"> </w:t>
      </w:r>
      <w:r w:rsidR="00C96D34">
        <w:rPr>
          <w:rFonts w:ascii="Times New Roman" w:hAnsi="Times New Roman" w:cs="Times New Roman"/>
          <w:sz w:val="24"/>
          <w:szCs w:val="24"/>
        </w:rPr>
        <w:t>l</w:t>
      </w:r>
      <w:r w:rsidRPr="00951F7B">
        <w:rPr>
          <w:rFonts w:ascii="Times New Roman" w:hAnsi="Times New Roman" w:cs="Times New Roman"/>
          <w:sz w:val="24"/>
          <w:szCs w:val="24"/>
        </w:rPr>
        <w:t xml:space="preserve">a organización máquina, </w:t>
      </w:r>
      <w:r w:rsidR="00C96D34">
        <w:rPr>
          <w:rFonts w:ascii="Times New Roman" w:hAnsi="Times New Roman" w:cs="Times New Roman"/>
          <w:i/>
          <w:iCs/>
          <w:sz w:val="24"/>
          <w:szCs w:val="24"/>
        </w:rPr>
        <w:t>3</w:t>
      </w:r>
      <w:r w:rsidRPr="00145D7F">
        <w:rPr>
          <w:rFonts w:ascii="Times New Roman" w:hAnsi="Times New Roman" w:cs="Times New Roman"/>
          <w:i/>
          <w:iCs/>
          <w:sz w:val="24"/>
          <w:szCs w:val="24"/>
        </w:rPr>
        <w:t>)</w:t>
      </w:r>
      <w:r w:rsidRPr="00951F7B">
        <w:rPr>
          <w:rFonts w:ascii="Times New Roman" w:hAnsi="Times New Roman" w:cs="Times New Roman"/>
          <w:sz w:val="24"/>
          <w:szCs w:val="24"/>
        </w:rPr>
        <w:t xml:space="preserve"> </w:t>
      </w:r>
      <w:r w:rsidR="00C96D34">
        <w:rPr>
          <w:rFonts w:ascii="Times New Roman" w:hAnsi="Times New Roman" w:cs="Times New Roman"/>
          <w:sz w:val="24"/>
          <w:szCs w:val="24"/>
        </w:rPr>
        <w:t>l</w:t>
      </w:r>
      <w:r w:rsidR="00C96D34" w:rsidRPr="00951F7B">
        <w:rPr>
          <w:rFonts w:ascii="Times New Roman" w:hAnsi="Times New Roman" w:cs="Times New Roman"/>
          <w:sz w:val="24"/>
          <w:szCs w:val="24"/>
        </w:rPr>
        <w:t xml:space="preserve">a </w:t>
      </w:r>
      <w:r w:rsidRPr="00951F7B">
        <w:rPr>
          <w:rFonts w:ascii="Times New Roman" w:hAnsi="Times New Roman" w:cs="Times New Roman"/>
          <w:sz w:val="24"/>
          <w:szCs w:val="24"/>
        </w:rPr>
        <w:t>organización profesional</w:t>
      </w:r>
      <w:r w:rsidR="00C96D34">
        <w:rPr>
          <w:rFonts w:ascii="Times New Roman" w:hAnsi="Times New Roman" w:cs="Times New Roman"/>
          <w:sz w:val="24"/>
          <w:szCs w:val="24"/>
        </w:rPr>
        <w:t>,</w:t>
      </w:r>
      <w:r w:rsidRPr="00951F7B">
        <w:rPr>
          <w:rFonts w:ascii="Times New Roman" w:hAnsi="Times New Roman" w:cs="Times New Roman"/>
          <w:sz w:val="24"/>
          <w:szCs w:val="24"/>
        </w:rPr>
        <w:t xml:space="preserve"> </w:t>
      </w:r>
      <w:r w:rsidR="00C96D34">
        <w:rPr>
          <w:rFonts w:ascii="Times New Roman" w:hAnsi="Times New Roman" w:cs="Times New Roman"/>
          <w:i/>
          <w:iCs/>
          <w:sz w:val="24"/>
          <w:szCs w:val="24"/>
        </w:rPr>
        <w:t>4</w:t>
      </w:r>
      <w:r w:rsidRPr="00145D7F">
        <w:rPr>
          <w:rFonts w:ascii="Times New Roman" w:hAnsi="Times New Roman" w:cs="Times New Roman"/>
          <w:i/>
          <w:iCs/>
          <w:sz w:val="24"/>
          <w:szCs w:val="24"/>
        </w:rPr>
        <w:t>)</w:t>
      </w:r>
      <w:r w:rsidRPr="00951F7B">
        <w:rPr>
          <w:rFonts w:ascii="Times New Roman" w:hAnsi="Times New Roman" w:cs="Times New Roman"/>
          <w:sz w:val="24"/>
          <w:szCs w:val="24"/>
        </w:rPr>
        <w:t xml:space="preserve"> la organización diversificada</w:t>
      </w:r>
      <w:r w:rsidR="00C96D34">
        <w:rPr>
          <w:rFonts w:ascii="Times New Roman" w:hAnsi="Times New Roman" w:cs="Times New Roman"/>
          <w:sz w:val="24"/>
          <w:szCs w:val="24"/>
        </w:rPr>
        <w:t>,</w:t>
      </w:r>
      <w:r w:rsidRPr="00951F7B">
        <w:rPr>
          <w:rFonts w:ascii="Times New Roman" w:hAnsi="Times New Roman" w:cs="Times New Roman"/>
          <w:sz w:val="24"/>
          <w:szCs w:val="24"/>
        </w:rPr>
        <w:t xml:space="preserve"> </w:t>
      </w:r>
      <w:r w:rsidR="00C96D34">
        <w:rPr>
          <w:rFonts w:ascii="Times New Roman" w:hAnsi="Times New Roman" w:cs="Times New Roman"/>
          <w:i/>
          <w:iCs/>
          <w:sz w:val="24"/>
          <w:szCs w:val="24"/>
        </w:rPr>
        <w:t>5</w:t>
      </w:r>
      <w:r w:rsidRPr="00145D7F">
        <w:rPr>
          <w:rFonts w:ascii="Times New Roman" w:hAnsi="Times New Roman" w:cs="Times New Roman"/>
          <w:i/>
          <w:iCs/>
          <w:sz w:val="24"/>
          <w:szCs w:val="24"/>
        </w:rPr>
        <w:t>)</w:t>
      </w:r>
      <w:r w:rsidRPr="00951F7B">
        <w:rPr>
          <w:rFonts w:ascii="Times New Roman" w:hAnsi="Times New Roman" w:cs="Times New Roman"/>
          <w:sz w:val="24"/>
          <w:szCs w:val="24"/>
        </w:rPr>
        <w:t xml:space="preserve"> la organización innovadora</w:t>
      </w:r>
      <w:r w:rsidR="00C96D34">
        <w:rPr>
          <w:rFonts w:ascii="Times New Roman" w:hAnsi="Times New Roman" w:cs="Times New Roman"/>
          <w:sz w:val="24"/>
          <w:szCs w:val="24"/>
        </w:rPr>
        <w:t>,</w:t>
      </w:r>
      <w:r w:rsidRPr="00951F7B">
        <w:rPr>
          <w:rFonts w:ascii="Times New Roman" w:hAnsi="Times New Roman" w:cs="Times New Roman"/>
          <w:sz w:val="24"/>
          <w:szCs w:val="24"/>
        </w:rPr>
        <w:t xml:space="preserve"> </w:t>
      </w:r>
      <w:r w:rsidR="00C96D34">
        <w:rPr>
          <w:rFonts w:ascii="Times New Roman" w:hAnsi="Times New Roman" w:cs="Times New Roman"/>
          <w:i/>
          <w:iCs/>
          <w:sz w:val="24"/>
          <w:szCs w:val="24"/>
        </w:rPr>
        <w:t>6</w:t>
      </w:r>
      <w:r w:rsidRPr="00145D7F">
        <w:rPr>
          <w:rFonts w:ascii="Times New Roman" w:hAnsi="Times New Roman" w:cs="Times New Roman"/>
          <w:i/>
          <w:iCs/>
          <w:sz w:val="24"/>
          <w:szCs w:val="24"/>
        </w:rPr>
        <w:t>)</w:t>
      </w:r>
      <w:r w:rsidRPr="00951F7B">
        <w:rPr>
          <w:rFonts w:ascii="Times New Roman" w:hAnsi="Times New Roman" w:cs="Times New Roman"/>
          <w:sz w:val="24"/>
          <w:szCs w:val="24"/>
        </w:rPr>
        <w:t xml:space="preserve"> la organización misionera </w:t>
      </w:r>
      <w:r w:rsidR="00C96D34">
        <w:rPr>
          <w:rFonts w:ascii="Times New Roman" w:hAnsi="Times New Roman" w:cs="Times New Roman"/>
          <w:sz w:val="24"/>
          <w:szCs w:val="24"/>
        </w:rPr>
        <w:t xml:space="preserve">y </w:t>
      </w:r>
      <w:r w:rsidR="00C96D34">
        <w:rPr>
          <w:rFonts w:ascii="Times New Roman" w:hAnsi="Times New Roman" w:cs="Times New Roman"/>
          <w:i/>
          <w:iCs/>
          <w:sz w:val="24"/>
          <w:szCs w:val="24"/>
        </w:rPr>
        <w:t>7</w:t>
      </w:r>
      <w:r w:rsidRPr="00145D7F">
        <w:rPr>
          <w:rFonts w:ascii="Times New Roman" w:hAnsi="Times New Roman" w:cs="Times New Roman"/>
          <w:i/>
          <w:iCs/>
          <w:sz w:val="24"/>
          <w:szCs w:val="24"/>
        </w:rPr>
        <w:t>)</w:t>
      </w:r>
      <w:r w:rsidRPr="00951F7B">
        <w:rPr>
          <w:rFonts w:ascii="Times New Roman" w:hAnsi="Times New Roman" w:cs="Times New Roman"/>
          <w:sz w:val="24"/>
          <w:szCs w:val="24"/>
        </w:rPr>
        <w:t xml:space="preserve"> la organización política </w:t>
      </w:r>
      <w:r w:rsidR="008F5287" w:rsidRPr="00951F7B">
        <w:rPr>
          <w:rFonts w:ascii="Times New Roman" w:hAnsi="Times New Roman" w:cs="Times New Roman"/>
          <w:sz w:val="24"/>
          <w:szCs w:val="24"/>
        </w:rPr>
        <w:t>(Mintzberg, 2012)</w:t>
      </w:r>
      <w:r w:rsidRPr="00951F7B">
        <w:rPr>
          <w:rFonts w:ascii="Times New Roman" w:hAnsi="Times New Roman" w:cs="Times New Roman"/>
          <w:sz w:val="24"/>
          <w:szCs w:val="24"/>
        </w:rPr>
        <w:t>.</w:t>
      </w:r>
    </w:p>
    <w:p w14:paraId="23275A3A" w14:textId="7490D4F5" w:rsidR="00CF1A78" w:rsidRPr="00951F7B" w:rsidRDefault="00163CD3" w:rsidP="00951F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Tomando en cuenta</w:t>
      </w:r>
      <w:r w:rsidR="00B46E93" w:rsidRPr="00951F7B">
        <w:rPr>
          <w:rFonts w:ascii="Times New Roman" w:hAnsi="Times New Roman" w:cs="Times New Roman"/>
          <w:sz w:val="24"/>
          <w:szCs w:val="24"/>
        </w:rPr>
        <w:t xml:space="preserve"> </w:t>
      </w:r>
      <w:r w:rsidR="00134273" w:rsidRPr="00951F7B">
        <w:rPr>
          <w:rFonts w:ascii="Times New Roman" w:hAnsi="Times New Roman" w:cs="Times New Roman"/>
          <w:sz w:val="24"/>
          <w:szCs w:val="24"/>
        </w:rPr>
        <w:t>lo anterior</w:t>
      </w:r>
      <w:r w:rsidR="00B46E93" w:rsidRPr="00951F7B">
        <w:rPr>
          <w:rFonts w:ascii="Times New Roman" w:hAnsi="Times New Roman" w:cs="Times New Roman"/>
          <w:sz w:val="24"/>
          <w:szCs w:val="24"/>
        </w:rPr>
        <w:t xml:space="preserve">, </w:t>
      </w:r>
      <w:r w:rsidR="00277293" w:rsidRPr="00951F7B">
        <w:rPr>
          <w:rFonts w:ascii="Times New Roman" w:hAnsi="Times New Roman" w:cs="Times New Roman"/>
          <w:sz w:val="24"/>
          <w:szCs w:val="24"/>
        </w:rPr>
        <w:t>la</w:t>
      </w:r>
      <w:r w:rsidR="00B46E93" w:rsidRPr="00951F7B">
        <w:rPr>
          <w:rFonts w:ascii="Times New Roman" w:hAnsi="Times New Roman" w:cs="Times New Roman"/>
          <w:sz w:val="24"/>
          <w:szCs w:val="24"/>
        </w:rPr>
        <w:t xml:space="preserve"> configurac</w:t>
      </w:r>
      <w:r w:rsidR="00277293" w:rsidRPr="00951F7B">
        <w:rPr>
          <w:rFonts w:ascii="Times New Roman" w:hAnsi="Times New Roman" w:cs="Times New Roman"/>
          <w:sz w:val="24"/>
          <w:szCs w:val="24"/>
        </w:rPr>
        <w:t>ión</w:t>
      </w:r>
      <w:r w:rsidR="00B46E93" w:rsidRPr="00951F7B">
        <w:rPr>
          <w:rFonts w:ascii="Times New Roman" w:hAnsi="Times New Roman" w:cs="Times New Roman"/>
          <w:sz w:val="24"/>
          <w:szCs w:val="24"/>
        </w:rPr>
        <w:t xml:space="preserve"> que </w:t>
      </w:r>
      <w:r w:rsidR="00277293" w:rsidRPr="00951F7B">
        <w:rPr>
          <w:rFonts w:ascii="Times New Roman" w:hAnsi="Times New Roman" w:cs="Times New Roman"/>
          <w:sz w:val="24"/>
          <w:szCs w:val="24"/>
        </w:rPr>
        <w:t>mejor</w:t>
      </w:r>
      <w:r w:rsidR="00B46E93" w:rsidRPr="00951F7B">
        <w:rPr>
          <w:rFonts w:ascii="Times New Roman" w:hAnsi="Times New Roman" w:cs="Times New Roman"/>
          <w:sz w:val="24"/>
          <w:szCs w:val="24"/>
        </w:rPr>
        <w:t xml:space="preserve"> distingue a las universidades actuales</w:t>
      </w:r>
      <w:r w:rsidR="00277293" w:rsidRPr="00951F7B">
        <w:rPr>
          <w:rFonts w:ascii="Times New Roman" w:hAnsi="Times New Roman" w:cs="Times New Roman"/>
          <w:sz w:val="24"/>
          <w:szCs w:val="24"/>
        </w:rPr>
        <w:t xml:space="preserve"> </w:t>
      </w:r>
      <w:r w:rsidR="00134273" w:rsidRPr="00951F7B">
        <w:rPr>
          <w:rFonts w:ascii="Times New Roman" w:hAnsi="Times New Roman" w:cs="Times New Roman"/>
          <w:sz w:val="24"/>
          <w:szCs w:val="24"/>
        </w:rPr>
        <w:t>serían</w:t>
      </w:r>
      <w:r w:rsidR="00B46E93" w:rsidRPr="00951F7B">
        <w:rPr>
          <w:rFonts w:ascii="Times New Roman" w:hAnsi="Times New Roman" w:cs="Times New Roman"/>
          <w:sz w:val="24"/>
          <w:szCs w:val="24"/>
        </w:rPr>
        <w:t xml:space="preserve">: </w:t>
      </w:r>
      <w:r w:rsidR="00134273" w:rsidRPr="00951F7B">
        <w:rPr>
          <w:rFonts w:ascii="Times New Roman" w:hAnsi="Times New Roman" w:cs="Times New Roman"/>
          <w:sz w:val="24"/>
          <w:szCs w:val="24"/>
        </w:rPr>
        <w:t>o</w:t>
      </w:r>
      <w:r w:rsidR="00B46E93" w:rsidRPr="00951F7B">
        <w:rPr>
          <w:rFonts w:ascii="Times New Roman" w:hAnsi="Times New Roman" w:cs="Times New Roman"/>
          <w:sz w:val="24"/>
          <w:szCs w:val="24"/>
        </w:rPr>
        <w:t>rganización máquina y la organización profesional</w:t>
      </w:r>
      <w:r>
        <w:rPr>
          <w:rFonts w:ascii="Times New Roman" w:hAnsi="Times New Roman" w:cs="Times New Roman"/>
          <w:sz w:val="24"/>
          <w:szCs w:val="24"/>
        </w:rPr>
        <w:t>.</w:t>
      </w:r>
      <w:r w:rsidR="00CF1A78" w:rsidRPr="00951F7B">
        <w:rPr>
          <w:rFonts w:ascii="Times New Roman" w:hAnsi="Times New Roman" w:cs="Times New Roman"/>
          <w:sz w:val="24"/>
          <w:szCs w:val="24"/>
        </w:rPr>
        <w:t xml:space="preserve"> </w:t>
      </w:r>
      <w:r>
        <w:rPr>
          <w:rFonts w:ascii="Times New Roman" w:hAnsi="Times New Roman" w:cs="Times New Roman"/>
          <w:sz w:val="24"/>
          <w:szCs w:val="24"/>
        </w:rPr>
        <w:t>Cabe aclarar que</w:t>
      </w:r>
      <w:r w:rsidR="00CF1A78" w:rsidRPr="00951F7B">
        <w:rPr>
          <w:rFonts w:ascii="Times New Roman" w:hAnsi="Times New Roman" w:cs="Times New Roman"/>
          <w:sz w:val="24"/>
          <w:szCs w:val="24"/>
        </w:rPr>
        <w:t xml:space="preserve"> algunas universidades pueden acercarse más a uno u otro modelo</w:t>
      </w:r>
      <w:r>
        <w:rPr>
          <w:rFonts w:ascii="Times New Roman" w:hAnsi="Times New Roman" w:cs="Times New Roman"/>
          <w:sz w:val="24"/>
          <w:szCs w:val="24"/>
        </w:rPr>
        <w:t xml:space="preserve"> o</w:t>
      </w:r>
      <w:r w:rsidR="00CF1A78" w:rsidRPr="00951F7B">
        <w:rPr>
          <w:rFonts w:ascii="Times New Roman" w:hAnsi="Times New Roman" w:cs="Times New Roman"/>
          <w:sz w:val="24"/>
          <w:szCs w:val="24"/>
        </w:rPr>
        <w:t xml:space="preserve"> pueden </w:t>
      </w:r>
      <w:r>
        <w:rPr>
          <w:rFonts w:ascii="Times New Roman" w:hAnsi="Times New Roman" w:cs="Times New Roman"/>
          <w:sz w:val="24"/>
          <w:szCs w:val="24"/>
        </w:rPr>
        <w:t>conformar</w:t>
      </w:r>
      <w:r w:rsidRPr="00951F7B">
        <w:rPr>
          <w:rFonts w:ascii="Times New Roman" w:hAnsi="Times New Roman" w:cs="Times New Roman"/>
          <w:sz w:val="24"/>
          <w:szCs w:val="24"/>
        </w:rPr>
        <w:t xml:space="preserve"> </w:t>
      </w:r>
      <w:r w:rsidR="00CF1A78" w:rsidRPr="00951F7B">
        <w:rPr>
          <w:rFonts w:ascii="Times New Roman" w:hAnsi="Times New Roman" w:cs="Times New Roman"/>
          <w:sz w:val="24"/>
          <w:szCs w:val="24"/>
        </w:rPr>
        <w:t>un h</w:t>
      </w:r>
      <w:r w:rsidR="005660FF">
        <w:rPr>
          <w:rFonts w:ascii="Times New Roman" w:hAnsi="Times New Roman" w:cs="Times New Roman"/>
          <w:sz w:val="24"/>
          <w:szCs w:val="24"/>
        </w:rPr>
        <w:t>í</w:t>
      </w:r>
      <w:r w:rsidR="00CF1A78" w:rsidRPr="00951F7B">
        <w:rPr>
          <w:rFonts w:ascii="Times New Roman" w:hAnsi="Times New Roman" w:cs="Times New Roman"/>
          <w:sz w:val="24"/>
          <w:szCs w:val="24"/>
        </w:rPr>
        <w:t>brido de ambos modelos.</w:t>
      </w:r>
    </w:p>
    <w:p w14:paraId="37BD2156" w14:textId="4727BCFB" w:rsidR="00B46E93" w:rsidRPr="00951F7B" w:rsidRDefault="003650D3"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lastRenderedPageBreak/>
        <w:t>En lo que respecta al modelo maquinal, Min</w:t>
      </w:r>
      <w:r w:rsidR="00232E8B" w:rsidRPr="00951F7B">
        <w:rPr>
          <w:rFonts w:ascii="Times New Roman" w:hAnsi="Times New Roman" w:cs="Times New Roman"/>
          <w:sz w:val="24"/>
          <w:szCs w:val="24"/>
        </w:rPr>
        <w:t>t</w:t>
      </w:r>
      <w:r w:rsidRPr="00951F7B">
        <w:rPr>
          <w:rFonts w:ascii="Times New Roman" w:hAnsi="Times New Roman" w:cs="Times New Roman"/>
          <w:sz w:val="24"/>
          <w:szCs w:val="24"/>
        </w:rPr>
        <w:t xml:space="preserve">zberg </w:t>
      </w:r>
      <w:r w:rsidR="008F5287" w:rsidRPr="00951F7B">
        <w:rPr>
          <w:rFonts w:ascii="Times New Roman" w:hAnsi="Times New Roman" w:cs="Times New Roman"/>
          <w:sz w:val="24"/>
          <w:szCs w:val="24"/>
        </w:rPr>
        <w:t>(2012)</w:t>
      </w:r>
      <w:r w:rsidRPr="00951F7B">
        <w:rPr>
          <w:rFonts w:ascii="Times New Roman" w:hAnsi="Times New Roman" w:cs="Times New Roman"/>
          <w:sz w:val="24"/>
          <w:szCs w:val="24"/>
        </w:rPr>
        <w:t xml:space="preserve"> argumenta </w:t>
      </w:r>
      <w:r w:rsidR="00B63B70" w:rsidRPr="00951F7B">
        <w:rPr>
          <w:rFonts w:ascii="Times New Roman" w:hAnsi="Times New Roman" w:cs="Times New Roman"/>
          <w:sz w:val="24"/>
          <w:szCs w:val="24"/>
        </w:rPr>
        <w:t>que este enfoque</w:t>
      </w:r>
      <w:r w:rsidR="00B46E93" w:rsidRPr="00951F7B">
        <w:rPr>
          <w:rFonts w:ascii="Times New Roman" w:hAnsi="Times New Roman" w:cs="Times New Roman"/>
          <w:sz w:val="24"/>
          <w:szCs w:val="24"/>
        </w:rPr>
        <w:t xml:space="preserve"> se </w:t>
      </w:r>
      <w:r w:rsidR="00134273" w:rsidRPr="00951F7B">
        <w:rPr>
          <w:rFonts w:ascii="Times New Roman" w:hAnsi="Times New Roman" w:cs="Times New Roman"/>
          <w:sz w:val="24"/>
          <w:szCs w:val="24"/>
        </w:rPr>
        <w:t xml:space="preserve">caracteriza por contar con </w:t>
      </w:r>
      <w:r w:rsidR="00B63B70" w:rsidRPr="00951F7B">
        <w:rPr>
          <w:rFonts w:ascii="Times New Roman" w:hAnsi="Times New Roman" w:cs="Times New Roman"/>
          <w:sz w:val="24"/>
          <w:szCs w:val="24"/>
        </w:rPr>
        <w:t xml:space="preserve">una alta </w:t>
      </w:r>
      <w:r w:rsidR="00B46E93" w:rsidRPr="00951F7B">
        <w:rPr>
          <w:rFonts w:ascii="Times New Roman" w:hAnsi="Times New Roman" w:cs="Times New Roman"/>
          <w:sz w:val="24"/>
          <w:szCs w:val="24"/>
        </w:rPr>
        <w:t>estandarización de los procesos de trabajo</w:t>
      </w:r>
      <w:r w:rsidR="00134273" w:rsidRPr="00951F7B">
        <w:rPr>
          <w:rFonts w:ascii="Times New Roman" w:hAnsi="Times New Roman" w:cs="Times New Roman"/>
          <w:sz w:val="24"/>
          <w:szCs w:val="24"/>
        </w:rPr>
        <w:t xml:space="preserve">, </w:t>
      </w:r>
      <w:r w:rsidR="00332F73">
        <w:rPr>
          <w:rFonts w:ascii="Times New Roman" w:hAnsi="Times New Roman" w:cs="Times New Roman"/>
          <w:sz w:val="24"/>
          <w:szCs w:val="24"/>
        </w:rPr>
        <w:t>donde</w:t>
      </w:r>
      <w:r w:rsidR="00134273" w:rsidRPr="00951F7B">
        <w:rPr>
          <w:rFonts w:ascii="Times New Roman" w:hAnsi="Times New Roman" w:cs="Times New Roman"/>
          <w:sz w:val="24"/>
          <w:szCs w:val="24"/>
        </w:rPr>
        <w:t xml:space="preserve"> </w:t>
      </w:r>
      <w:r w:rsidR="00B46E93" w:rsidRPr="00951F7B">
        <w:rPr>
          <w:rFonts w:ascii="Times New Roman" w:hAnsi="Times New Roman" w:cs="Times New Roman"/>
          <w:sz w:val="24"/>
          <w:szCs w:val="24"/>
        </w:rPr>
        <w:t>predomina ampliamente la especialización</w:t>
      </w:r>
      <w:r w:rsidR="00332F73">
        <w:rPr>
          <w:rFonts w:ascii="Times New Roman" w:hAnsi="Times New Roman" w:cs="Times New Roman"/>
          <w:sz w:val="24"/>
          <w:szCs w:val="24"/>
        </w:rPr>
        <w:t>.</w:t>
      </w:r>
      <w:r w:rsidR="00B63B70" w:rsidRPr="00951F7B">
        <w:rPr>
          <w:rFonts w:ascii="Times New Roman" w:hAnsi="Times New Roman" w:cs="Times New Roman"/>
          <w:sz w:val="24"/>
          <w:szCs w:val="24"/>
        </w:rPr>
        <w:t xml:space="preserve"> </w:t>
      </w:r>
      <w:r w:rsidR="00332F73">
        <w:rPr>
          <w:rFonts w:ascii="Times New Roman" w:hAnsi="Times New Roman" w:cs="Times New Roman"/>
          <w:sz w:val="24"/>
          <w:szCs w:val="24"/>
        </w:rPr>
        <w:t xml:space="preserve">Lo anterior coincide </w:t>
      </w:r>
      <w:r w:rsidR="00A225EC" w:rsidRPr="00951F7B">
        <w:rPr>
          <w:rFonts w:ascii="Times New Roman" w:hAnsi="Times New Roman" w:cs="Times New Roman"/>
          <w:sz w:val="24"/>
          <w:szCs w:val="24"/>
        </w:rPr>
        <w:t xml:space="preserve">con lo expuesto por </w:t>
      </w:r>
      <w:proofErr w:type="spellStart"/>
      <w:r w:rsidR="00134273" w:rsidRPr="00951F7B">
        <w:rPr>
          <w:rFonts w:ascii="Times New Roman" w:hAnsi="Times New Roman" w:cs="Times New Roman"/>
          <w:sz w:val="24"/>
          <w:szCs w:val="24"/>
        </w:rPr>
        <w:t>Birnbaum</w:t>
      </w:r>
      <w:proofErr w:type="spellEnd"/>
      <w:r w:rsidR="00134273" w:rsidRPr="00951F7B">
        <w:rPr>
          <w:rFonts w:ascii="Times New Roman" w:hAnsi="Times New Roman" w:cs="Times New Roman"/>
          <w:sz w:val="24"/>
          <w:szCs w:val="24"/>
        </w:rPr>
        <w:t xml:space="preserve"> (</w:t>
      </w:r>
      <w:r w:rsidR="002A488F" w:rsidRPr="00951F7B">
        <w:rPr>
          <w:rFonts w:ascii="Times New Roman" w:hAnsi="Times New Roman" w:cs="Times New Roman"/>
          <w:sz w:val="24"/>
          <w:szCs w:val="24"/>
        </w:rPr>
        <w:t>1991</w:t>
      </w:r>
      <w:r w:rsidR="00134273" w:rsidRPr="00951F7B">
        <w:rPr>
          <w:rFonts w:ascii="Times New Roman" w:hAnsi="Times New Roman" w:cs="Times New Roman"/>
          <w:sz w:val="24"/>
          <w:szCs w:val="24"/>
        </w:rPr>
        <w:t xml:space="preserve">) y Coronilla </w:t>
      </w:r>
      <w:r w:rsidR="00E43432" w:rsidRPr="00951F7B">
        <w:rPr>
          <w:rFonts w:ascii="Times New Roman" w:hAnsi="Times New Roman" w:cs="Times New Roman"/>
          <w:sz w:val="24"/>
          <w:szCs w:val="24"/>
        </w:rPr>
        <w:t xml:space="preserve">y Castillo </w:t>
      </w:r>
      <w:r w:rsidR="00134273" w:rsidRPr="00951F7B">
        <w:rPr>
          <w:rFonts w:ascii="Times New Roman" w:hAnsi="Times New Roman" w:cs="Times New Roman"/>
          <w:sz w:val="24"/>
          <w:szCs w:val="24"/>
        </w:rPr>
        <w:t xml:space="preserve">(2003). </w:t>
      </w:r>
      <w:r w:rsidR="00B63B70" w:rsidRPr="00951F7B">
        <w:rPr>
          <w:rFonts w:ascii="Times New Roman" w:hAnsi="Times New Roman" w:cs="Times New Roman"/>
          <w:sz w:val="24"/>
          <w:szCs w:val="24"/>
        </w:rPr>
        <w:t>E</w:t>
      </w:r>
      <w:r w:rsidR="00B46E93" w:rsidRPr="00951F7B">
        <w:rPr>
          <w:rFonts w:ascii="Times New Roman" w:hAnsi="Times New Roman" w:cs="Times New Roman"/>
          <w:sz w:val="24"/>
          <w:szCs w:val="24"/>
        </w:rPr>
        <w:t>s</w:t>
      </w:r>
      <w:r w:rsidR="00134273" w:rsidRPr="00951F7B">
        <w:rPr>
          <w:rFonts w:ascii="Times New Roman" w:hAnsi="Times New Roman" w:cs="Times New Roman"/>
          <w:sz w:val="24"/>
          <w:szCs w:val="24"/>
        </w:rPr>
        <w:t>te modelo es</w:t>
      </w:r>
      <w:r w:rsidR="00B46E93" w:rsidRPr="00951F7B">
        <w:rPr>
          <w:rFonts w:ascii="Times New Roman" w:hAnsi="Times New Roman" w:cs="Times New Roman"/>
          <w:sz w:val="24"/>
          <w:szCs w:val="24"/>
        </w:rPr>
        <w:t xml:space="preserve"> </w:t>
      </w:r>
      <w:r w:rsidR="00D136A9">
        <w:rPr>
          <w:rFonts w:ascii="Times New Roman" w:hAnsi="Times New Roman" w:cs="Times New Roman"/>
          <w:sz w:val="24"/>
          <w:szCs w:val="24"/>
        </w:rPr>
        <w:t>fruto</w:t>
      </w:r>
      <w:r w:rsidR="00134273" w:rsidRPr="00951F7B">
        <w:rPr>
          <w:rFonts w:ascii="Times New Roman" w:hAnsi="Times New Roman" w:cs="Times New Roman"/>
          <w:sz w:val="24"/>
          <w:szCs w:val="24"/>
        </w:rPr>
        <w:t xml:space="preserve"> de </w:t>
      </w:r>
      <w:r w:rsidR="00B46E93" w:rsidRPr="00951F7B">
        <w:rPr>
          <w:rFonts w:ascii="Times New Roman" w:hAnsi="Times New Roman" w:cs="Times New Roman"/>
          <w:sz w:val="24"/>
          <w:szCs w:val="24"/>
        </w:rPr>
        <w:t xml:space="preserve">la </w:t>
      </w:r>
      <w:r w:rsidR="00D136A9">
        <w:rPr>
          <w:rFonts w:ascii="Times New Roman" w:hAnsi="Times New Roman" w:cs="Times New Roman"/>
          <w:sz w:val="24"/>
          <w:szCs w:val="24"/>
        </w:rPr>
        <w:t>R</w:t>
      </w:r>
      <w:r w:rsidR="00D136A9" w:rsidRPr="00951F7B">
        <w:rPr>
          <w:rFonts w:ascii="Times New Roman" w:hAnsi="Times New Roman" w:cs="Times New Roman"/>
          <w:sz w:val="24"/>
          <w:szCs w:val="24"/>
        </w:rPr>
        <w:t xml:space="preserve">evolución </w:t>
      </w:r>
      <w:r w:rsidR="00D136A9">
        <w:rPr>
          <w:rFonts w:ascii="Times New Roman" w:hAnsi="Times New Roman" w:cs="Times New Roman"/>
          <w:sz w:val="24"/>
          <w:szCs w:val="24"/>
        </w:rPr>
        <w:t>I</w:t>
      </w:r>
      <w:r w:rsidR="00D136A9" w:rsidRPr="00951F7B">
        <w:rPr>
          <w:rFonts w:ascii="Times New Roman" w:hAnsi="Times New Roman" w:cs="Times New Roman"/>
          <w:sz w:val="24"/>
          <w:szCs w:val="24"/>
        </w:rPr>
        <w:t>ndustrial</w:t>
      </w:r>
      <w:r w:rsidR="00D136A9">
        <w:rPr>
          <w:rFonts w:ascii="Times New Roman" w:hAnsi="Times New Roman" w:cs="Times New Roman"/>
          <w:sz w:val="24"/>
          <w:szCs w:val="24"/>
        </w:rPr>
        <w:t>,</w:t>
      </w:r>
      <w:r w:rsidR="00134273" w:rsidRPr="00951F7B">
        <w:rPr>
          <w:rFonts w:ascii="Times New Roman" w:hAnsi="Times New Roman" w:cs="Times New Roman"/>
          <w:sz w:val="24"/>
          <w:szCs w:val="24"/>
        </w:rPr>
        <w:t xml:space="preserve"> la cual se </w:t>
      </w:r>
      <w:r w:rsidR="00DE119D" w:rsidRPr="00951F7B">
        <w:rPr>
          <w:rFonts w:ascii="Times New Roman" w:hAnsi="Times New Roman" w:cs="Times New Roman"/>
          <w:sz w:val="24"/>
          <w:szCs w:val="24"/>
        </w:rPr>
        <w:t>caracterizó</w:t>
      </w:r>
      <w:r w:rsidR="00134273" w:rsidRPr="00951F7B">
        <w:rPr>
          <w:rFonts w:ascii="Times New Roman" w:hAnsi="Times New Roman" w:cs="Times New Roman"/>
          <w:sz w:val="24"/>
          <w:szCs w:val="24"/>
        </w:rPr>
        <w:t xml:space="preserve"> por el desarrollo de la producción en línea</w:t>
      </w:r>
      <w:r w:rsidR="00DE119D" w:rsidRPr="00951F7B">
        <w:rPr>
          <w:rFonts w:ascii="Times New Roman" w:hAnsi="Times New Roman" w:cs="Times New Roman"/>
          <w:sz w:val="24"/>
          <w:szCs w:val="24"/>
        </w:rPr>
        <w:t xml:space="preserve"> y la división del trabajo. Por otra parte</w:t>
      </w:r>
      <w:r w:rsidR="00B46E93" w:rsidRPr="00951F7B">
        <w:rPr>
          <w:rFonts w:ascii="Times New Roman" w:hAnsi="Times New Roman" w:cs="Times New Roman"/>
          <w:sz w:val="24"/>
          <w:szCs w:val="24"/>
        </w:rPr>
        <w:t xml:space="preserve">, </w:t>
      </w:r>
      <w:r w:rsidR="00652354" w:rsidRPr="00951F7B">
        <w:rPr>
          <w:rFonts w:ascii="Times New Roman" w:hAnsi="Times New Roman" w:cs="Times New Roman"/>
          <w:sz w:val="24"/>
          <w:szCs w:val="24"/>
        </w:rPr>
        <w:t>el modelo de o</w:t>
      </w:r>
      <w:r w:rsidR="00B46E93" w:rsidRPr="00951F7B">
        <w:rPr>
          <w:rFonts w:ascii="Times New Roman" w:hAnsi="Times New Roman" w:cs="Times New Roman"/>
          <w:sz w:val="24"/>
          <w:szCs w:val="24"/>
        </w:rPr>
        <w:t xml:space="preserve">rganización profesional se basa </w:t>
      </w:r>
      <w:r w:rsidR="003A3931" w:rsidRPr="00951F7B">
        <w:rPr>
          <w:rFonts w:ascii="Times New Roman" w:hAnsi="Times New Roman" w:cs="Times New Roman"/>
          <w:sz w:val="24"/>
          <w:szCs w:val="24"/>
        </w:rPr>
        <w:t xml:space="preserve">más </w:t>
      </w:r>
      <w:r w:rsidR="00B46E93" w:rsidRPr="00951F7B">
        <w:rPr>
          <w:rFonts w:ascii="Times New Roman" w:hAnsi="Times New Roman" w:cs="Times New Roman"/>
          <w:sz w:val="24"/>
          <w:szCs w:val="24"/>
        </w:rPr>
        <w:t>en la estandarización de las habilidades</w:t>
      </w:r>
      <w:r w:rsidR="003A3931" w:rsidRPr="00951F7B">
        <w:rPr>
          <w:rFonts w:ascii="Times New Roman" w:hAnsi="Times New Roman" w:cs="Times New Roman"/>
          <w:sz w:val="24"/>
          <w:szCs w:val="24"/>
        </w:rPr>
        <w:t xml:space="preserve"> de los individuos </w:t>
      </w:r>
      <w:r w:rsidR="007B12C5">
        <w:rPr>
          <w:rFonts w:ascii="Times New Roman" w:hAnsi="Times New Roman" w:cs="Times New Roman"/>
          <w:sz w:val="24"/>
          <w:szCs w:val="24"/>
        </w:rPr>
        <w:t>—</w:t>
      </w:r>
      <w:r w:rsidR="003A3931" w:rsidRPr="00951F7B">
        <w:rPr>
          <w:rFonts w:ascii="Times New Roman" w:hAnsi="Times New Roman" w:cs="Times New Roman"/>
          <w:sz w:val="24"/>
          <w:szCs w:val="24"/>
        </w:rPr>
        <w:t>operarios</w:t>
      </w:r>
      <w:r w:rsidR="00B46E93" w:rsidRPr="00951F7B">
        <w:rPr>
          <w:rFonts w:ascii="Times New Roman" w:hAnsi="Times New Roman" w:cs="Times New Roman"/>
          <w:sz w:val="24"/>
          <w:szCs w:val="24"/>
        </w:rPr>
        <w:t xml:space="preserve"> </w:t>
      </w:r>
      <w:r w:rsidR="00DE119D" w:rsidRPr="00951F7B">
        <w:rPr>
          <w:rFonts w:ascii="Times New Roman" w:hAnsi="Times New Roman" w:cs="Times New Roman"/>
          <w:sz w:val="24"/>
          <w:szCs w:val="24"/>
        </w:rPr>
        <w:t>en la realización del trabajo</w:t>
      </w:r>
      <w:r w:rsidR="000D737A">
        <w:rPr>
          <w:rFonts w:ascii="Times New Roman" w:hAnsi="Times New Roman" w:cs="Times New Roman"/>
          <w:sz w:val="24"/>
          <w:szCs w:val="24"/>
        </w:rPr>
        <w:t>—</w:t>
      </w:r>
      <w:r w:rsidR="00DE119D" w:rsidRPr="00951F7B">
        <w:rPr>
          <w:rFonts w:ascii="Times New Roman" w:hAnsi="Times New Roman" w:cs="Times New Roman"/>
          <w:sz w:val="24"/>
          <w:szCs w:val="24"/>
        </w:rPr>
        <w:t xml:space="preserve">. Aquí </w:t>
      </w:r>
      <w:r w:rsidR="009B2C03">
        <w:rPr>
          <w:rFonts w:ascii="Times New Roman" w:hAnsi="Times New Roman" w:cs="Times New Roman"/>
          <w:sz w:val="24"/>
          <w:szCs w:val="24"/>
        </w:rPr>
        <w:t>se busca</w:t>
      </w:r>
      <w:r w:rsidR="00DE119D" w:rsidRPr="00951F7B">
        <w:rPr>
          <w:rFonts w:ascii="Times New Roman" w:hAnsi="Times New Roman" w:cs="Times New Roman"/>
          <w:sz w:val="24"/>
          <w:szCs w:val="24"/>
        </w:rPr>
        <w:t xml:space="preserve"> c</w:t>
      </w:r>
      <w:r w:rsidR="00B46E93" w:rsidRPr="00951F7B">
        <w:rPr>
          <w:rFonts w:ascii="Times New Roman" w:hAnsi="Times New Roman" w:cs="Times New Roman"/>
          <w:sz w:val="24"/>
          <w:szCs w:val="24"/>
        </w:rPr>
        <w:t>ontar con personas capacitadas</w:t>
      </w:r>
      <w:r w:rsidR="00454B1D">
        <w:rPr>
          <w:rFonts w:ascii="Times New Roman" w:hAnsi="Times New Roman" w:cs="Times New Roman"/>
          <w:sz w:val="24"/>
          <w:szCs w:val="24"/>
        </w:rPr>
        <w:t xml:space="preserve"> y con</w:t>
      </w:r>
      <w:r w:rsidR="00DE119D" w:rsidRPr="00951F7B">
        <w:rPr>
          <w:rFonts w:ascii="Times New Roman" w:hAnsi="Times New Roman" w:cs="Times New Roman"/>
          <w:sz w:val="24"/>
          <w:szCs w:val="24"/>
        </w:rPr>
        <w:t xml:space="preserve"> un mayor </w:t>
      </w:r>
      <w:r w:rsidR="00B46E93" w:rsidRPr="00951F7B">
        <w:rPr>
          <w:rFonts w:ascii="Times New Roman" w:hAnsi="Times New Roman" w:cs="Times New Roman"/>
          <w:sz w:val="24"/>
          <w:szCs w:val="24"/>
        </w:rPr>
        <w:t xml:space="preserve">control </w:t>
      </w:r>
      <w:r w:rsidR="00DE119D" w:rsidRPr="00951F7B">
        <w:rPr>
          <w:rFonts w:ascii="Times New Roman" w:hAnsi="Times New Roman" w:cs="Times New Roman"/>
          <w:sz w:val="24"/>
          <w:szCs w:val="24"/>
        </w:rPr>
        <w:t>en la realización de s</w:t>
      </w:r>
      <w:r w:rsidR="00B46E93" w:rsidRPr="00951F7B">
        <w:rPr>
          <w:rFonts w:ascii="Times New Roman" w:hAnsi="Times New Roman" w:cs="Times New Roman"/>
          <w:sz w:val="24"/>
          <w:szCs w:val="24"/>
        </w:rPr>
        <w:t>u trabajo</w:t>
      </w:r>
      <w:r w:rsidR="00DE119D" w:rsidRPr="00951F7B">
        <w:rPr>
          <w:rFonts w:ascii="Times New Roman" w:hAnsi="Times New Roman" w:cs="Times New Roman"/>
          <w:sz w:val="24"/>
          <w:szCs w:val="24"/>
        </w:rPr>
        <w:t>. En este modelo, su estructura o configuración es más</w:t>
      </w:r>
      <w:r w:rsidR="00B46E93" w:rsidRPr="00951F7B">
        <w:rPr>
          <w:rFonts w:ascii="Times New Roman" w:hAnsi="Times New Roman" w:cs="Times New Roman"/>
          <w:sz w:val="24"/>
          <w:szCs w:val="24"/>
        </w:rPr>
        <w:t xml:space="preserve"> horizontal y </w:t>
      </w:r>
      <w:r w:rsidR="00454B1D">
        <w:rPr>
          <w:rFonts w:ascii="Times New Roman" w:hAnsi="Times New Roman" w:cs="Times New Roman"/>
          <w:sz w:val="24"/>
          <w:szCs w:val="24"/>
        </w:rPr>
        <w:t>considera</w:t>
      </w:r>
      <w:r w:rsidR="00454B1D" w:rsidRPr="00951F7B">
        <w:rPr>
          <w:rFonts w:ascii="Times New Roman" w:hAnsi="Times New Roman" w:cs="Times New Roman"/>
          <w:sz w:val="24"/>
          <w:szCs w:val="24"/>
        </w:rPr>
        <w:t xml:space="preserve"> </w:t>
      </w:r>
      <w:r w:rsidR="00DE119D" w:rsidRPr="00951F7B">
        <w:rPr>
          <w:rFonts w:ascii="Times New Roman" w:hAnsi="Times New Roman" w:cs="Times New Roman"/>
          <w:sz w:val="24"/>
          <w:szCs w:val="24"/>
        </w:rPr>
        <w:t>un proceso de toma de decisiones más descentralizado</w:t>
      </w:r>
      <w:r w:rsidR="00B46E93" w:rsidRPr="00951F7B">
        <w:rPr>
          <w:rFonts w:ascii="Times New Roman" w:hAnsi="Times New Roman" w:cs="Times New Roman"/>
          <w:sz w:val="24"/>
          <w:szCs w:val="24"/>
        </w:rPr>
        <w:t>. Esta última configuración</w:t>
      </w:r>
      <w:r w:rsidR="00DE119D" w:rsidRPr="00951F7B">
        <w:rPr>
          <w:rFonts w:ascii="Times New Roman" w:hAnsi="Times New Roman" w:cs="Times New Roman"/>
          <w:sz w:val="24"/>
          <w:szCs w:val="24"/>
        </w:rPr>
        <w:t xml:space="preserve"> </w:t>
      </w:r>
      <w:r w:rsidR="00B46E93" w:rsidRPr="00951F7B">
        <w:rPr>
          <w:rFonts w:ascii="Times New Roman" w:hAnsi="Times New Roman" w:cs="Times New Roman"/>
          <w:sz w:val="24"/>
          <w:szCs w:val="24"/>
        </w:rPr>
        <w:t>es la que más</w:t>
      </w:r>
      <w:r w:rsidR="00DE119D" w:rsidRPr="00951F7B">
        <w:rPr>
          <w:rFonts w:ascii="Times New Roman" w:hAnsi="Times New Roman" w:cs="Times New Roman"/>
          <w:sz w:val="24"/>
          <w:szCs w:val="24"/>
        </w:rPr>
        <w:t xml:space="preserve"> se asemeja a las universidades públicas del país.</w:t>
      </w:r>
    </w:p>
    <w:p w14:paraId="6DB4B7E8" w14:textId="06FCF3A0" w:rsidR="00D96641" w:rsidRPr="00951F7B" w:rsidRDefault="005B7599" w:rsidP="00951F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05446E" w:rsidRPr="00951F7B">
        <w:rPr>
          <w:rFonts w:ascii="Times New Roman" w:hAnsi="Times New Roman" w:cs="Times New Roman"/>
          <w:sz w:val="24"/>
          <w:szCs w:val="24"/>
        </w:rPr>
        <w:t>ensar en las universidades públicas como organizaciones com</w:t>
      </w:r>
      <w:r w:rsidR="00DE119D" w:rsidRPr="00951F7B">
        <w:rPr>
          <w:rFonts w:ascii="Times New Roman" w:hAnsi="Times New Roman" w:cs="Times New Roman"/>
          <w:sz w:val="24"/>
          <w:szCs w:val="24"/>
        </w:rPr>
        <w:t>p</w:t>
      </w:r>
      <w:r w:rsidR="0005446E" w:rsidRPr="00951F7B">
        <w:rPr>
          <w:rFonts w:ascii="Times New Roman" w:hAnsi="Times New Roman" w:cs="Times New Roman"/>
          <w:sz w:val="24"/>
          <w:szCs w:val="24"/>
        </w:rPr>
        <w:t xml:space="preserve">lejas lleva a considerar de manera muy importante las ideas de Mayntz </w:t>
      </w:r>
      <w:r w:rsidR="00A51331" w:rsidRPr="00951F7B">
        <w:rPr>
          <w:rFonts w:ascii="Times New Roman" w:hAnsi="Times New Roman" w:cs="Times New Roman"/>
          <w:sz w:val="24"/>
          <w:szCs w:val="24"/>
        </w:rPr>
        <w:t>(1980</w:t>
      </w:r>
      <w:r w:rsidR="008F5287" w:rsidRPr="00951F7B">
        <w:rPr>
          <w:rFonts w:ascii="Times New Roman" w:hAnsi="Times New Roman" w:cs="Times New Roman"/>
          <w:sz w:val="24"/>
          <w:szCs w:val="24"/>
        </w:rPr>
        <w:t>)</w:t>
      </w:r>
      <w:r w:rsidR="0005446E" w:rsidRPr="00951F7B">
        <w:rPr>
          <w:rFonts w:ascii="Times New Roman" w:hAnsi="Times New Roman" w:cs="Times New Roman"/>
          <w:sz w:val="24"/>
          <w:szCs w:val="24"/>
        </w:rPr>
        <w:t xml:space="preserve"> </w:t>
      </w:r>
      <w:r w:rsidR="004B132D" w:rsidRPr="00951F7B">
        <w:rPr>
          <w:rFonts w:ascii="Times New Roman" w:hAnsi="Times New Roman" w:cs="Times New Roman"/>
          <w:sz w:val="24"/>
          <w:szCs w:val="24"/>
        </w:rPr>
        <w:t xml:space="preserve">y March </w:t>
      </w:r>
      <w:r w:rsidR="008F5287" w:rsidRPr="00951F7B">
        <w:rPr>
          <w:rFonts w:ascii="Times New Roman" w:hAnsi="Times New Roman" w:cs="Times New Roman"/>
          <w:sz w:val="24"/>
          <w:szCs w:val="24"/>
        </w:rPr>
        <w:t>(1981)</w:t>
      </w:r>
      <w:r>
        <w:rPr>
          <w:rFonts w:ascii="Times New Roman" w:hAnsi="Times New Roman" w:cs="Times New Roman"/>
          <w:sz w:val="24"/>
          <w:szCs w:val="24"/>
        </w:rPr>
        <w:t>.</w:t>
      </w:r>
      <w:r w:rsidR="00FD4D01" w:rsidRPr="00951F7B">
        <w:rPr>
          <w:rFonts w:ascii="Times New Roman" w:hAnsi="Times New Roman" w:cs="Times New Roman"/>
          <w:sz w:val="24"/>
          <w:szCs w:val="24"/>
        </w:rPr>
        <w:t xml:space="preserve"> </w:t>
      </w:r>
      <w:r>
        <w:rPr>
          <w:rFonts w:ascii="Times New Roman" w:hAnsi="Times New Roman" w:cs="Times New Roman"/>
          <w:sz w:val="24"/>
          <w:szCs w:val="24"/>
        </w:rPr>
        <w:t>E</w:t>
      </w:r>
      <w:r w:rsidR="00FD4D01" w:rsidRPr="00951F7B">
        <w:rPr>
          <w:rFonts w:ascii="Times New Roman" w:hAnsi="Times New Roman" w:cs="Times New Roman"/>
          <w:sz w:val="24"/>
          <w:szCs w:val="24"/>
        </w:rPr>
        <w:t>l primero</w:t>
      </w:r>
      <w:r>
        <w:rPr>
          <w:rFonts w:ascii="Times New Roman" w:hAnsi="Times New Roman" w:cs="Times New Roman"/>
          <w:sz w:val="24"/>
          <w:szCs w:val="24"/>
        </w:rPr>
        <w:t xml:space="preserve"> de ellos</w:t>
      </w:r>
      <w:r w:rsidRPr="00951F7B">
        <w:rPr>
          <w:rFonts w:ascii="Times New Roman" w:hAnsi="Times New Roman" w:cs="Times New Roman"/>
          <w:sz w:val="24"/>
          <w:szCs w:val="24"/>
        </w:rPr>
        <w:t xml:space="preserve"> </w:t>
      </w:r>
      <w:r w:rsidR="0005446E" w:rsidRPr="00951F7B">
        <w:rPr>
          <w:rFonts w:ascii="Times New Roman" w:hAnsi="Times New Roman" w:cs="Times New Roman"/>
          <w:sz w:val="24"/>
          <w:szCs w:val="24"/>
        </w:rPr>
        <w:t>destac</w:t>
      </w:r>
      <w:r>
        <w:rPr>
          <w:rFonts w:ascii="Times New Roman" w:hAnsi="Times New Roman" w:cs="Times New Roman"/>
          <w:sz w:val="24"/>
          <w:szCs w:val="24"/>
        </w:rPr>
        <w:t>ó</w:t>
      </w:r>
      <w:r w:rsidR="0005446E" w:rsidRPr="00951F7B">
        <w:rPr>
          <w:rFonts w:ascii="Times New Roman" w:hAnsi="Times New Roman" w:cs="Times New Roman"/>
          <w:sz w:val="24"/>
          <w:szCs w:val="24"/>
        </w:rPr>
        <w:t xml:space="preserve"> la importancia del contexto </w:t>
      </w:r>
      <w:r w:rsidR="00D069AA" w:rsidRPr="00951F7B">
        <w:rPr>
          <w:rFonts w:ascii="Times New Roman" w:hAnsi="Times New Roman" w:cs="Times New Roman"/>
          <w:sz w:val="24"/>
          <w:szCs w:val="24"/>
        </w:rPr>
        <w:t>histórico</w:t>
      </w:r>
      <w:r w:rsidR="0005446E" w:rsidRPr="00951F7B">
        <w:rPr>
          <w:rFonts w:ascii="Times New Roman" w:hAnsi="Times New Roman" w:cs="Times New Roman"/>
          <w:sz w:val="24"/>
          <w:szCs w:val="24"/>
        </w:rPr>
        <w:t xml:space="preserve"> y </w:t>
      </w:r>
      <w:r w:rsidR="003A2FFF">
        <w:rPr>
          <w:rFonts w:ascii="Times New Roman" w:hAnsi="Times New Roman" w:cs="Times New Roman"/>
          <w:sz w:val="24"/>
          <w:szCs w:val="24"/>
        </w:rPr>
        <w:t>la</w:t>
      </w:r>
      <w:r w:rsidR="00A30325">
        <w:rPr>
          <w:rFonts w:ascii="Times New Roman" w:hAnsi="Times New Roman" w:cs="Times New Roman"/>
          <w:sz w:val="24"/>
          <w:szCs w:val="24"/>
        </w:rPr>
        <w:t xml:space="preserve"> injerencia</w:t>
      </w:r>
      <w:r w:rsidR="0005446E" w:rsidRPr="00951F7B">
        <w:rPr>
          <w:rFonts w:ascii="Times New Roman" w:hAnsi="Times New Roman" w:cs="Times New Roman"/>
          <w:sz w:val="24"/>
          <w:szCs w:val="24"/>
        </w:rPr>
        <w:t xml:space="preserve"> </w:t>
      </w:r>
      <w:r w:rsidR="003A2FFF">
        <w:rPr>
          <w:rFonts w:ascii="Times New Roman" w:hAnsi="Times New Roman" w:cs="Times New Roman"/>
          <w:sz w:val="24"/>
          <w:szCs w:val="24"/>
        </w:rPr>
        <w:t xml:space="preserve">de este </w:t>
      </w:r>
      <w:r w:rsidR="00DE119D" w:rsidRPr="00951F7B">
        <w:rPr>
          <w:rFonts w:ascii="Times New Roman" w:hAnsi="Times New Roman" w:cs="Times New Roman"/>
          <w:sz w:val="24"/>
          <w:szCs w:val="24"/>
        </w:rPr>
        <w:t xml:space="preserve">en la </w:t>
      </w:r>
      <w:r w:rsidR="00A30325">
        <w:rPr>
          <w:rFonts w:ascii="Times New Roman" w:hAnsi="Times New Roman" w:cs="Times New Roman"/>
          <w:sz w:val="24"/>
          <w:szCs w:val="24"/>
        </w:rPr>
        <w:t xml:space="preserve">manera </w:t>
      </w:r>
      <w:r w:rsidR="00DE119D" w:rsidRPr="00951F7B">
        <w:rPr>
          <w:rFonts w:ascii="Times New Roman" w:hAnsi="Times New Roman" w:cs="Times New Roman"/>
          <w:sz w:val="24"/>
          <w:szCs w:val="24"/>
        </w:rPr>
        <w:t xml:space="preserve">en que los </w:t>
      </w:r>
      <w:r w:rsidR="0005446E" w:rsidRPr="00951F7B">
        <w:rPr>
          <w:rFonts w:ascii="Times New Roman" w:hAnsi="Times New Roman" w:cs="Times New Roman"/>
          <w:sz w:val="24"/>
          <w:szCs w:val="24"/>
        </w:rPr>
        <w:t>procesos y las</w:t>
      </w:r>
      <w:r w:rsidR="00DE119D" w:rsidRPr="00951F7B">
        <w:rPr>
          <w:rFonts w:ascii="Times New Roman" w:hAnsi="Times New Roman" w:cs="Times New Roman"/>
          <w:sz w:val="24"/>
          <w:szCs w:val="24"/>
        </w:rPr>
        <w:t xml:space="preserve"> funciones de la</w:t>
      </w:r>
      <w:r w:rsidR="000641EB">
        <w:rPr>
          <w:rFonts w:ascii="Times New Roman" w:hAnsi="Times New Roman" w:cs="Times New Roman"/>
          <w:sz w:val="24"/>
          <w:szCs w:val="24"/>
        </w:rPr>
        <w:t>s</w:t>
      </w:r>
      <w:r w:rsidR="00DE119D" w:rsidRPr="00951F7B">
        <w:rPr>
          <w:rFonts w:ascii="Times New Roman" w:hAnsi="Times New Roman" w:cs="Times New Roman"/>
          <w:sz w:val="24"/>
          <w:szCs w:val="24"/>
        </w:rPr>
        <w:t xml:space="preserve"> </w:t>
      </w:r>
      <w:r w:rsidR="000641EB">
        <w:rPr>
          <w:rFonts w:ascii="Times New Roman" w:hAnsi="Times New Roman" w:cs="Times New Roman"/>
          <w:sz w:val="24"/>
          <w:szCs w:val="24"/>
        </w:rPr>
        <w:t>organizaciones</w:t>
      </w:r>
      <w:r w:rsidR="000641EB" w:rsidRPr="00951F7B">
        <w:rPr>
          <w:rFonts w:ascii="Times New Roman" w:hAnsi="Times New Roman" w:cs="Times New Roman"/>
          <w:sz w:val="24"/>
          <w:szCs w:val="24"/>
        </w:rPr>
        <w:t xml:space="preserve"> </w:t>
      </w:r>
      <w:r w:rsidR="00DE119D" w:rsidRPr="00951F7B">
        <w:rPr>
          <w:rFonts w:ascii="Times New Roman" w:hAnsi="Times New Roman" w:cs="Times New Roman"/>
          <w:sz w:val="24"/>
          <w:szCs w:val="24"/>
        </w:rPr>
        <w:t xml:space="preserve">son </w:t>
      </w:r>
      <w:r w:rsidR="00290525">
        <w:rPr>
          <w:rFonts w:ascii="Times New Roman" w:hAnsi="Times New Roman" w:cs="Times New Roman"/>
          <w:sz w:val="24"/>
          <w:szCs w:val="24"/>
        </w:rPr>
        <w:t>llevados a cabo</w:t>
      </w:r>
      <w:r w:rsidR="003A2FFF">
        <w:rPr>
          <w:rFonts w:ascii="Times New Roman" w:hAnsi="Times New Roman" w:cs="Times New Roman"/>
          <w:sz w:val="24"/>
          <w:szCs w:val="24"/>
        </w:rPr>
        <w:t>.</w:t>
      </w:r>
      <w:r w:rsidR="0005446E" w:rsidRPr="00951F7B">
        <w:rPr>
          <w:rFonts w:ascii="Times New Roman" w:hAnsi="Times New Roman" w:cs="Times New Roman"/>
          <w:sz w:val="24"/>
          <w:szCs w:val="24"/>
        </w:rPr>
        <w:t xml:space="preserve"> </w:t>
      </w:r>
      <w:r w:rsidR="00290525" w:rsidRPr="00951F7B">
        <w:rPr>
          <w:rFonts w:ascii="Times New Roman" w:hAnsi="Times New Roman" w:cs="Times New Roman"/>
          <w:sz w:val="24"/>
          <w:szCs w:val="24"/>
        </w:rPr>
        <w:t xml:space="preserve">Mayntz (1980) </w:t>
      </w:r>
      <w:r w:rsidR="0005446E" w:rsidRPr="00951F7B">
        <w:rPr>
          <w:rFonts w:ascii="Times New Roman" w:hAnsi="Times New Roman" w:cs="Times New Roman"/>
          <w:sz w:val="24"/>
          <w:szCs w:val="24"/>
        </w:rPr>
        <w:t xml:space="preserve">advierte que la gran </w:t>
      </w:r>
      <w:r w:rsidR="00D069AA" w:rsidRPr="00951F7B">
        <w:rPr>
          <w:rFonts w:ascii="Times New Roman" w:hAnsi="Times New Roman" w:cs="Times New Roman"/>
          <w:sz w:val="24"/>
          <w:szCs w:val="24"/>
        </w:rPr>
        <w:t>mayoría</w:t>
      </w:r>
      <w:r w:rsidR="0005446E" w:rsidRPr="00951F7B">
        <w:rPr>
          <w:rFonts w:ascii="Times New Roman" w:hAnsi="Times New Roman" w:cs="Times New Roman"/>
          <w:sz w:val="24"/>
          <w:szCs w:val="24"/>
        </w:rPr>
        <w:t xml:space="preserve"> de las </w:t>
      </w:r>
      <w:r w:rsidR="00DE119D" w:rsidRPr="00951F7B">
        <w:rPr>
          <w:rFonts w:ascii="Times New Roman" w:hAnsi="Times New Roman" w:cs="Times New Roman"/>
          <w:sz w:val="24"/>
          <w:szCs w:val="24"/>
        </w:rPr>
        <w:t xml:space="preserve">actuales </w:t>
      </w:r>
      <w:r w:rsidR="0005446E" w:rsidRPr="00951F7B">
        <w:rPr>
          <w:rFonts w:ascii="Times New Roman" w:hAnsi="Times New Roman" w:cs="Times New Roman"/>
          <w:sz w:val="24"/>
          <w:szCs w:val="24"/>
        </w:rPr>
        <w:t xml:space="preserve">organizaciones siguen manteniendo </w:t>
      </w:r>
      <w:r w:rsidR="00DE119D" w:rsidRPr="00951F7B">
        <w:rPr>
          <w:rFonts w:ascii="Times New Roman" w:hAnsi="Times New Roman" w:cs="Times New Roman"/>
          <w:sz w:val="24"/>
          <w:szCs w:val="24"/>
        </w:rPr>
        <w:t>una</w:t>
      </w:r>
      <w:r w:rsidR="0005446E" w:rsidRPr="00951F7B">
        <w:rPr>
          <w:rFonts w:ascii="Times New Roman" w:hAnsi="Times New Roman" w:cs="Times New Roman"/>
          <w:sz w:val="24"/>
          <w:szCs w:val="24"/>
        </w:rPr>
        <w:t xml:space="preserve"> estructura </w:t>
      </w:r>
      <w:r w:rsidR="00730B32">
        <w:rPr>
          <w:rFonts w:ascii="Times New Roman" w:hAnsi="Times New Roman" w:cs="Times New Roman"/>
          <w:sz w:val="24"/>
          <w:szCs w:val="24"/>
        </w:rPr>
        <w:t>esbozada por la</w:t>
      </w:r>
      <w:r w:rsidR="00DE119D" w:rsidRPr="00951F7B">
        <w:rPr>
          <w:rFonts w:ascii="Times New Roman" w:hAnsi="Times New Roman" w:cs="Times New Roman"/>
          <w:sz w:val="24"/>
          <w:szCs w:val="24"/>
        </w:rPr>
        <w:t xml:space="preserve"> sociedad industrial </w:t>
      </w:r>
      <w:r w:rsidR="00DF651C" w:rsidRPr="00951F7B">
        <w:rPr>
          <w:rFonts w:ascii="Times New Roman" w:hAnsi="Times New Roman" w:cs="Times New Roman"/>
          <w:sz w:val="24"/>
          <w:szCs w:val="24"/>
        </w:rPr>
        <w:t>poster</w:t>
      </w:r>
      <w:r w:rsidR="00FD4D01" w:rsidRPr="00951F7B">
        <w:rPr>
          <w:rFonts w:ascii="Times New Roman" w:hAnsi="Times New Roman" w:cs="Times New Roman"/>
          <w:sz w:val="24"/>
          <w:szCs w:val="24"/>
        </w:rPr>
        <w:t xml:space="preserve">ior a la </w:t>
      </w:r>
      <w:r w:rsidR="00730B32">
        <w:rPr>
          <w:rFonts w:ascii="Times New Roman" w:hAnsi="Times New Roman" w:cs="Times New Roman"/>
          <w:sz w:val="24"/>
          <w:szCs w:val="24"/>
        </w:rPr>
        <w:t>S</w:t>
      </w:r>
      <w:r w:rsidR="00730B32" w:rsidRPr="00951F7B">
        <w:rPr>
          <w:rFonts w:ascii="Times New Roman" w:hAnsi="Times New Roman" w:cs="Times New Roman"/>
          <w:sz w:val="24"/>
          <w:szCs w:val="24"/>
        </w:rPr>
        <w:t xml:space="preserve">egunda </w:t>
      </w:r>
      <w:r w:rsidR="00730B32">
        <w:rPr>
          <w:rFonts w:ascii="Times New Roman" w:hAnsi="Times New Roman" w:cs="Times New Roman"/>
          <w:sz w:val="24"/>
          <w:szCs w:val="24"/>
        </w:rPr>
        <w:t>G</w:t>
      </w:r>
      <w:r w:rsidR="00730B32" w:rsidRPr="00951F7B">
        <w:rPr>
          <w:rFonts w:ascii="Times New Roman" w:hAnsi="Times New Roman" w:cs="Times New Roman"/>
          <w:sz w:val="24"/>
          <w:szCs w:val="24"/>
        </w:rPr>
        <w:t xml:space="preserve">uerra </w:t>
      </w:r>
      <w:r w:rsidR="00730B32">
        <w:rPr>
          <w:rFonts w:ascii="Times New Roman" w:hAnsi="Times New Roman" w:cs="Times New Roman"/>
          <w:sz w:val="24"/>
          <w:szCs w:val="24"/>
        </w:rPr>
        <w:t>M</w:t>
      </w:r>
      <w:r w:rsidR="00730B32" w:rsidRPr="00951F7B">
        <w:rPr>
          <w:rFonts w:ascii="Times New Roman" w:hAnsi="Times New Roman" w:cs="Times New Roman"/>
          <w:sz w:val="24"/>
          <w:szCs w:val="24"/>
        </w:rPr>
        <w:t>undial</w:t>
      </w:r>
      <w:r w:rsidR="00730B32">
        <w:rPr>
          <w:rFonts w:ascii="Times New Roman" w:hAnsi="Times New Roman" w:cs="Times New Roman"/>
          <w:sz w:val="24"/>
          <w:szCs w:val="24"/>
        </w:rPr>
        <w:t>.</w:t>
      </w:r>
      <w:r w:rsidR="00FD4D01" w:rsidRPr="00951F7B">
        <w:rPr>
          <w:rFonts w:ascii="Times New Roman" w:hAnsi="Times New Roman" w:cs="Times New Roman"/>
          <w:sz w:val="24"/>
          <w:szCs w:val="24"/>
        </w:rPr>
        <w:t xml:space="preserve"> </w:t>
      </w:r>
      <w:r w:rsidR="00730B32" w:rsidRPr="00951F7B">
        <w:rPr>
          <w:rFonts w:ascii="Times New Roman" w:hAnsi="Times New Roman" w:cs="Times New Roman"/>
          <w:sz w:val="24"/>
          <w:szCs w:val="24"/>
        </w:rPr>
        <w:t>March (1981)</w:t>
      </w:r>
      <w:r w:rsidR="00FD4D01" w:rsidRPr="00951F7B">
        <w:rPr>
          <w:rFonts w:ascii="Times New Roman" w:hAnsi="Times New Roman" w:cs="Times New Roman"/>
          <w:sz w:val="24"/>
          <w:szCs w:val="24"/>
        </w:rPr>
        <w:t>,</w:t>
      </w:r>
      <w:r w:rsidR="00730B32">
        <w:rPr>
          <w:rFonts w:ascii="Times New Roman" w:hAnsi="Times New Roman" w:cs="Times New Roman"/>
          <w:sz w:val="24"/>
          <w:szCs w:val="24"/>
        </w:rPr>
        <w:t xml:space="preserve"> por su parte,</w:t>
      </w:r>
      <w:r w:rsidR="00D96641" w:rsidRPr="00951F7B">
        <w:rPr>
          <w:rFonts w:ascii="Times New Roman" w:hAnsi="Times New Roman" w:cs="Times New Roman"/>
          <w:sz w:val="24"/>
          <w:szCs w:val="24"/>
        </w:rPr>
        <w:t xml:space="preserve"> </w:t>
      </w:r>
      <w:r w:rsidR="00FD4D01" w:rsidRPr="00951F7B">
        <w:rPr>
          <w:rFonts w:ascii="Times New Roman" w:hAnsi="Times New Roman" w:cs="Times New Roman"/>
          <w:sz w:val="24"/>
          <w:szCs w:val="24"/>
        </w:rPr>
        <w:t xml:space="preserve">argumenta que </w:t>
      </w:r>
      <w:r w:rsidR="00D96641" w:rsidRPr="00951F7B">
        <w:rPr>
          <w:rFonts w:ascii="Times New Roman" w:hAnsi="Times New Roman" w:cs="Times New Roman"/>
          <w:sz w:val="24"/>
          <w:szCs w:val="24"/>
        </w:rPr>
        <w:t>las organizaciones burocráticas tienden a ser ordinariamente competentes y a tener poca iniciativa</w:t>
      </w:r>
      <w:r w:rsidR="00730B32">
        <w:rPr>
          <w:rFonts w:ascii="Times New Roman" w:hAnsi="Times New Roman" w:cs="Times New Roman"/>
          <w:sz w:val="24"/>
          <w:szCs w:val="24"/>
        </w:rPr>
        <w:t>,</w:t>
      </w:r>
      <w:r w:rsidR="00730B32" w:rsidRPr="00951F7B">
        <w:rPr>
          <w:rFonts w:ascii="Times New Roman" w:hAnsi="Times New Roman" w:cs="Times New Roman"/>
          <w:sz w:val="24"/>
          <w:szCs w:val="24"/>
        </w:rPr>
        <w:t xml:space="preserve"> </w:t>
      </w:r>
      <w:r w:rsidR="00DE119D" w:rsidRPr="00951F7B">
        <w:rPr>
          <w:rFonts w:ascii="Times New Roman" w:hAnsi="Times New Roman" w:cs="Times New Roman"/>
          <w:sz w:val="24"/>
          <w:szCs w:val="24"/>
        </w:rPr>
        <w:t>características que pudieran ser cuestionadas en la segunda década del siglo XXI.</w:t>
      </w:r>
    </w:p>
    <w:p w14:paraId="49002D0D" w14:textId="5E7D7AB0" w:rsidR="00D54812" w:rsidRDefault="0098740C" w:rsidP="00951F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Ahora bien, </w:t>
      </w:r>
      <w:proofErr w:type="spellStart"/>
      <w:r w:rsidR="004B132D" w:rsidRPr="00951F7B">
        <w:rPr>
          <w:rFonts w:ascii="Times New Roman" w:hAnsi="Times New Roman" w:cs="Times New Roman"/>
          <w:sz w:val="24"/>
          <w:szCs w:val="24"/>
        </w:rPr>
        <w:t>Birnbaum</w:t>
      </w:r>
      <w:proofErr w:type="spellEnd"/>
      <w:r w:rsidR="004B132D" w:rsidRPr="00951F7B">
        <w:rPr>
          <w:rFonts w:ascii="Times New Roman" w:hAnsi="Times New Roman" w:cs="Times New Roman"/>
          <w:sz w:val="24"/>
          <w:szCs w:val="24"/>
        </w:rPr>
        <w:t xml:space="preserve"> </w:t>
      </w:r>
      <w:r w:rsidR="002A488F" w:rsidRPr="00951F7B">
        <w:rPr>
          <w:rFonts w:ascii="Times New Roman" w:hAnsi="Times New Roman" w:cs="Times New Roman"/>
          <w:sz w:val="24"/>
          <w:szCs w:val="24"/>
        </w:rPr>
        <w:t>(1991</w:t>
      </w:r>
      <w:r w:rsidR="008F5287" w:rsidRPr="00951F7B">
        <w:rPr>
          <w:rFonts w:ascii="Times New Roman" w:hAnsi="Times New Roman" w:cs="Times New Roman"/>
          <w:sz w:val="24"/>
          <w:szCs w:val="24"/>
        </w:rPr>
        <w:t>)</w:t>
      </w:r>
      <w:r w:rsidR="00D54812" w:rsidRPr="00951F7B">
        <w:rPr>
          <w:rFonts w:ascii="Times New Roman" w:hAnsi="Times New Roman" w:cs="Times New Roman"/>
          <w:sz w:val="24"/>
          <w:szCs w:val="24"/>
        </w:rPr>
        <w:t xml:space="preserve"> </w:t>
      </w:r>
      <w:r w:rsidR="00EC3290">
        <w:rPr>
          <w:rFonts w:ascii="Times New Roman" w:hAnsi="Times New Roman" w:cs="Times New Roman"/>
          <w:sz w:val="24"/>
          <w:szCs w:val="24"/>
        </w:rPr>
        <w:t xml:space="preserve">señala </w:t>
      </w:r>
      <w:r w:rsidR="00DE119D" w:rsidRPr="00951F7B">
        <w:rPr>
          <w:rFonts w:ascii="Times New Roman" w:hAnsi="Times New Roman" w:cs="Times New Roman"/>
          <w:sz w:val="24"/>
          <w:szCs w:val="24"/>
        </w:rPr>
        <w:t xml:space="preserve">la existencia de </w:t>
      </w:r>
      <w:r w:rsidR="00D54812" w:rsidRPr="00951F7B">
        <w:rPr>
          <w:rFonts w:ascii="Times New Roman" w:hAnsi="Times New Roman" w:cs="Times New Roman"/>
          <w:sz w:val="24"/>
          <w:szCs w:val="24"/>
        </w:rPr>
        <w:t>factores de contingencia</w:t>
      </w:r>
      <w:r w:rsidR="00DE119D" w:rsidRPr="00951F7B">
        <w:rPr>
          <w:rFonts w:ascii="Times New Roman" w:hAnsi="Times New Roman" w:cs="Times New Roman"/>
          <w:sz w:val="24"/>
          <w:szCs w:val="24"/>
        </w:rPr>
        <w:t xml:space="preserve"> que pudieran influir en el logro de los objetivos generales</w:t>
      </w:r>
      <w:r w:rsidR="00EC3290">
        <w:rPr>
          <w:rFonts w:ascii="Times New Roman" w:hAnsi="Times New Roman" w:cs="Times New Roman"/>
          <w:sz w:val="24"/>
          <w:szCs w:val="24"/>
        </w:rPr>
        <w:t xml:space="preserve"> de las univers</w:t>
      </w:r>
      <w:r w:rsidR="008F16B5">
        <w:rPr>
          <w:rFonts w:ascii="Times New Roman" w:hAnsi="Times New Roman" w:cs="Times New Roman"/>
          <w:sz w:val="24"/>
          <w:szCs w:val="24"/>
        </w:rPr>
        <w:t>i</w:t>
      </w:r>
      <w:r w:rsidR="00EC3290">
        <w:rPr>
          <w:rFonts w:ascii="Times New Roman" w:hAnsi="Times New Roman" w:cs="Times New Roman"/>
          <w:sz w:val="24"/>
          <w:szCs w:val="24"/>
        </w:rPr>
        <w:t>dades</w:t>
      </w:r>
      <w:r w:rsidR="00DE119D" w:rsidRPr="00951F7B">
        <w:rPr>
          <w:rFonts w:ascii="Times New Roman" w:hAnsi="Times New Roman" w:cs="Times New Roman"/>
          <w:sz w:val="24"/>
          <w:szCs w:val="24"/>
        </w:rPr>
        <w:t xml:space="preserve">. </w:t>
      </w:r>
      <w:r w:rsidR="00A87F80">
        <w:rPr>
          <w:rFonts w:ascii="Times New Roman" w:hAnsi="Times New Roman" w:cs="Times New Roman"/>
          <w:sz w:val="24"/>
          <w:szCs w:val="24"/>
        </w:rPr>
        <w:t>Así</w:t>
      </w:r>
      <w:r w:rsidR="00DE119D" w:rsidRPr="00951F7B">
        <w:rPr>
          <w:rFonts w:ascii="Times New Roman" w:hAnsi="Times New Roman" w:cs="Times New Roman"/>
          <w:sz w:val="24"/>
          <w:szCs w:val="24"/>
        </w:rPr>
        <w:t>,</w:t>
      </w:r>
      <w:r w:rsidR="00A87F80">
        <w:rPr>
          <w:rFonts w:ascii="Times New Roman" w:hAnsi="Times New Roman" w:cs="Times New Roman"/>
          <w:sz w:val="24"/>
          <w:szCs w:val="24"/>
        </w:rPr>
        <w:t xml:space="preserve"> este autor</w:t>
      </w:r>
      <w:r w:rsidR="00DE119D" w:rsidRPr="00951F7B">
        <w:rPr>
          <w:rFonts w:ascii="Times New Roman" w:hAnsi="Times New Roman" w:cs="Times New Roman"/>
          <w:sz w:val="24"/>
          <w:szCs w:val="24"/>
        </w:rPr>
        <w:t xml:space="preserve"> </w:t>
      </w:r>
      <w:r w:rsidR="005D737B" w:rsidRPr="00951F7B">
        <w:rPr>
          <w:rFonts w:ascii="Times New Roman" w:hAnsi="Times New Roman" w:cs="Times New Roman"/>
          <w:sz w:val="24"/>
          <w:szCs w:val="24"/>
        </w:rPr>
        <w:t>considera</w:t>
      </w:r>
      <w:r w:rsidR="00D54812" w:rsidRPr="00951F7B">
        <w:rPr>
          <w:rFonts w:ascii="Times New Roman" w:hAnsi="Times New Roman" w:cs="Times New Roman"/>
          <w:sz w:val="24"/>
          <w:szCs w:val="24"/>
        </w:rPr>
        <w:t xml:space="preserve"> </w:t>
      </w:r>
      <w:r w:rsidR="005D737B" w:rsidRPr="00951F7B">
        <w:rPr>
          <w:rFonts w:ascii="Times New Roman" w:hAnsi="Times New Roman" w:cs="Times New Roman"/>
          <w:sz w:val="24"/>
          <w:szCs w:val="24"/>
        </w:rPr>
        <w:t>a</w:t>
      </w:r>
      <w:r w:rsidR="00D54812" w:rsidRPr="00951F7B">
        <w:rPr>
          <w:rFonts w:ascii="Times New Roman" w:hAnsi="Times New Roman" w:cs="Times New Roman"/>
          <w:sz w:val="24"/>
          <w:szCs w:val="24"/>
        </w:rPr>
        <w:t>l tamaño de la universidad</w:t>
      </w:r>
      <w:r w:rsidR="005D737B" w:rsidRPr="00951F7B">
        <w:rPr>
          <w:rFonts w:ascii="Times New Roman" w:hAnsi="Times New Roman" w:cs="Times New Roman"/>
          <w:sz w:val="24"/>
          <w:szCs w:val="24"/>
        </w:rPr>
        <w:t xml:space="preserve"> como</w:t>
      </w:r>
      <w:r w:rsidR="00D54812" w:rsidRPr="00951F7B">
        <w:rPr>
          <w:rFonts w:ascii="Times New Roman" w:hAnsi="Times New Roman" w:cs="Times New Roman"/>
          <w:sz w:val="24"/>
          <w:szCs w:val="24"/>
        </w:rPr>
        <w:t xml:space="preserve"> un factor que influye en sus funciones y en la forma </w:t>
      </w:r>
      <w:r w:rsidR="00077A99">
        <w:rPr>
          <w:rFonts w:ascii="Times New Roman" w:hAnsi="Times New Roman" w:cs="Times New Roman"/>
          <w:sz w:val="24"/>
          <w:szCs w:val="24"/>
        </w:rPr>
        <w:t>en</w:t>
      </w:r>
      <w:r w:rsidR="00077A99" w:rsidRPr="00951F7B">
        <w:rPr>
          <w:rFonts w:ascii="Times New Roman" w:hAnsi="Times New Roman" w:cs="Times New Roman"/>
          <w:sz w:val="24"/>
          <w:szCs w:val="24"/>
        </w:rPr>
        <w:t xml:space="preserve"> </w:t>
      </w:r>
      <w:r w:rsidR="00D54812" w:rsidRPr="00951F7B">
        <w:rPr>
          <w:rFonts w:ascii="Times New Roman" w:hAnsi="Times New Roman" w:cs="Times New Roman"/>
          <w:sz w:val="24"/>
          <w:szCs w:val="24"/>
        </w:rPr>
        <w:t>cómo se organiza.</w:t>
      </w:r>
      <w:r w:rsidR="002215AF" w:rsidRPr="00951F7B">
        <w:rPr>
          <w:rFonts w:ascii="Times New Roman" w:hAnsi="Times New Roman" w:cs="Times New Roman"/>
          <w:sz w:val="24"/>
          <w:szCs w:val="24"/>
        </w:rPr>
        <w:t xml:space="preserve"> De igual forma, </w:t>
      </w:r>
      <w:r w:rsidR="00D54812" w:rsidRPr="00951F7B">
        <w:rPr>
          <w:rFonts w:ascii="Times New Roman" w:hAnsi="Times New Roman" w:cs="Times New Roman"/>
          <w:sz w:val="24"/>
          <w:szCs w:val="24"/>
        </w:rPr>
        <w:t xml:space="preserve">argumenta que </w:t>
      </w:r>
      <w:r w:rsidR="00A87F80">
        <w:rPr>
          <w:rFonts w:ascii="Times New Roman" w:hAnsi="Times New Roman" w:cs="Times New Roman"/>
          <w:sz w:val="24"/>
          <w:szCs w:val="24"/>
        </w:rPr>
        <w:t>al</w:t>
      </w:r>
      <w:r w:rsidR="00A87F80" w:rsidRPr="00951F7B">
        <w:rPr>
          <w:rFonts w:ascii="Times New Roman" w:hAnsi="Times New Roman" w:cs="Times New Roman"/>
          <w:sz w:val="24"/>
          <w:szCs w:val="24"/>
        </w:rPr>
        <w:t xml:space="preserve"> </w:t>
      </w:r>
      <w:r w:rsidR="00D54812" w:rsidRPr="00951F7B">
        <w:rPr>
          <w:rFonts w:ascii="Times New Roman" w:hAnsi="Times New Roman" w:cs="Times New Roman"/>
          <w:sz w:val="24"/>
          <w:szCs w:val="24"/>
        </w:rPr>
        <w:t xml:space="preserve">estudiar </w:t>
      </w:r>
      <w:r w:rsidR="00A87F80">
        <w:rPr>
          <w:rFonts w:ascii="Times New Roman" w:hAnsi="Times New Roman" w:cs="Times New Roman"/>
          <w:sz w:val="24"/>
          <w:szCs w:val="24"/>
        </w:rPr>
        <w:t xml:space="preserve">a </w:t>
      </w:r>
      <w:r w:rsidR="00D54812" w:rsidRPr="00951F7B">
        <w:rPr>
          <w:rFonts w:ascii="Times New Roman" w:hAnsi="Times New Roman" w:cs="Times New Roman"/>
          <w:sz w:val="24"/>
          <w:szCs w:val="24"/>
        </w:rPr>
        <w:t xml:space="preserve">las universidades </w:t>
      </w:r>
      <w:r w:rsidR="00A92B56" w:rsidRPr="00951F7B">
        <w:rPr>
          <w:rFonts w:ascii="Times New Roman" w:hAnsi="Times New Roman" w:cs="Times New Roman"/>
          <w:sz w:val="24"/>
          <w:szCs w:val="24"/>
        </w:rPr>
        <w:t>habría</w:t>
      </w:r>
      <w:r w:rsidR="00D54812" w:rsidRPr="00951F7B">
        <w:rPr>
          <w:rFonts w:ascii="Times New Roman" w:hAnsi="Times New Roman" w:cs="Times New Roman"/>
          <w:sz w:val="24"/>
          <w:szCs w:val="24"/>
        </w:rPr>
        <w:t xml:space="preserve"> que </w:t>
      </w:r>
      <w:r w:rsidR="00B61BB6">
        <w:rPr>
          <w:rFonts w:ascii="Times New Roman" w:hAnsi="Times New Roman" w:cs="Times New Roman"/>
          <w:sz w:val="24"/>
          <w:szCs w:val="24"/>
        </w:rPr>
        <w:t>trazar una</w:t>
      </w:r>
      <w:r w:rsidR="00E64790" w:rsidRPr="00951F7B">
        <w:rPr>
          <w:rFonts w:ascii="Times New Roman" w:hAnsi="Times New Roman" w:cs="Times New Roman"/>
          <w:sz w:val="24"/>
          <w:szCs w:val="24"/>
        </w:rPr>
        <w:t xml:space="preserve"> tipología </w:t>
      </w:r>
      <w:r w:rsidR="00D54812" w:rsidRPr="00951F7B">
        <w:rPr>
          <w:rFonts w:ascii="Times New Roman" w:hAnsi="Times New Roman" w:cs="Times New Roman"/>
          <w:sz w:val="24"/>
          <w:szCs w:val="24"/>
        </w:rPr>
        <w:t xml:space="preserve">de modelos. </w:t>
      </w:r>
      <w:r w:rsidR="00E64790" w:rsidRPr="00951F7B">
        <w:rPr>
          <w:rFonts w:ascii="Times New Roman" w:hAnsi="Times New Roman" w:cs="Times New Roman"/>
          <w:sz w:val="24"/>
          <w:szCs w:val="24"/>
        </w:rPr>
        <w:t>Por ejemplo</w:t>
      </w:r>
      <w:r w:rsidR="00D54812" w:rsidRPr="00951F7B">
        <w:rPr>
          <w:rFonts w:ascii="Times New Roman" w:hAnsi="Times New Roman" w:cs="Times New Roman"/>
          <w:sz w:val="24"/>
          <w:szCs w:val="24"/>
        </w:rPr>
        <w:t xml:space="preserve">, el modelo </w:t>
      </w:r>
      <w:r w:rsidR="00A92B56" w:rsidRPr="00951F7B">
        <w:rPr>
          <w:rFonts w:ascii="Times New Roman" w:hAnsi="Times New Roman" w:cs="Times New Roman"/>
          <w:sz w:val="24"/>
          <w:szCs w:val="24"/>
        </w:rPr>
        <w:t>burocrático</w:t>
      </w:r>
      <w:r w:rsidR="00D54812" w:rsidRPr="00951F7B">
        <w:rPr>
          <w:rFonts w:ascii="Times New Roman" w:hAnsi="Times New Roman" w:cs="Times New Roman"/>
          <w:sz w:val="24"/>
          <w:szCs w:val="24"/>
        </w:rPr>
        <w:t xml:space="preserve">, </w:t>
      </w:r>
      <w:r w:rsidR="00B61BB6">
        <w:rPr>
          <w:rFonts w:ascii="Times New Roman" w:hAnsi="Times New Roman" w:cs="Times New Roman"/>
          <w:sz w:val="24"/>
          <w:szCs w:val="24"/>
        </w:rPr>
        <w:t>que</w:t>
      </w:r>
      <w:r w:rsidR="00B61BB6" w:rsidRPr="00951F7B">
        <w:rPr>
          <w:rFonts w:ascii="Times New Roman" w:hAnsi="Times New Roman" w:cs="Times New Roman"/>
          <w:sz w:val="24"/>
          <w:szCs w:val="24"/>
        </w:rPr>
        <w:t xml:space="preserve"> </w:t>
      </w:r>
      <w:r w:rsidR="00D54812" w:rsidRPr="00951F7B">
        <w:rPr>
          <w:rFonts w:ascii="Times New Roman" w:hAnsi="Times New Roman" w:cs="Times New Roman"/>
          <w:sz w:val="24"/>
          <w:szCs w:val="24"/>
        </w:rPr>
        <w:t>lo</w:t>
      </w:r>
      <w:r w:rsidR="00A92B56" w:rsidRPr="00951F7B">
        <w:rPr>
          <w:rFonts w:ascii="Times New Roman" w:hAnsi="Times New Roman" w:cs="Times New Roman"/>
          <w:sz w:val="24"/>
          <w:szCs w:val="24"/>
        </w:rPr>
        <w:t xml:space="preserve"> define como un modelo racional, </w:t>
      </w:r>
      <w:r w:rsidR="002215AF" w:rsidRPr="00951F7B">
        <w:rPr>
          <w:rFonts w:ascii="Times New Roman" w:hAnsi="Times New Roman" w:cs="Times New Roman"/>
          <w:sz w:val="24"/>
          <w:szCs w:val="24"/>
        </w:rPr>
        <w:t>con una autoridad centralizada</w:t>
      </w:r>
      <w:r w:rsidR="00B61BB6">
        <w:rPr>
          <w:rFonts w:ascii="Times New Roman" w:hAnsi="Times New Roman" w:cs="Times New Roman"/>
          <w:sz w:val="24"/>
          <w:szCs w:val="24"/>
        </w:rPr>
        <w:t>,</w:t>
      </w:r>
      <w:r w:rsidR="002215AF" w:rsidRPr="00951F7B">
        <w:rPr>
          <w:rFonts w:ascii="Times New Roman" w:hAnsi="Times New Roman" w:cs="Times New Roman"/>
          <w:sz w:val="24"/>
          <w:szCs w:val="24"/>
        </w:rPr>
        <w:t xml:space="preserve"> en donde</w:t>
      </w:r>
      <w:r w:rsidR="00A92B56" w:rsidRPr="00951F7B">
        <w:rPr>
          <w:rFonts w:ascii="Times New Roman" w:hAnsi="Times New Roman" w:cs="Times New Roman"/>
          <w:sz w:val="24"/>
          <w:szCs w:val="24"/>
        </w:rPr>
        <w:t xml:space="preserve"> lo formal se convierte en el </w:t>
      </w:r>
      <w:r w:rsidR="002215AF" w:rsidRPr="00951F7B">
        <w:rPr>
          <w:rFonts w:ascii="Times New Roman" w:hAnsi="Times New Roman" w:cs="Times New Roman"/>
          <w:sz w:val="24"/>
          <w:szCs w:val="24"/>
        </w:rPr>
        <w:t xml:space="preserve">principal </w:t>
      </w:r>
      <w:r w:rsidR="00A92B56" w:rsidRPr="00951F7B">
        <w:rPr>
          <w:rFonts w:ascii="Times New Roman" w:hAnsi="Times New Roman" w:cs="Times New Roman"/>
          <w:sz w:val="24"/>
          <w:szCs w:val="24"/>
        </w:rPr>
        <w:t xml:space="preserve">criterio </w:t>
      </w:r>
      <w:r w:rsidR="002215AF" w:rsidRPr="00951F7B">
        <w:rPr>
          <w:rFonts w:ascii="Times New Roman" w:hAnsi="Times New Roman" w:cs="Times New Roman"/>
          <w:sz w:val="24"/>
          <w:szCs w:val="24"/>
        </w:rPr>
        <w:t>para su</w:t>
      </w:r>
      <w:r w:rsidR="00A92B56" w:rsidRPr="00951F7B">
        <w:rPr>
          <w:rFonts w:ascii="Times New Roman" w:hAnsi="Times New Roman" w:cs="Times New Roman"/>
          <w:sz w:val="24"/>
          <w:szCs w:val="24"/>
        </w:rPr>
        <w:t xml:space="preserve"> funcionamiento</w:t>
      </w:r>
      <w:r w:rsidR="0067536B">
        <w:rPr>
          <w:rFonts w:ascii="Times New Roman" w:hAnsi="Times New Roman" w:cs="Times New Roman"/>
          <w:sz w:val="24"/>
          <w:szCs w:val="24"/>
        </w:rPr>
        <w:t>;</w:t>
      </w:r>
      <w:r w:rsidR="0067536B" w:rsidRPr="00951F7B">
        <w:rPr>
          <w:rFonts w:ascii="Times New Roman" w:hAnsi="Times New Roman" w:cs="Times New Roman"/>
          <w:sz w:val="24"/>
          <w:szCs w:val="24"/>
        </w:rPr>
        <w:t xml:space="preserve"> </w:t>
      </w:r>
      <w:r w:rsidR="00A92B56" w:rsidRPr="00951F7B">
        <w:rPr>
          <w:rFonts w:ascii="Times New Roman" w:hAnsi="Times New Roman" w:cs="Times New Roman"/>
          <w:sz w:val="24"/>
          <w:szCs w:val="24"/>
        </w:rPr>
        <w:t xml:space="preserve">también bajo </w:t>
      </w:r>
      <w:r w:rsidR="002215AF" w:rsidRPr="00951F7B">
        <w:rPr>
          <w:rFonts w:ascii="Times New Roman" w:hAnsi="Times New Roman" w:cs="Times New Roman"/>
          <w:sz w:val="24"/>
          <w:szCs w:val="24"/>
        </w:rPr>
        <w:t>este modelo</w:t>
      </w:r>
      <w:r w:rsidR="00A92B56" w:rsidRPr="00951F7B">
        <w:rPr>
          <w:rFonts w:ascii="Times New Roman" w:hAnsi="Times New Roman" w:cs="Times New Roman"/>
          <w:sz w:val="24"/>
          <w:szCs w:val="24"/>
        </w:rPr>
        <w:t xml:space="preserve"> se delimita</w:t>
      </w:r>
      <w:r w:rsidR="0067536B">
        <w:rPr>
          <w:rFonts w:ascii="Times New Roman" w:hAnsi="Times New Roman" w:cs="Times New Roman"/>
          <w:sz w:val="24"/>
          <w:szCs w:val="24"/>
        </w:rPr>
        <w:t>n</w:t>
      </w:r>
      <w:r w:rsidR="00A92B56" w:rsidRPr="00951F7B">
        <w:rPr>
          <w:rFonts w:ascii="Times New Roman" w:hAnsi="Times New Roman" w:cs="Times New Roman"/>
          <w:sz w:val="24"/>
          <w:szCs w:val="24"/>
        </w:rPr>
        <w:t xml:space="preserve"> los canales de comunicación. Si bien señala que esta estructura facilita algunas interacciones, también dificulta otras. En este tipo de estructura </w:t>
      </w:r>
      <w:r w:rsidR="00B7164F" w:rsidRPr="00951F7B">
        <w:rPr>
          <w:rFonts w:ascii="Times New Roman" w:hAnsi="Times New Roman" w:cs="Times New Roman"/>
          <w:sz w:val="24"/>
          <w:szCs w:val="24"/>
        </w:rPr>
        <w:t>burocrática</w:t>
      </w:r>
      <w:r w:rsidR="005D737B" w:rsidRPr="00951F7B">
        <w:rPr>
          <w:rFonts w:ascii="Times New Roman" w:hAnsi="Times New Roman" w:cs="Times New Roman"/>
          <w:sz w:val="24"/>
          <w:szCs w:val="24"/>
        </w:rPr>
        <w:t>, los miembros de la organización están</w:t>
      </w:r>
      <w:r w:rsidR="00A92B56" w:rsidRPr="00951F7B">
        <w:rPr>
          <w:rFonts w:ascii="Times New Roman" w:hAnsi="Times New Roman" w:cs="Times New Roman"/>
          <w:sz w:val="24"/>
          <w:szCs w:val="24"/>
        </w:rPr>
        <w:t xml:space="preserve"> sujetos a normas for</w:t>
      </w:r>
      <w:r w:rsidR="005D737B" w:rsidRPr="00951F7B">
        <w:rPr>
          <w:rFonts w:ascii="Times New Roman" w:hAnsi="Times New Roman" w:cs="Times New Roman"/>
          <w:sz w:val="24"/>
          <w:szCs w:val="24"/>
        </w:rPr>
        <w:t>males que describen sus roles al interior</w:t>
      </w:r>
      <w:r w:rsidR="00A92B56" w:rsidRPr="00951F7B">
        <w:rPr>
          <w:rFonts w:ascii="Times New Roman" w:hAnsi="Times New Roman" w:cs="Times New Roman"/>
          <w:sz w:val="24"/>
          <w:szCs w:val="24"/>
        </w:rPr>
        <w:t xml:space="preserve"> </w:t>
      </w:r>
      <w:r w:rsidR="005D737B" w:rsidRPr="00951F7B">
        <w:rPr>
          <w:rFonts w:ascii="Times New Roman" w:hAnsi="Times New Roman" w:cs="Times New Roman"/>
          <w:sz w:val="24"/>
          <w:szCs w:val="24"/>
        </w:rPr>
        <w:t xml:space="preserve">de </w:t>
      </w:r>
      <w:r w:rsidR="00A92B56" w:rsidRPr="00951F7B">
        <w:rPr>
          <w:rFonts w:ascii="Times New Roman" w:hAnsi="Times New Roman" w:cs="Times New Roman"/>
          <w:sz w:val="24"/>
          <w:szCs w:val="24"/>
        </w:rPr>
        <w:t>la universidad.</w:t>
      </w:r>
    </w:p>
    <w:p w14:paraId="0ED8A64E" w14:textId="77777777" w:rsidR="00125B15" w:rsidRPr="00951F7B" w:rsidRDefault="00125B15" w:rsidP="00951F7B">
      <w:pPr>
        <w:spacing w:after="0" w:line="360" w:lineRule="auto"/>
        <w:ind w:firstLine="709"/>
        <w:jc w:val="both"/>
        <w:rPr>
          <w:rFonts w:ascii="Times New Roman" w:hAnsi="Times New Roman" w:cs="Times New Roman"/>
          <w:sz w:val="24"/>
          <w:szCs w:val="24"/>
        </w:rPr>
      </w:pPr>
    </w:p>
    <w:p w14:paraId="26CD299C" w14:textId="76C8C9C7" w:rsidR="00A92B56" w:rsidRPr="00951F7B" w:rsidRDefault="00E64790"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lastRenderedPageBreak/>
        <w:t>Un</w:t>
      </w:r>
      <w:r w:rsidR="005D737B" w:rsidRPr="00951F7B">
        <w:rPr>
          <w:rFonts w:ascii="Times New Roman" w:hAnsi="Times New Roman" w:cs="Times New Roman"/>
          <w:sz w:val="24"/>
          <w:szCs w:val="24"/>
        </w:rPr>
        <w:t xml:space="preserve"> segundo modelo</w:t>
      </w:r>
      <w:r w:rsidR="00A92B56" w:rsidRPr="00951F7B">
        <w:rPr>
          <w:rFonts w:ascii="Times New Roman" w:hAnsi="Times New Roman" w:cs="Times New Roman"/>
          <w:sz w:val="24"/>
          <w:szCs w:val="24"/>
        </w:rPr>
        <w:t xml:space="preserve"> </w:t>
      </w:r>
      <w:r w:rsidR="00D14642">
        <w:rPr>
          <w:rFonts w:ascii="Times New Roman" w:hAnsi="Times New Roman" w:cs="Times New Roman"/>
          <w:sz w:val="24"/>
          <w:szCs w:val="24"/>
        </w:rPr>
        <w:t>es</w:t>
      </w:r>
      <w:r w:rsidR="00A92B56" w:rsidRPr="00951F7B">
        <w:rPr>
          <w:rFonts w:ascii="Times New Roman" w:hAnsi="Times New Roman" w:cs="Times New Roman"/>
          <w:sz w:val="24"/>
          <w:szCs w:val="24"/>
        </w:rPr>
        <w:t xml:space="preserve"> </w:t>
      </w:r>
      <w:r w:rsidR="00D14642">
        <w:rPr>
          <w:rFonts w:ascii="Times New Roman" w:hAnsi="Times New Roman" w:cs="Times New Roman"/>
          <w:sz w:val="24"/>
          <w:szCs w:val="24"/>
        </w:rPr>
        <w:t xml:space="preserve">el </w:t>
      </w:r>
      <w:r w:rsidR="00A92B56" w:rsidRPr="00951F7B">
        <w:rPr>
          <w:rFonts w:ascii="Times New Roman" w:hAnsi="Times New Roman" w:cs="Times New Roman"/>
          <w:sz w:val="24"/>
          <w:szCs w:val="24"/>
        </w:rPr>
        <w:t>colegial</w:t>
      </w:r>
      <w:r w:rsidR="00D14642">
        <w:rPr>
          <w:rFonts w:ascii="Times New Roman" w:hAnsi="Times New Roman" w:cs="Times New Roman"/>
          <w:sz w:val="24"/>
          <w:szCs w:val="24"/>
        </w:rPr>
        <w:t>. Aquí</w:t>
      </w:r>
      <w:r w:rsidR="005D737B" w:rsidRPr="00951F7B">
        <w:rPr>
          <w:rFonts w:ascii="Times New Roman" w:hAnsi="Times New Roman" w:cs="Times New Roman"/>
          <w:sz w:val="24"/>
          <w:szCs w:val="24"/>
        </w:rPr>
        <w:t xml:space="preserve"> </w:t>
      </w:r>
      <w:r w:rsidR="00A92B56" w:rsidRPr="00951F7B">
        <w:rPr>
          <w:rFonts w:ascii="Times New Roman" w:hAnsi="Times New Roman" w:cs="Times New Roman"/>
          <w:sz w:val="24"/>
          <w:szCs w:val="24"/>
        </w:rPr>
        <w:t xml:space="preserve">se emplea la </w:t>
      </w:r>
      <w:r w:rsidR="00D069AA" w:rsidRPr="00951F7B">
        <w:rPr>
          <w:rFonts w:ascii="Times New Roman" w:hAnsi="Times New Roman" w:cs="Times New Roman"/>
          <w:sz w:val="24"/>
          <w:szCs w:val="24"/>
        </w:rPr>
        <w:t>metáfora</w:t>
      </w:r>
      <w:r w:rsidR="005D737B" w:rsidRPr="00951F7B">
        <w:rPr>
          <w:rFonts w:ascii="Times New Roman" w:hAnsi="Times New Roman" w:cs="Times New Roman"/>
          <w:sz w:val="24"/>
          <w:szCs w:val="24"/>
        </w:rPr>
        <w:t xml:space="preserve"> </w:t>
      </w:r>
      <w:r w:rsidR="00731F2E">
        <w:rPr>
          <w:rFonts w:ascii="Times New Roman" w:hAnsi="Times New Roman" w:cs="Times New Roman"/>
          <w:sz w:val="24"/>
          <w:szCs w:val="24"/>
        </w:rPr>
        <w:t xml:space="preserve">de </w:t>
      </w:r>
      <w:r w:rsidR="00A92B56" w:rsidRPr="00951F7B">
        <w:rPr>
          <w:rFonts w:ascii="Times New Roman" w:hAnsi="Times New Roman" w:cs="Times New Roman"/>
          <w:sz w:val="24"/>
          <w:szCs w:val="24"/>
        </w:rPr>
        <w:t>comunidad</w:t>
      </w:r>
      <w:r w:rsidR="005D737B" w:rsidRPr="00951F7B">
        <w:rPr>
          <w:rFonts w:ascii="Times New Roman" w:hAnsi="Times New Roman" w:cs="Times New Roman"/>
          <w:sz w:val="24"/>
          <w:szCs w:val="24"/>
        </w:rPr>
        <w:t xml:space="preserve"> </w:t>
      </w:r>
      <w:r w:rsidR="00D0196A" w:rsidRPr="00951F7B">
        <w:rPr>
          <w:rFonts w:ascii="Times New Roman" w:hAnsi="Times New Roman" w:cs="Times New Roman"/>
          <w:sz w:val="24"/>
          <w:szCs w:val="24"/>
        </w:rPr>
        <w:t>para describir el funcionamiento de estas universidades entre l</w:t>
      </w:r>
      <w:r w:rsidR="005D737B" w:rsidRPr="00951F7B">
        <w:rPr>
          <w:rFonts w:ascii="Times New Roman" w:hAnsi="Times New Roman" w:cs="Times New Roman"/>
          <w:sz w:val="24"/>
          <w:szCs w:val="24"/>
        </w:rPr>
        <w:t>a</w:t>
      </w:r>
      <w:r w:rsidR="00D0196A" w:rsidRPr="00951F7B">
        <w:rPr>
          <w:rFonts w:ascii="Times New Roman" w:hAnsi="Times New Roman" w:cs="Times New Roman"/>
          <w:sz w:val="24"/>
          <w:szCs w:val="24"/>
        </w:rPr>
        <w:t>s</w:t>
      </w:r>
      <w:r w:rsidR="005D737B" w:rsidRPr="00951F7B">
        <w:rPr>
          <w:rFonts w:ascii="Times New Roman" w:hAnsi="Times New Roman" w:cs="Times New Roman"/>
          <w:sz w:val="24"/>
          <w:szCs w:val="24"/>
        </w:rPr>
        <w:t xml:space="preserve"> y los</w:t>
      </w:r>
      <w:r w:rsidR="00D0196A" w:rsidRPr="00951F7B">
        <w:rPr>
          <w:rFonts w:ascii="Times New Roman" w:hAnsi="Times New Roman" w:cs="Times New Roman"/>
          <w:sz w:val="24"/>
          <w:szCs w:val="24"/>
        </w:rPr>
        <w:t xml:space="preserve"> </w:t>
      </w:r>
      <w:r w:rsidR="00D069AA" w:rsidRPr="00951F7B">
        <w:rPr>
          <w:rFonts w:ascii="Times New Roman" w:hAnsi="Times New Roman" w:cs="Times New Roman"/>
          <w:sz w:val="24"/>
          <w:szCs w:val="24"/>
        </w:rPr>
        <w:t>académicos</w:t>
      </w:r>
      <w:r w:rsidR="00D0196A" w:rsidRPr="00951F7B">
        <w:rPr>
          <w:rFonts w:ascii="Times New Roman" w:hAnsi="Times New Roman" w:cs="Times New Roman"/>
          <w:sz w:val="24"/>
          <w:szCs w:val="24"/>
        </w:rPr>
        <w:t xml:space="preserve">. </w:t>
      </w:r>
      <w:r w:rsidR="005D737B" w:rsidRPr="00951F7B">
        <w:rPr>
          <w:rFonts w:ascii="Times New Roman" w:hAnsi="Times New Roman" w:cs="Times New Roman"/>
          <w:sz w:val="24"/>
          <w:szCs w:val="24"/>
        </w:rPr>
        <w:t>Se observa la existencia de</w:t>
      </w:r>
      <w:r w:rsidR="00D0196A" w:rsidRPr="00951F7B">
        <w:rPr>
          <w:rFonts w:ascii="Times New Roman" w:hAnsi="Times New Roman" w:cs="Times New Roman"/>
          <w:sz w:val="24"/>
          <w:szCs w:val="24"/>
        </w:rPr>
        <w:t xml:space="preserve"> </w:t>
      </w:r>
      <w:r w:rsidR="005D737B" w:rsidRPr="00951F7B">
        <w:rPr>
          <w:rFonts w:ascii="Times New Roman" w:hAnsi="Times New Roman" w:cs="Times New Roman"/>
          <w:sz w:val="24"/>
          <w:szCs w:val="24"/>
        </w:rPr>
        <w:t>un ambiente de solidaridad mecá</w:t>
      </w:r>
      <w:r w:rsidR="00D0196A" w:rsidRPr="00951F7B">
        <w:rPr>
          <w:rFonts w:ascii="Times New Roman" w:hAnsi="Times New Roman" w:cs="Times New Roman"/>
          <w:sz w:val="24"/>
          <w:szCs w:val="24"/>
        </w:rPr>
        <w:t xml:space="preserve">nica </w:t>
      </w:r>
      <w:r w:rsidR="005D737B" w:rsidRPr="00951F7B">
        <w:rPr>
          <w:rFonts w:ascii="Times New Roman" w:hAnsi="Times New Roman" w:cs="Times New Roman"/>
          <w:sz w:val="24"/>
          <w:szCs w:val="24"/>
        </w:rPr>
        <w:t>en donde prevalece</w:t>
      </w:r>
      <w:r w:rsidR="00D0196A" w:rsidRPr="00951F7B">
        <w:rPr>
          <w:rFonts w:ascii="Times New Roman" w:hAnsi="Times New Roman" w:cs="Times New Roman"/>
          <w:sz w:val="24"/>
          <w:szCs w:val="24"/>
        </w:rPr>
        <w:t xml:space="preserve"> una relación igualitaria </w:t>
      </w:r>
      <w:r w:rsidR="005D737B" w:rsidRPr="00951F7B">
        <w:rPr>
          <w:rFonts w:ascii="Times New Roman" w:hAnsi="Times New Roman" w:cs="Times New Roman"/>
          <w:sz w:val="24"/>
          <w:szCs w:val="24"/>
        </w:rPr>
        <w:t xml:space="preserve">entre </w:t>
      </w:r>
      <w:r w:rsidR="00D0196A" w:rsidRPr="00951F7B">
        <w:rPr>
          <w:rFonts w:ascii="Times New Roman" w:hAnsi="Times New Roman" w:cs="Times New Roman"/>
          <w:sz w:val="24"/>
          <w:szCs w:val="24"/>
        </w:rPr>
        <w:t>los miembros del colegio</w:t>
      </w:r>
      <w:r w:rsidR="005D737B" w:rsidRPr="00951F7B">
        <w:rPr>
          <w:rFonts w:ascii="Times New Roman" w:hAnsi="Times New Roman" w:cs="Times New Roman"/>
          <w:sz w:val="24"/>
          <w:szCs w:val="24"/>
        </w:rPr>
        <w:t xml:space="preserve"> o la universidad;</w:t>
      </w:r>
      <w:r w:rsidR="00D0196A" w:rsidRPr="00951F7B">
        <w:rPr>
          <w:rFonts w:ascii="Times New Roman" w:hAnsi="Times New Roman" w:cs="Times New Roman"/>
          <w:sz w:val="24"/>
          <w:szCs w:val="24"/>
        </w:rPr>
        <w:t xml:space="preserve"> existe una ausencia</w:t>
      </w:r>
      <w:r w:rsidR="005D737B" w:rsidRPr="00951F7B">
        <w:rPr>
          <w:rFonts w:ascii="Times New Roman" w:hAnsi="Times New Roman" w:cs="Times New Roman"/>
          <w:sz w:val="24"/>
          <w:szCs w:val="24"/>
        </w:rPr>
        <w:t xml:space="preserve"> relativa</w:t>
      </w:r>
      <w:r w:rsidR="00D0196A" w:rsidRPr="00951F7B">
        <w:rPr>
          <w:rFonts w:ascii="Times New Roman" w:hAnsi="Times New Roman" w:cs="Times New Roman"/>
          <w:sz w:val="24"/>
          <w:szCs w:val="24"/>
        </w:rPr>
        <w:t xml:space="preserve"> de la </w:t>
      </w:r>
      <w:r w:rsidR="00D069AA" w:rsidRPr="00951F7B">
        <w:rPr>
          <w:rFonts w:ascii="Times New Roman" w:hAnsi="Times New Roman" w:cs="Times New Roman"/>
          <w:sz w:val="24"/>
          <w:szCs w:val="24"/>
        </w:rPr>
        <w:t>jerarquía</w:t>
      </w:r>
      <w:r w:rsidR="005D737B" w:rsidRPr="00951F7B">
        <w:rPr>
          <w:rFonts w:ascii="Times New Roman" w:hAnsi="Times New Roman" w:cs="Times New Roman"/>
          <w:sz w:val="24"/>
          <w:szCs w:val="24"/>
        </w:rPr>
        <w:t xml:space="preserve"> en estas comunidades</w:t>
      </w:r>
      <w:r w:rsidR="00D0196A" w:rsidRPr="00951F7B">
        <w:rPr>
          <w:rFonts w:ascii="Times New Roman" w:hAnsi="Times New Roman" w:cs="Times New Roman"/>
          <w:sz w:val="24"/>
          <w:szCs w:val="24"/>
        </w:rPr>
        <w:t xml:space="preserve">. El prestigio de los </w:t>
      </w:r>
      <w:r w:rsidR="00D069AA" w:rsidRPr="00951F7B">
        <w:rPr>
          <w:rFonts w:ascii="Times New Roman" w:hAnsi="Times New Roman" w:cs="Times New Roman"/>
          <w:sz w:val="24"/>
          <w:szCs w:val="24"/>
        </w:rPr>
        <w:t>académicos</w:t>
      </w:r>
      <w:r w:rsidR="00D0196A" w:rsidRPr="00951F7B">
        <w:rPr>
          <w:rFonts w:ascii="Times New Roman" w:hAnsi="Times New Roman" w:cs="Times New Roman"/>
          <w:sz w:val="24"/>
          <w:szCs w:val="24"/>
        </w:rPr>
        <w:t xml:space="preserve"> sustituye limitadamente a esta </w:t>
      </w:r>
      <w:r w:rsidR="00D069AA" w:rsidRPr="00951F7B">
        <w:rPr>
          <w:rFonts w:ascii="Times New Roman" w:hAnsi="Times New Roman" w:cs="Times New Roman"/>
          <w:sz w:val="24"/>
          <w:szCs w:val="24"/>
        </w:rPr>
        <w:t>jerarquía</w:t>
      </w:r>
      <w:r w:rsidR="00A21773">
        <w:rPr>
          <w:rFonts w:ascii="Times New Roman" w:hAnsi="Times New Roman" w:cs="Times New Roman"/>
          <w:sz w:val="24"/>
          <w:szCs w:val="24"/>
        </w:rPr>
        <w:t>;</w:t>
      </w:r>
      <w:r w:rsidR="00A21773" w:rsidRPr="00951F7B">
        <w:rPr>
          <w:rFonts w:ascii="Times New Roman" w:hAnsi="Times New Roman" w:cs="Times New Roman"/>
          <w:sz w:val="24"/>
          <w:szCs w:val="24"/>
        </w:rPr>
        <w:t xml:space="preserve"> </w:t>
      </w:r>
      <w:r w:rsidR="00D0196A" w:rsidRPr="00951F7B">
        <w:rPr>
          <w:rFonts w:ascii="Times New Roman" w:hAnsi="Times New Roman" w:cs="Times New Roman"/>
          <w:sz w:val="24"/>
          <w:szCs w:val="24"/>
        </w:rPr>
        <w:t xml:space="preserve">predomina </w:t>
      </w:r>
      <w:r w:rsidR="005D737B" w:rsidRPr="00951F7B">
        <w:rPr>
          <w:rFonts w:ascii="Times New Roman" w:hAnsi="Times New Roman" w:cs="Times New Roman"/>
          <w:sz w:val="24"/>
          <w:szCs w:val="24"/>
        </w:rPr>
        <w:t xml:space="preserve">en mayor parte </w:t>
      </w:r>
      <w:r w:rsidR="00D0196A" w:rsidRPr="00951F7B">
        <w:rPr>
          <w:rFonts w:ascii="Times New Roman" w:hAnsi="Times New Roman" w:cs="Times New Roman"/>
          <w:sz w:val="24"/>
          <w:szCs w:val="24"/>
        </w:rPr>
        <w:t xml:space="preserve">las relaciones informales y </w:t>
      </w:r>
      <w:r w:rsidR="005D737B" w:rsidRPr="00951F7B">
        <w:rPr>
          <w:rFonts w:ascii="Times New Roman" w:hAnsi="Times New Roman" w:cs="Times New Roman"/>
          <w:sz w:val="24"/>
          <w:szCs w:val="24"/>
        </w:rPr>
        <w:t xml:space="preserve">es escasa la </w:t>
      </w:r>
      <w:r w:rsidR="00D0196A" w:rsidRPr="00951F7B">
        <w:rPr>
          <w:rFonts w:ascii="Times New Roman" w:hAnsi="Times New Roman" w:cs="Times New Roman"/>
          <w:sz w:val="24"/>
          <w:szCs w:val="24"/>
        </w:rPr>
        <w:t>formalización del comportamiento</w:t>
      </w:r>
      <w:r w:rsidR="005D737B" w:rsidRPr="00951F7B">
        <w:rPr>
          <w:rFonts w:ascii="Times New Roman" w:hAnsi="Times New Roman" w:cs="Times New Roman"/>
          <w:sz w:val="24"/>
          <w:szCs w:val="24"/>
        </w:rPr>
        <w:t xml:space="preserve"> </w:t>
      </w:r>
      <w:r w:rsidR="00A21773">
        <w:rPr>
          <w:rFonts w:ascii="Times New Roman" w:hAnsi="Times New Roman" w:cs="Times New Roman"/>
          <w:sz w:val="24"/>
          <w:szCs w:val="24"/>
        </w:rPr>
        <w:t>—</w:t>
      </w:r>
      <w:r w:rsidR="005D737B" w:rsidRPr="00951F7B">
        <w:rPr>
          <w:rFonts w:ascii="Times New Roman" w:hAnsi="Times New Roman" w:cs="Times New Roman"/>
          <w:sz w:val="24"/>
          <w:szCs w:val="24"/>
        </w:rPr>
        <w:t>lo contrario al modelo burocrático</w:t>
      </w:r>
      <w:r w:rsidR="00A21773">
        <w:rPr>
          <w:rFonts w:ascii="Times New Roman" w:hAnsi="Times New Roman" w:cs="Times New Roman"/>
          <w:sz w:val="24"/>
          <w:szCs w:val="24"/>
        </w:rPr>
        <w:t>—</w:t>
      </w:r>
      <w:r w:rsidR="00D0196A" w:rsidRPr="00951F7B">
        <w:rPr>
          <w:rFonts w:ascii="Times New Roman" w:hAnsi="Times New Roman" w:cs="Times New Roman"/>
          <w:sz w:val="24"/>
          <w:szCs w:val="24"/>
        </w:rPr>
        <w:t>. En este modelo, el con</w:t>
      </w:r>
      <w:r w:rsidR="000E7847">
        <w:rPr>
          <w:rFonts w:ascii="Times New Roman" w:hAnsi="Times New Roman" w:cs="Times New Roman"/>
          <w:sz w:val="24"/>
          <w:szCs w:val="24"/>
        </w:rPr>
        <w:t>s</w:t>
      </w:r>
      <w:r w:rsidR="00D0196A" w:rsidRPr="00951F7B">
        <w:rPr>
          <w:rFonts w:ascii="Times New Roman" w:hAnsi="Times New Roman" w:cs="Times New Roman"/>
          <w:sz w:val="24"/>
          <w:szCs w:val="24"/>
        </w:rPr>
        <w:t>e</w:t>
      </w:r>
      <w:r w:rsidR="000E7847">
        <w:rPr>
          <w:rFonts w:ascii="Times New Roman" w:hAnsi="Times New Roman" w:cs="Times New Roman"/>
          <w:sz w:val="24"/>
          <w:szCs w:val="24"/>
        </w:rPr>
        <w:t>n</w:t>
      </w:r>
      <w:r w:rsidR="00D0196A" w:rsidRPr="00951F7B">
        <w:rPr>
          <w:rFonts w:ascii="Times New Roman" w:hAnsi="Times New Roman" w:cs="Times New Roman"/>
          <w:sz w:val="24"/>
          <w:szCs w:val="24"/>
        </w:rPr>
        <w:t>so es la base para la toma de decisiones y</w:t>
      </w:r>
      <w:r w:rsidR="00A21773">
        <w:rPr>
          <w:rFonts w:ascii="Times New Roman" w:hAnsi="Times New Roman" w:cs="Times New Roman"/>
          <w:sz w:val="24"/>
          <w:szCs w:val="24"/>
        </w:rPr>
        <w:t>,</w:t>
      </w:r>
      <w:r w:rsidR="00D0196A" w:rsidRPr="00951F7B">
        <w:rPr>
          <w:rFonts w:ascii="Times New Roman" w:hAnsi="Times New Roman" w:cs="Times New Roman"/>
          <w:sz w:val="24"/>
          <w:szCs w:val="24"/>
        </w:rPr>
        <w:t xml:space="preserve"> por tanto</w:t>
      </w:r>
      <w:r w:rsidR="005D737B" w:rsidRPr="00951F7B">
        <w:rPr>
          <w:rFonts w:ascii="Times New Roman" w:hAnsi="Times New Roman" w:cs="Times New Roman"/>
          <w:sz w:val="24"/>
          <w:szCs w:val="24"/>
        </w:rPr>
        <w:t>,</w:t>
      </w:r>
      <w:r w:rsidR="00D0196A" w:rsidRPr="00951F7B">
        <w:rPr>
          <w:rFonts w:ascii="Times New Roman" w:hAnsi="Times New Roman" w:cs="Times New Roman"/>
          <w:sz w:val="24"/>
          <w:szCs w:val="24"/>
        </w:rPr>
        <w:t xml:space="preserve"> hace parecer que la administración o gestión no </w:t>
      </w:r>
      <w:r w:rsidR="00A21773" w:rsidRPr="00951F7B">
        <w:rPr>
          <w:rFonts w:ascii="Times New Roman" w:hAnsi="Times New Roman" w:cs="Times New Roman"/>
          <w:sz w:val="24"/>
          <w:szCs w:val="24"/>
        </w:rPr>
        <w:t xml:space="preserve">sea </w:t>
      </w:r>
      <w:r w:rsidR="00D0196A" w:rsidRPr="00951F7B">
        <w:rPr>
          <w:rFonts w:ascii="Times New Roman" w:hAnsi="Times New Roman" w:cs="Times New Roman"/>
          <w:sz w:val="24"/>
          <w:szCs w:val="24"/>
        </w:rPr>
        <w:t>profesional</w:t>
      </w:r>
      <w:r w:rsidR="005D737B" w:rsidRPr="00951F7B">
        <w:rPr>
          <w:rFonts w:ascii="Times New Roman" w:hAnsi="Times New Roman" w:cs="Times New Roman"/>
          <w:sz w:val="24"/>
          <w:szCs w:val="24"/>
        </w:rPr>
        <w:t>,</w:t>
      </w:r>
      <w:r w:rsidR="00D0196A" w:rsidRPr="00951F7B">
        <w:rPr>
          <w:rFonts w:ascii="Times New Roman" w:hAnsi="Times New Roman" w:cs="Times New Roman"/>
          <w:sz w:val="24"/>
          <w:szCs w:val="24"/>
        </w:rPr>
        <w:t xml:space="preserve"> es decir</w:t>
      </w:r>
      <w:r w:rsidR="005D737B" w:rsidRPr="00951F7B">
        <w:rPr>
          <w:rFonts w:ascii="Times New Roman" w:hAnsi="Times New Roman" w:cs="Times New Roman"/>
          <w:sz w:val="24"/>
          <w:szCs w:val="24"/>
        </w:rPr>
        <w:t>,</w:t>
      </w:r>
      <w:r w:rsidR="00D0196A" w:rsidRPr="00951F7B">
        <w:rPr>
          <w:rFonts w:ascii="Times New Roman" w:hAnsi="Times New Roman" w:cs="Times New Roman"/>
          <w:sz w:val="24"/>
          <w:szCs w:val="24"/>
        </w:rPr>
        <w:t xml:space="preserve"> son los mismos </w:t>
      </w:r>
      <w:r w:rsidR="00D069AA" w:rsidRPr="00951F7B">
        <w:rPr>
          <w:rFonts w:ascii="Times New Roman" w:hAnsi="Times New Roman" w:cs="Times New Roman"/>
          <w:sz w:val="24"/>
          <w:szCs w:val="24"/>
        </w:rPr>
        <w:t>académicos</w:t>
      </w:r>
      <w:r w:rsidR="00D0196A" w:rsidRPr="00951F7B">
        <w:rPr>
          <w:rFonts w:ascii="Times New Roman" w:hAnsi="Times New Roman" w:cs="Times New Roman"/>
          <w:sz w:val="24"/>
          <w:szCs w:val="24"/>
        </w:rPr>
        <w:t xml:space="preserve"> </w:t>
      </w:r>
      <w:r w:rsidR="005D737B" w:rsidRPr="00951F7B">
        <w:rPr>
          <w:rFonts w:ascii="Times New Roman" w:hAnsi="Times New Roman" w:cs="Times New Roman"/>
          <w:sz w:val="24"/>
          <w:szCs w:val="24"/>
        </w:rPr>
        <w:t xml:space="preserve">que </w:t>
      </w:r>
      <w:r w:rsidR="00D069AA" w:rsidRPr="00951F7B">
        <w:rPr>
          <w:rFonts w:ascii="Times New Roman" w:hAnsi="Times New Roman" w:cs="Times New Roman"/>
          <w:sz w:val="24"/>
          <w:szCs w:val="24"/>
        </w:rPr>
        <w:t>están</w:t>
      </w:r>
      <w:r w:rsidR="00D0196A" w:rsidRPr="00951F7B">
        <w:rPr>
          <w:rFonts w:ascii="Times New Roman" w:hAnsi="Times New Roman" w:cs="Times New Roman"/>
          <w:sz w:val="24"/>
          <w:szCs w:val="24"/>
        </w:rPr>
        <w:t xml:space="preserve"> al frente de los procesos de gestión </w:t>
      </w:r>
      <w:r w:rsidR="005D737B" w:rsidRPr="00951F7B">
        <w:rPr>
          <w:rFonts w:ascii="Times New Roman" w:hAnsi="Times New Roman" w:cs="Times New Roman"/>
          <w:sz w:val="24"/>
          <w:szCs w:val="24"/>
        </w:rPr>
        <w:t>y</w:t>
      </w:r>
      <w:r w:rsidR="00D0196A" w:rsidRPr="00951F7B">
        <w:rPr>
          <w:rFonts w:ascii="Times New Roman" w:hAnsi="Times New Roman" w:cs="Times New Roman"/>
          <w:sz w:val="24"/>
          <w:szCs w:val="24"/>
        </w:rPr>
        <w:t xml:space="preserve"> fungen </w:t>
      </w:r>
      <w:r w:rsidR="00D069AA" w:rsidRPr="00951F7B">
        <w:rPr>
          <w:rFonts w:ascii="Times New Roman" w:hAnsi="Times New Roman" w:cs="Times New Roman"/>
          <w:sz w:val="24"/>
          <w:szCs w:val="24"/>
        </w:rPr>
        <w:t>más</w:t>
      </w:r>
      <w:r w:rsidR="00D0196A" w:rsidRPr="00951F7B">
        <w:rPr>
          <w:rFonts w:ascii="Times New Roman" w:hAnsi="Times New Roman" w:cs="Times New Roman"/>
          <w:sz w:val="24"/>
          <w:szCs w:val="24"/>
        </w:rPr>
        <w:t xml:space="preserve"> como servidores y representante</w:t>
      </w:r>
      <w:r w:rsidR="004E06D2">
        <w:rPr>
          <w:rFonts w:ascii="Times New Roman" w:hAnsi="Times New Roman" w:cs="Times New Roman"/>
          <w:sz w:val="24"/>
          <w:szCs w:val="24"/>
        </w:rPr>
        <w:t>s</w:t>
      </w:r>
      <w:r w:rsidR="00D0196A" w:rsidRPr="00951F7B">
        <w:rPr>
          <w:rFonts w:ascii="Times New Roman" w:hAnsi="Times New Roman" w:cs="Times New Roman"/>
          <w:sz w:val="24"/>
          <w:szCs w:val="24"/>
        </w:rPr>
        <w:t xml:space="preserve"> de los intereses de toda la comunidad </w:t>
      </w:r>
      <w:r w:rsidR="00D069AA" w:rsidRPr="00951F7B">
        <w:rPr>
          <w:rFonts w:ascii="Times New Roman" w:hAnsi="Times New Roman" w:cs="Times New Roman"/>
          <w:sz w:val="24"/>
          <w:szCs w:val="24"/>
        </w:rPr>
        <w:t>académica</w:t>
      </w:r>
      <w:r w:rsidR="00D0196A" w:rsidRPr="00951F7B">
        <w:rPr>
          <w:rFonts w:ascii="Times New Roman" w:hAnsi="Times New Roman" w:cs="Times New Roman"/>
          <w:sz w:val="24"/>
          <w:szCs w:val="24"/>
        </w:rPr>
        <w:t>. Este tipo de modelo se observ</w:t>
      </w:r>
      <w:r w:rsidR="001A334B" w:rsidRPr="00951F7B">
        <w:rPr>
          <w:rFonts w:ascii="Times New Roman" w:hAnsi="Times New Roman" w:cs="Times New Roman"/>
          <w:sz w:val="24"/>
          <w:szCs w:val="24"/>
        </w:rPr>
        <w:t xml:space="preserve">a más en universidades pequeñas, donde existe </w:t>
      </w:r>
      <w:r w:rsidR="00D069AA" w:rsidRPr="00951F7B">
        <w:rPr>
          <w:rFonts w:ascii="Times New Roman" w:hAnsi="Times New Roman" w:cs="Times New Roman"/>
          <w:sz w:val="24"/>
          <w:szCs w:val="24"/>
        </w:rPr>
        <w:t>prácticamente</w:t>
      </w:r>
      <w:r w:rsidR="001A334B" w:rsidRPr="00951F7B">
        <w:rPr>
          <w:rFonts w:ascii="Times New Roman" w:hAnsi="Times New Roman" w:cs="Times New Roman"/>
          <w:sz w:val="24"/>
          <w:szCs w:val="24"/>
        </w:rPr>
        <w:t xml:space="preserve"> una interacción directa entre </w:t>
      </w:r>
      <w:r w:rsidR="005D737B" w:rsidRPr="00951F7B">
        <w:rPr>
          <w:rFonts w:ascii="Times New Roman" w:hAnsi="Times New Roman" w:cs="Times New Roman"/>
          <w:sz w:val="24"/>
          <w:szCs w:val="24"/>
        </w:rPr>
        <w:t xml:space="preserve">la </w:t>
      </w:r>
      <w:r w:rsidR="00D069AA" w:rsidRPr="00951F7B">
        <w:rPr>
          <w:rFonts w:ascii="Times New Roman" w:hAnsi="Times New Roman" w:cs="Times New Roman"/>
          <w:sz w:val="24"/>
          <w:szCs w:val="24"/>
        </w:rPr>
        <w:t>mayoría</w:t>
      </w:r>
      <w:r w:rsidR="002A488F" w:rsidRPr="00951F7B">
        <w:rPr>
          <w:rFonts w:ascii="Times New Roman" w:hAnsi="Times New Roman" w:cs="Times New Roman"/>
          <w:sz w:val="24"/>
          <w:szCs w:val="24"/>
        </w:rPr>
        <w:t xml:space="preserve"> de sus miembros (</w:t>
      </w:r>
      <w:proofErr w:type="spellStart"/>
      <w:r w:rsidR="002A488F" w:rsidRPr="00951F7B">
        <w:rPr>
          <w:rFonts w:ascii="Times New Roman" w:hAnsi="Times New Roman" w:cs="Times New Roman"/>
          <w:sz w:val="24"/>
          <w:szCs w:val="24"/>
        </w:rPr>
        <w:t>Birnbaum</w:t>
      </w:r>
      <w:proofErr w:type="spellEnd"/>
      <w:r w:rsidR="002A488F" w:rsidRPr="00951F7B">
        <w:rPr>
          <w:rFonts w:ascii="Times New Roman" w:hAnsi="Times New Roman" w:cs="Times New Roman"/>
          <w:sz w:val="24"/>
          <w:szCs w:val="24"/>
        </w:rPr>
        <w:t>, 1991</w:t>
      </w:r>
      <w:r w:rsidR="005D737B" w:rsidRPr="00951F7B">
        <w:rPr>
          <w:rFonts w:ascii="Times New Roman" w:hAnsi="Times New Roman" w:cs="Times New Roman"/>
          <w:sz w:val="24"/>
          <w:szCs w:val="24"/>
        </w:rPr>
        <w:t>).</w:t>
      </w:r>
    </w:p>
    <w:p w14:paraId="27C21001" w14:textId="61883775" w:rsidR="00DD06BD" w:rsidRDefault="00A21773" w:rsidP="00951F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duda</w:t>
      </w:r>
      <w:r w:rsidR="00DD06BD" w:rsidRPr="00951F7B">
        <w:rPr>
          <w:rFonts w:ascii="Times New Roman" w:hAnsi="Times New Roman" w:cs="Times New Roman"/>
          <w:sz w:val="24"/>
          <w:szCs w:val="24"/>
        </w:rPr>
        <w:t xml:space="preserve"> estudiar la universidad, sus procesos y funciones es una tarea compleja por la gran heterogeneidad de </w:t>
      </w:r>
      <w:r>
        <w:rPr>
          <w:rFonts w:ascii="Times New Roman" w:hAnsi="Times New Roman" w:cs="Times New Roman"/>
          <w:sz w:val="24"/>
          <w:szCs w:val="24"/>
        </w:rPr>
        <w:t>los</w:t>
      </w:r>
      <w:r w:rsidRPr="00951F7B">
        <w:rPr>
          <w:rFonts w:ascii="Times New Roman" w:hAnsi="Times New Roman" w:cs="Times New Roman"/>
          <w:sz w:val="24"/>
          <w:szCs w:val="24"/>
        </w:rPr>
        <w:t xml:space="preserve"> </w:t>
      </w:r>
      <w:r w:rsidR="00DD06BD" w:rsidRPr="00951F7B">
        <w:rPr>
          <w:rFonts w:ascii="Times New Roman" w:hAnsi="Times New Roman" w:cs="Times New Roman"/>
          <w:sz w:val="24"/>
          <w:szCs w:val="24"/>
        </w:rPr>
        <w:t>actores que intervienen en la dinámica de funciones</w:t>
      </w:r>
      <w:r w:rsidR="00E64790" w:rsidRPr="00951F7B">
        <w:rPr>
          <w:rFonts w:ascii="Times New Roman" w:hAnsi="Times New Roman" w:cs="Times New Roman"/>
          <w:sz w:val="24"/>
          <w:szCs w:val="24"/>
        </w:rPr>
        <w:t xml:space="preserve"> sustantivas, </w:t>
      </w:r>
      <w:r w:rsidR="00DD06BD" w:rsidRPr="00951F7B">
        <w:rPr>
          <w:rFonts w:ascii="Times New Roman" w:hAnsi="Times New Roman" w:cs="Times New Roman"/>
          <w:sz w:val="24"/>
          <w:szCs w:val="24"/>
        </w:rPr>
        <w:t>de gestión y gobernanza</w:t>
      </w:r>
      <w:r>
        <w:rPr>
          <w:rFonts w:ascii="Times New Roman" w:hAnsi="Times New Roman" w:cs="Times New Roman"/>
          <w:sz w:val="24"/>
          <w:szCs w:val="24"/>
        </w:rPr>
        <w:t>.</w:t>
      </w:r>
      <w:r w:rsidRPr="00951F7B">
        <w:rPr>
          <w:rFonts w:ascii="Times New Roman" w:hAnsi="Times New Roman" w:cs="Times New Roman"/>
          <w:sz w:val="24"/>
          <w:szCs w:val="24"/>
        </w:rPr>
        <w:t xml:space="preserve"> </w:t>
      </w:r>
      <w:r>
        <w:rPr>
          <w:rFonts w:ascii="Times New Roman" w:hAnsi="Times New Roman" w:cs="Times New Roman"/>
          <w:sz w:val="24"/>
          <w:szCs w:val="24"/>
        </w:rPr>
        <w:t>Y en algunos casos hay que sumar una</w:t>
      </w:r>
      <w:r w:rsidRPr="00951F7B">
        <w:rPr>
          <w:rFonts w:ascii="Times New Roman" w:hAnsi="Times New Roman" w:cs="Times New Roman"/>
          <w:sz w:val="24"/>
          <w:szCs w:val="24"/>
        </w:rPr>
        <w:t xml:space="preserve"> </w:t>
      </w:r>
      <w:r w:rsidR="00E64790" w:rsidRPr="00951F7B">
        <w:rPr>
          <w:rFonts w:ascii="Times New Roman" w:hAnsi="Times New Roman" w:cs="Times New Roman"/>
          <w:sz w:val="24"/>
          <w:szCs w:val="24"/>
        </w:rPr>
        <w:t>estructura basada en la</w:t>
      </w:r>
      <w:r w:rsidR="00DD06BD" w:rsidRPr="00951F7B">
        <w:rPr>
          <w:rFonts w:ascii="Times New Roman" w:hAnsi="Times New Roman" w:cs="Times New Roman"/>
          <w:sz w:val="24"/>
          <w:szCs w:val="24"/>
        </w:rPr>
        <w:t xml:space="preserve"> </w:t>
      </w:r>
      <w:r w:rsidR="00E64790" w:rsidRPr="00951F7B">
        <w:rPr>
          <w:rFonts w:ascii="Times New Roman" w:hAnsi="Times New Roman" w:cs="Times New Roman"/>
          <w:sz w:val="24"/>
          <w:szCs w:val="24"/>
        </w:rPr>
        <w:t>división y departamentalización de las áreas del conocimiento</w:t>
      </w:r>
      <w:r w:rsidR="00DD06BD" w:rsidRPr="00951F7B">
        <w:rPr>
          <w:rFonts w:ascii="Times New Roman" w:hAnsi="Times New Roman" w:cs="Times New Roman"/>
          <w:sz w:val="24"/>
          <w:szCs w:val="24"/>
        </w:rPr>
        <w:t xml:space="preserve">. </w:t>
      </w:r>
      <w:r w:rsidR="002A18F3">
        <w:rPr>
          <w:rFonts w:ascii="Times New Roman" w:hAnsi="Times New Roman" w:cs="Times New Roman"/>
          <w:sz w:val="24"/>
          <w:szCs w:val="24"/>
        </w:rPr>
        <w:t>Por lo que el</w:t>
      </w:r>
      <w:r w:rsidR="00ED3BF9" w:rsidRPr="00951F7B">
        <w:rPr>
          <w:rFonts w:ascii="Times New Roman" w:hAnsi="Times New Roman" w:cs="Times New Roman"/>
          <w:sz w:val="24"/>
          <w:szCs w:val="24"/>
        </w:rPr>
        <w:t xml:space="preserve"> estudio </w:t>
      </w:r>
      <w:r w:rsidR="002A18F3">
        <w:rPr>
          <w:rFonts w:ascii="Times New Roman" w:hAnsi="Times New Roman" w:cs="Times New Roman"/>
          <w:sz w:val="24"/>
          <w:szCs w:val="24"/>
        </w:rPr>
        <w:t>de estas organizaciones demanda</w:t>
      </w:r>
      <w:r w:rsidR="002A18F3" w:rsidRPr="00951F7B">
        <w:rPr>
          <w:rFonts w:ascii="Times New Roman" w:hAnsi="Times New Roman" w:cs="Times New Roman"/>
          <w:sz w:val="24"/>
          <w:szCs w:val="24"/>
        </w:rPr>
        <w:t xml:space="preserve"> </w:t>
      </w:r>
      <w:r w:rsidR="00ED3BF9" w:rsidRPr="00951F7B">
        <w:rPr>
          <w:rFonts w:ascii="Times New Roman" w:hAnsi="Times New Roman" w:cs="Times New Roman"/>
          <w:sz w:val="24"/>
          <w:szCs w:val="24"/>
        </w:rPr>
        <w:t xml:space="preserve">un </w:t>
      </w:r>
      <w:r w:rsidR="002A18F3">
        <w:rPr>
          <w:rFonts w:ascii="Times New Roman" w:hAnsi="Times New Roman" w:cs="Times New Roman"/>
          <w:sz w:val="24"/>
          <w:szCs w:val="24"/>
        </w:rPr>
        <w:t xml:space="preserve">enfoque </w:t>
      </w:r>
      <w:r w:rsidR="00ED3BF9" w:rsidRPr="00951F7B">
        <w:rPr>
          <w:rFonts w:ascii="Times New Roman" w:hAnsi="Times New Roman" w:cs="Times New Roman"/>
          <w:sz w:val="24"/>
          <w:szCs w:val="24"/>
        </w:rPr>
        <w:t xml:space="preserve">transdisciplinario que </w:t>
      </w:r>
      <w:r w:rsidR="005A2126">
        <w:rPr>
          <w:rFonts w:ascii="Times New Roman" w:hAnsi="Times New Roman" w:cs="Times New Roman"/>
          <w:sz w:val="24"/>
          <w:szCs w:val="24"/>
        </w:rPr>
        <w:t>tome en consideración</w:t>
      </w:r>
      <w:r w:rsidR="005A2126" w:rsidRPr="00951F7B">
        <w:rPr>
          <w:rFonts w:ascii="Times New Roman" w:hAnsi="Times New Roman" w:cs="Times New Roman"/>
          <w:sz w:val="24"/>
          <w:szCs w:val="24"/>
        </w:rPr>
        <w:t xml:space="preserve"> </w:t>
      </w:r>
      <w:r w:rsidR="005A2126">
        <w:rPr>
          <w:rFonts w:ascii="Times New Roman" w:hAnsi="Times New Roman" w:cs="Times New Roman"/>
          <w:sz w:val="24"/>
          <w:szCs w:val="24"/>
        </w:rPr>
        <w:t xml:space="preserve">el contexto y </w:t>
      </w:r>
      <w:r w:rsidR="00ED3BF9" w:rsidRPr="00951F7B">
        <w:rPr>
          <w:rFonts w:ascii="Times New Roman" w:hAnsi="Times New Roman" w:cs="Times New Roman"/>
          <w:sz w:val="24"/>
          <w:szCs w:val="24"/>
        </w:rPr>
        <w:t xml:space="preserve">las realidades vividas al </w:t>
      </w:r>
      <w:r w:rsidR="005A2126">
        <w:rPr>
          <w:rFonts w:ascii="Times New Roman" w:hAnsi="Times New Roman" w:cs="Times New Roman"/>
          <w:sz w:val="24"/>
          <w:szCs w:val="24"/>
        </w:rPr>
        <w:t>interior</w:t>
      </w:r>
      <w:r w:rsidR="003B7FA7" w:rsidRPr="00951F7B">
        <w:rPr>
          <w:rFonts w:ascii="Times New Roman" w:hAnsi="Times New Roman" w:cs="Times New Roman"/>
          <w:sz w:val="24"/>
          <w:szCs w:val="24"/>
        </w:rPr>
        <w:t xml:space="preserve"> (Cadena y Riviera, 2020</w:t>
      </w:r>
      <w:r w:rsidR="00ED3BF9" w:rsidRPr="00951F7B">
        <w:rPr>
          <w:rFonts w:ascii="Times New Roman" w:hAnsi="Times New Roman" w:cs="Times New Roman"/>
          <w:sz w:val="24"/>
          <w:szCs w:val="24"/>
        </w:rPr>
        <w:t xml:space="preserve">). </w:t>
      </w:r>
      <w:r w:rsidR="00E64790" w:rsidRPr="00951F7B">
        <w:rPr>
          <w:rFonts w:ascii="Times New Roman" w:hAnsi="Times New Roman" w:cs="Times New Roman"/>
          <w:sz w:val="24"/>
          <w:szCs w:val="24"/>
        </w:rPr>
        <w:t>T</w:t>
      </w:r>
      <w:r w:rsidR="00DD06BD" w:rsidRPr="00951F7B">
        <w:rPr>
          <w:rFonts w:ascii="Times New Roman" w:hAnsi="Times New Roman" w:cs="Times New Roman"/>
          <w:sz w:val="24"/>
          <w:szCs w:val="24"/>
        </w:rPr>
        <w:t xml:space="preserve">anto </w:t>
      </w:r>
      <w:r w:rsidR="00E64790" w:rsidRPr="00951F7B">
        <w:rPr>
          <w:rFonts w:ascii="Times New Roman" w:hAnsi="Times New Roman" w:cs="Times New Roman"/>
          <w:sz w:val="24"/>
          <w:szCs w:val="24"/>
        </w:rPr>
        <w:t xml:space="preserve">académicos como estudiantes, gestores, </w:t>
      </w:r>
      <w:r w:rsidR="00DD06BD" w:rsidRPr="00951F7B">
        <w:rPr>
          <w:rFonts w:ascii="Times New Roman" w:hAnsi="Times New Roman" w:cs="Times New Roman"/>
          <w:sz w:val="24"/>
          <w:szCs w:val="24"/>
        </w:rPr>
        <w:t xml:space="preserve">directivos </w:t>
      </w:r>
      <w:r w:rsidR="00E64790" w:rsidRPr="00951F7B">
        <w:rPr>
          <w:rFonts w:ascii="Times New Roman" w:hAnsi="Times New Roman" w:cs="Times New Roman"/>
          <w:sz w:val="24"/>
          <w:szCs w:val="24"/>
        </w:rPr>
        <w:t xml:space="preserve">y el propio </w:t>
      </w:r>
      <w:r w:rsidR="00DD06BD" w:rsidRPr="00951F7B">
        <w:rPr>
          <w:rFonts w:ascii="Times New Roman" w:hAnsi="Times New Roman" w:cs="Times New Roman"/>
          <w:sz w:val="24"/>
          <w:szCs w:val="24"/>
        </w:rPr>
        <w:t xml:space="preserve">Estado y la sociedad en general son actores con perfiles y expectativas heterogéneas que complejizan las funciones sustantivas de la universidad </w:t>
      </w:r>
      <w:r w:rsidR="008F5287" w:rsidRPr="00951F7B">
        <w:rPr>
          <w:rFonts w:ascii="Times New Roman" w:hAnsi="Times New Roman" w:cs="Times New Roman"/>
          <w:sz w:val="24"/>
          <w:szCs w:val="24"/>
        </w:rPr>
        <w:t>(Acosta</w:t>
      </w:r>
      <w:r w:rsidR="00767083" w:rsidRPr="00951F7B">
        <w:rPr>
          <w:rFonts w:ascii="Times New Roman" w:hAnsi="Times New Roman" w:cs="Times New Roman"/>
          <w:sz w:val="24"/>
          <w:szCs w:val="24"/>
        </w:rPr>
        <w:t xml:space="preserve">, 2006; Brunner, 2011; </w:t>
      </w:r>
      <w:proofErr w:type="spellStart"/>
      <w:r w:rsidR="00767083" w:rsidRPr="00951F7B">
        <w:rPr>
          <w:rFonts w:ascii="Times New Roman" w:hAnsi="Times New Roman" w:cs="Times New Roman"/>
          <w:sz w:val="24"/>
          <w:szCs w:val="24"/>
        </w:rPr>
        <w:t>Ordorika</w:t>
      </w:r>
      <w:proofErr w:type="spellEnd"/>
      <w:r w:rsidR="00767083" w:rsidRPr="00951F7B">
        <w:rPr>
          <w:rFonts w:ascii="Times New Roman" w:hAnsi="Times New Roman" w:cs="Times New Roman"/>
          <w:sz w:val="24"/>
          <w:szCs w:val="24"/>
        </w:rPr>
        <w:t>, Martínez y Ramírez</w:t>
      </w:r>
      <w:r w:rsidR="008F5287" w:rsidRPr="00951F7B">
        <w:rPr>
          <w:rFonts w:ascii="Times New Roman" w:hAnsi="Times New Roman" w:cs="Times New Roman"/>
          <w:sz w:val="24"/>
          <w:szCs w:val="24"/>
        </w:rPr>
        <w:t>, 2011)</w:t>
      </w:r>
      <w:r w:rsidR="00DD06BD" w:rsidRPr="00951F7B">
        <w:rPr>
          <w:rFonts w:ascii="Times New Roman" w:hAnsi="Times New Roman" w:cs="Times New Roman"/>
          <w:sz w:val="24"/>
          <w:szCs w:val="24"/>
        </w:rPr>
        <w:t>.</w:t>
      </w:r>
    </w:p>
    <w:p w14:paraId="67111E3C" w14:textId="77777777" w:rsidR="00522FCC" w:rsidRPr="00951F7B" w:rsidRDefault="00522FCC" w:rsidP="00951F7B">
      <w:pPr>
        <w:spacing w:after="0" w:line="360" w:lineRule="auto"/>
        <w:ind w:firstLine="709"/>
        <w:jc w:val="both"/>
        <w:rPr>
          <w:rFonts w:ascii="Times New Roman" w:hAnsi="Times New Roman" w:cs="Times New Roman"/>
          <w:sz w:val="24"/>
          <w:szCs w:val="24"/>
        </w:rPr>
      </w:pPr>
    </w:p>
    <w:p w14:paraId="5AECB108" w14:textId="77777777" w:rsidR="001536A1" w:rsidRPr="00951F7B" w:rsidRDefault="001536A1" w:rsidP="00274328">
      <w:pPr>
        <w:pStyle w:val="Ttulo3"/>
        <w:spacing w:before="0" w:after="0"/>
        <w:jc w:val="center"/>
        <w:rPr>
          <w:rFonts w:ascii="Times New Roman" w:hAnsi="Times New Roman" w:cs="Times New Roman"/>
          <w:b/>
          <w:color w:val="auto"/>
          <w:sz w:val="28"/>
        </w:rPr>
      </w:pPr>
      <w:r w:rsidRPr="00951F7B">
        <w:rPr>
          <w:rFonts w:ascii="Times New Roman" w:hAnsi="Times New Roman" w:cs="Times New Roman"/>
          <w:b/>
          <w:color w:val="auto"/>
          <w:sz w:val="28"/>
        </w:rPr>
        <w:t>El caso de la Universidad de Guadalajara</w:t>
      </w:r>
    </w:p>
    <w:p w14:paraId="4550625D" w14:textId="6DD4BDE7" w:rsidR="001536A1" w:rsidRPr="00951F7B" w:rsidRDefault="001536A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La </w:t>
      </w:r>
      <w:r w:rsidR="00620A47">
        <w:rPr>
          <w:rFonts w:ascii="Times New Roman" w:hAnsi="Times New Roman" w:cs="Times New Roman"/>
          <w:sz w:val="24"/>
          <w:szCs w:val="24"/>
        </w:rPr>
        <w:t>UdeG</w:t>
      </w:r>
      <w:r w:rsidRPr="00951F7B">
        <w:rPr>
          <w:rFonts w:ascii="Times New Roman" w:hAnsi="Times New Roman" w:cs="Times New Roman"/>
          <w:sz w:val="24"/>
          <w:szCs w:val="24"/>
        </w:rPr>
        <w:t xml:space="preserve"> </w:t>
      </w:r>
      <w:r w:rsidR="007A49EE">
        <w:rPr>
          <w:rFonts w:ascii="Times New Roman" w:hAnsi="Times New Roman" w:cs="Times New Roman"/>
          <w:sz w:val="24"/>
          <w:szCs w:val="24"/>
        </w:rPr>
        <w:t>es una</w:t>
      </w:r>
      <w:r w:rsidRPr="00951F7B">
        <w:rPr>
          <w:rFonts w:ascii="Times New Roman" w:hAnsi="Times New Roman" w:cs="Times New Roman"/>
          <w:sz w:val="24"/>
          <w:szCs w:val="24"/>
        </w:rPr>
        <w:t xml:space="preserve"> universidad pública del estado de Jalisco</w:t>
      </w:r>
      <w:r w:rsidR="007A49EE">
        <w:rPr>
          <w:rFonts w:ascii="Times New Roman" w:hAnsi="Times New Roman" w:cs="Times New Roman"/>
          <w:sz w:val="24"/>
          <w:szCs w:val="24"/>
        </w:rPr>
        <w:t>.</w:t>
      </w:r>
      <w:r w:rsidRPr="00951F7B">
        <w:rPr>
          <w:rFonts w:ascii="Times New Roman" w:hAnsi="Times New Roman" w:cs="Times New Roman"/>
          <w:sz w:val="24"/>
          <w:szCs w:val="24"/>
        </w:rPr>
        <w:t xml:space="preserve"> </w:t>
      </w:r>
      <w:r w:rsidR="007A49EE">
        <w:rPr>
          <w:rFonts w:ascii="Times New Roman" w:hAnsi="Times New Roman" w:cs="Times New Roman"/>
          <w:sz w:val="24"/>
          <w:szCs w:val="24"/>
        </w:rPr>
        <w:t>P</w:t>
      </w:r>
      <w:r w:rsidRPr="00951F7B">
        <w:rPr>
          <w:rFonts w:ascii="Times New Roman" w:hAnsi="Times New Roman" w:cs="Times New Roman"/>
          <w:sz w:val="24"/>
          <w:szCs w:val="24"/>
        </w:rPr>
        <w:t xml:space="preserve">ara el periodo 2016-2017 </w:t>
      </w:r>
      <w:r w:rsidR="007A49EE">
        <w:rPr>
          <w:rFonts w:ascii="Times New Roman" w:hAnsi="Times New Roman" w:cs="Times New Roman"/>
          <w:sz w:val="24"/>
          <w:szCs w:val="24"/>
        </w:rPr>
        <w:t>atendió</w:t>
      </w:r>
      <w:r w:rsidR="007A49EE" w:rsidRPr="00951F7B">
        <w:rPr>
          <w:rFonts w:ascii="Times New Roman" w:hAnsi="Times New Roman" w:cs="Times New Roman"/>
          <w:sz w:val="24"/>
          <w:szCs w:val="24"/>
        </w:rPr>
        <w:t xml:space="preserve"> </w:t>
      </w:r>
      <w:r w:rsidRPr="00951F7B">
        <w:rPr>
          <w:rFonts w:ascii="Times New Roman" w:hAnsi="Times New Roman" w:cs="Times New Roman"/>
          <w:sz w:val="24"/>
          <w:szCs w:val="24"/>
        </w:rPr>
        <w:t>46</w:t>
      </w:r>
      <w:r w:rsidR="007A49EE">
        <w:rPr>
          <w:rFonts w:ascii="Times New Roman" w:hAnsi="Times New Roman" w:cs="Times New Roman"/>
          <w:sz w:val="24"/>
          <w:szCs w:val="24"/>
        </w:rPr>
        <w:t> </w:t>
      </w:r>
      <w:r w:rsidRPr="00951F7B">
        <w:rPr>
          <w:rFonts w:ascii="Times New Roman" w:hAnsi="Times New Roman" w:cs="Times New Roman"/>
          <w:sz w:val="24"/>
          <w:szCs w:val="24"/>
        </w:rPr>
        <w:t xml:space="preserve">% de estudiantes en pregrado en todo el </w:t>
      </w:r>
      <w:r w:rsidR="007A49EE">
        <w:rPr>
          <w:rFonts w:ascii="Times New Roman" w:hAnsi="Times New Roman" w:cs="Times New Roman"/>
          <w:sz w:val="24"/>
          <w:szCs w:val="24"/>
        </w:rPr>
        <w:t>estado</w:t>
      </w:r>
      <w:r w:rsidRPr="00951F7B">
        <w:rPr>
          <w:rFonts w:ascii="Times New Roman" w:hAnsi="Times New Roman" w:cs="Times New Roman"/>
          <w:sz w:val="24"/>
          <w:szCs w:val="24"/>
        </w:rPr>
        <w:t>.</w:t>
      </w:r>
      <w:r w:rsidR="002C2B52">
        <w:rPr>
          <w:rFonts w:ascii="Times New Roman" w:hAnsi="Times New Roman" w:cs="Times New Roman"/>
          <w:sz w:val="24"/>
          <w:szCs w:val="24"/>
        </w:rPr>
        <w:t xml:space="preserve"> </w:t>
      </w:r>
      <w:r w:rsidRPr="00951F7B">
        <w:rPr>
          <w:rFonts w:ascii="Times New Roman" w:hAnsi="Times New Roman" w:cs="Times New Roman"/>
          <w:sz w:val="24"/>
          <w:szCs w:val="24"/>
        </w:rPr>
        <w:t>Para el mismo periodo</w:t>
      </w:r>
      <w:r w:rsidR="007A49EE">
        <w:rPr>
          <w:rFonts w:ascii="Times New Roman" w:hAnsi="Times New Roman" w:cs="Times New Roman"/>
          <w:sz w:val="24"/>
          <w:szCs w:val="24"/>
        </w:rPr>
        <w:t>,</w:t>
      </w:r>
      <w:r w:rsidRPr="00951F7B">
        <w:rPr>
          <w:rFonts w:ascii="Times New Roman" w:hAnsi="Times New Roman" w:cs="Times New Roman"/>
          <w:sz w:val="24"/>
          <w:szCs w:val="24"/>
        </w:rPr>
        <w:t xml:space="preserve"> se contaba con una población estudiantil a nivel pregrado de 112</w:t>
      </w:r>
      <w:r w:rsidR="007A49EE">
        <w:rPr>
          <w:rFonts w:ascii="Times New Roman" w:hAnsi="Times New Roman" w:cs="Times New Roman"/>
          <w:sz w:val="24"/>
          <w:szCs w:val="24"/>
        </w:rPr>
        <w:t> </w:t>
      </w:r>
      <w:r w:rsidRPr="00951F7B">
        <w:rPr>
          <w:rFonts w:ascii="Times New Roman" w:hAnsi="Times New Roman" w:cs="Times New Roman"/>
          <w:sz w:val="24"/>
          <w:szCs w:val="24"/>
        </w:rPr>
        <w:t>335, de los cuales</w:t>
      </w:r>
      <w:r w:rsidR="007A49EE">
        <w:rPr>
          <w:rFonts w:ascii="Times New Roman" w:hAnsi="Times New Roman" w:cs="Times New Roman"/>
          <w:sz w:val="24"/>
          <w:szCs w:val="24"/>
        </w:rPr>
        <w:t xml:space="preserve"> </w:t>
      </w:r>
      <w:r w:rsidRPr="00951F7B">
        <w:rPr>
          <w:rFonts w:ascii="Times New Roman" w:hAnsi="Times New Roman" w:cs="Times New Roman"/>
          <w:sz w:val="24"/>
          <w:szCs w:val="24"/>
        </w:rPr>
        <w:t>48</w:t>
      </w:r>
      <w:r w:rsidR="007A49EE">
        <w:rPr>
          <w:rFonts w:ascii="Times New Roman" w:hAnsi="Times New Roman" w:cs="Times New Roman"/>
          <w:sz w:val="24"/>
          <w:szCs w:val="24"/>
        </w:rPr>
        <w:t> </w:t>
      </w:r>
      <w:r w:rsidRPr="00951F7B">
        <w:rPr>
          <w:rFonts w:ascii="Times New Roman" w:hAnsi="Times New Roman" w:cs="Times New Roman"/>
          <w:sz w:val="24"/>
          <w:szCs w:val="24"/>
        </w:rPr>
        <w:t xml:space="preserve">% </w:t>
      </w:r>
      <w:r w:rsidR="007A49EE">
        <w:rPr>
          <w:rFonts w:ascii="Times New Roman" w:hAnsi="Times New Roman" w:cs="Times New Roman"/>
          <w:sz w:val="24"/>
          <w:szCs w:val="24"/>
        </w:rPr>
        <w:t xml:space="preserve">correspondía </w:t>
      </w:r>
      <w:r w:rsidRPr="00951F7B">
        <w:rPr>
          <w:rFonts w:ascii="Times New Roman" w:hAnsi="Times New Roman" w:cs="Times New Roman"/>
          <w:sz w:val="24"/>
          <w:szCs w:val="24"/>
        </w:rPr>
        <w:t>a hombres y 52</w:t>
      </w:r>
      <w:r w:rsidR="007A49EE">
        <w:rPr>
          <w:rFonts w:ascii="Times New Roman" w:hAnsi="Times New Roman" w:cs="Times New Roman"/>
          <w:sz w:val="24"/>
          <w:szCs w:val="24"/>
        </w:rPr>
        <w:t> </w:t>
      </w:r>
      <w:r w:rsidRPr="00951F7B">
        <w:rPr>
          <w:rFonts w:ascii="Times New Roman" w:hAnsi="Times New Roman" w:cs="Times New Roman"/>
          <w:sz w:val="24"/>
          <w:szCs w:val="24"/>
        </w:rPr>
        <w:t>% a mujeres. De esta población</w:t>
      </w:r>
      <w:r w:rsidR="007A49EE">
        <w:rPr>
          <w:rFonts w:ascii="Times New Roman" w:hAnsi="Times New Roman" w:cs="Times New Roman"/>
          <w:sz w:val="24"/>
          <w:szCs w:val="24"/>
        </w:rPr>
        <w:t>,</w:t>
      </w:r>
      <w:r w:rsidRPr="00951F7B">
        <w:rPr>
          <w:rFonts w:ascii="Times New Roman" w:hAnsi="Times New Roman" w:cs="Times New Roman"/>
          <w:sz w:val="24"/>
          <w:szCs w:val="24"/>
        </w:rPr>
        <w:t xml:space="preserve"> 101</w:t>
      </w:r>
      <w:r w:rsidR="007A49EE">
        <w:rPr>
          <w:rFonts w:ascii="Times New Roman" w:hAnsi="Times New Roman" w:cs="Times New Roman"/>
          <w:sz w:val="24"/>
          <w:szCs w:val="24"/>
        </w:rPr>
        <w:t> </w:t>
      </w:r>
      <w:r w:rsidRPr="00951F7B">
        <w:rPr>
          <w:rFonts w:ascii="Times New Roman" w:hAnsi="Times New Roman" w:cs="Times New Roman"/>
          <w:sz w:val="24"/>
          <w:szCs w:val="24"/>
        </w:rPr>
        <w:t xml:space="preserve">354 se </w:t>
      </w:r>
      <w:r w:rsidR="00EB5219">
        <w:rPr>
          <w:rFonts w:ascii="Times New Roman" w:hAnsi="Times New Roman" w:cs="Times New Roman"/>
          <w:sz w:val="24"/>
          <w:szCs w:val="24"/>
        </w:rPr>
        <w:t xml:space="preserve">encontraban </w:t>
      </w:r>
      <w:r w:rsidRPr="00951F7B">
        <w:rPr>
          <w:rFonts w:ascii="Times New Roman" w:hAnsi="Times New Roman" w:cs="Times New Roman"/>
          <w:sz w:val="24"/>
          <w:szCs w:val="24"/>
        </w:rPr>
        <w:t>inscritos en programas educativos de calidad (</w:t>
      </w:r>
      <w:r w:rsidR="00620A47">
        <w:rPr>
          <w:rFonts w:ascii="Times New Roman" w:hAnsi="Times New Roman" w:cs="Times New Roman"/>
          <w:sz w:val="24"/>
          <w:szCs w:val="24"/>
        </w:rPr>
        <w:t>UdeG</w:t>
      </w:r>
      <w:r w:rsidRPr="00951F7B">
        <w:rPr>
          <w:rFonts w:ascii="Times New Roman" w:hAnsi="Times New Roman" w:cs="Times New Roman"/>
          <w:sz w:val="24"/>
          <w:szCs w:val="24"/>
        </w:rPr>
        <w:t>, 2017).</w:t>
      </w:r>
    </w:p>
    <w:p w14:paraId="37DA5730" w14:textId="649BD8E0" w:rsidR="001536A1" w:rsidRDefault="001536A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El número de programas ofertados para el 2016 </w:t>
      </w:r>
      <w:r w:rsidR="001C62A4" w:rsidRPr="00951F7B">
        <w:rPr>
          <w:rFonts w:ascii="Times New Roman" w:hAnsi="Times New Roman" w:cs="Times New Roman"/>
          <w:sz w:val="24"/>
          <w:szCs w:val="24"/>
        </w:rPr>
        <w:t>fue</w:t>
      </w:r>
      <w:r w:rsidRPr="00951F7B">
        <w:rPr>
          <w:rFonts w:ascii="Times New Roman" w:hAnsi="Times New Roman" w:cs="Times New Roman"/>
          <w:sz w:val="24"/>
          <w:szCs w:val="24"/>
        </w:rPr>
        <w:t xml:space="preserve"> de 272 en el nivel de licenciatura y nivelaciones (incluye </w:t>
      </w:r>
      <w:r w:rsidR="00AB32BC">
        <w:rPr>
          <w:rFonts w:ascii="Times New Roman" w:hAnsi="Times New Roman" w:cs="Times New Roman"/>
          <w:sz w:val="24"/>
          <w:szCs w:val="24"/>
        </w:rPr>
        <w:t>técnico superior universitario</w:t>
      </w:r>
      <w:r w:rsidRPr="00951F7B">
        <w:rPr>
          <w:rFonts w:ascii="Times New Roman" w:hAnsi="Times New Roman" w:cs="Times New Roman"/>
          <w:sz w:val="24"/>
          <w:szCs w:val="24"/>
        </w:rPr>
        <w:t>)</w:t>
      </w:r>
      <w:r w:rsidR="00AB32BC">
        <w:rPr>
          <w:rFonts w:ascii="Times New Roman" w:hAnsi="Times New Roman" w:cs="Times New Roman"/>
          <w:sz w:val="24"/>
          <w:szCs w:val="24"/>
        </w:rPr>
        <w:t>,</w:t>
      </w:r>
      <w:r w:rsidRPr="00951F7B">
        <w:rPr>
          <w:rFonts w:ascii="Times New Roman" w:hAnsi="Times New Roman" w:cs="Times New Roman"/>
          <w:sz w:val="24"/>
          <w:szCs w:val="24"/>
        </w:rPr>
        <w:t xml:space="preserve"> de los cuales 145 se encuentran evaluados por </w:t>
      </w:r>
      <w:r w:rsidR="00767083" w:rsidRPr="00951F7B">
        <w:rPr>
          <w:rFonts w:ascii="Times New Roman" w:hAnsi="Times New Roman" w:cs="Times New Roman"/>
          <w:sz w:val="24"/>
          <w:szCs w:val="24"/>
        </w:rPr>
        <w:t xml:space="preserve">el Comité Interinstitucional para la Evaluación de la Educación Superior </w:t>
      </w:r>
      <w:r w:rsidR="00AB32BC">
        <w:rPr>
          <w:rFonts w:ascii="Times New Roman" w:hAnsi="Times New Roman" w:cs="Times New Roman"/>
          <w:sz w:val="24"/>
          <w:szCs w:val="24"/>
        </w:rPr>
        <w:lastRenderedPageBreak/>
        <w:t>(</w:t>
      </w:r>
      <w:r w:rsidRPr="00951F7B">
        <w:rPr>
          <w:rFonts w:ascii="Times New Roman" w:hAnsi="Times New Roman" w:cs="Times New Roman"/>
          <w:sz w:val="24"/>
          <w:szCs w:val="24"/>
        </w:rPr>
        <w:t>CIEES</w:t>
      </w:r>
      <w:r w:rsidR="00AB32BC">
        <w:rPr>
          <w:rFonts w:ascii="Times New Roman" w:hAnsi="Times New Roman" w:cs="Times New Roman"/>
          <w:sz w:val="24"/>
          <w:szCs w:val="24"/>
        </w:rPr>
        <w:t>)</w:t>
      </w:r>
      <w:r w:rsidR="00AB32BC" w:rsidRPr="00951F7B">
        <w:rPr>
          <w:rFonts w:ascii="Times New Roman" w:hAnsi="Times New Roman" w:cs="Times New Roman"/>
          <w:sz w:val="24"/>
          <w:szCs w:val="24"/>
        </w:rPr>
        <w:t xml:space="preserve">. </w:t>
      </w:r>
      <w:r w:rsidR="00891554" w:rsidRPr="00951F7B">
        <w:rPr>
          <w:rFonts w:ascii="Times New Roman" w:hAnsi="Times New Roman" w:cs="Times New Roman"/>
          <w:sz w:val="24"/>
          <w:szCs w:val="24"/>
        </w:rPr>
        <w:t xml:space="preserve">En el mismo periodo, de las </w:t>
      </w:r>
      <w:r w:rsidRPr="00951F7B">
        <w:rPr>
          <w:rFonts w:ascii="Times New Roman" w:hAnsi="Times New Roman" w:cs="Times New Roman"/>
          <w:sz w:val="24"/>
          <w:szCs w:val="24"/>
        </w:rPr>
        <w:t>21</w:t>
      </w:r>
      <w:r w:rsidR="00891554" w:rsidRPr="00951F7B">
        <w:rPr>
          <w:rFonts w:ascii="Times New Roman" w:hAnsi="Times New Roman" w:cs="Times New Roman"/>
          <w:sz w:val="24"/>
          <w:szCs w:val="24"/>
        </w:rPr>
        <w:t>1</w:t>
      </w:r>
      <w:r w:rsidRPr="00951F7B">
        <w:rPr>
          <w:rFonts w:ascii="Times New Roman" w:hAnsi="Times New Roman" w:cs="Times New Roman"/>
          <w:sz w:val="24"/>
          <w:szCs w:val="24"/>
        </w:rPr>
        <w:t xml:space="preserve"> licenciaturas</w:t>
      </w:r>
      <w:r w:rsidR="00891554" w:rsidRPr="00951F7B">
        <w:rPr>
          <w:rFonts w:ascii="Times New Roman" w:hAnsi="Times New Roman" w:cs="Times New Roman"/>
          <w:sz w:val="24"/>
          <w:szCs w:val="24"/>
        </w:rPr>
        <w:t xml:space="preserve">, 142 </w:t>
      </w:r>
      <w:r w:rsidR="00420A2D">
        <w:rPr>
          <w:rFonts w:ascii="Times New Roman" w:hAnsi="Times New Roman" w:cs="Times New Roman"/>
          <w:sz w:val="24"/>
          <w:szCs w:val="24"/>
        </w:rPr>
        <w:t>eran ofertadas en</w:t>
      </w:r>
      <w:r w:rsidRPr="00951F7B">
        <w:rPr>
          <w:rFonts w:ascii="Times New Roman" w:hAnsi="Times New Roman" w:cs="Times New Roman"/>
          <w:sz w:val="24"/>
          <w:szCs w:val="24"/>
        </w:rPr>
        <w:t xml:space="preserve"> centros universitarios regionales, 62 </w:t>
      </w:r>
      <w:r w:rsidR="00420A2D">
        <w:rPr>
          <w:rFonts w:ascii="Times New Roman" w:hAnsi="Times New Roman" w:cs="Times New Roman"/>
          <w:sz w:val="24"/>
          <w:szCs w:val="24"/>
        </w:rPr>
        <w:t>en</w:t>
      </w:r>
      <w:r w:rsidRPr="00951F7B">
        <w:rPr>
          <w:rFonts w:ascii="Times New Roman" w:hAnsi="Times New Roman" w:cs="Times New Roman"/>
          <w:sz w:val="24"/>
          <w:szCs w:val="24"/>
        </w:rPr>
        <w:t xml:space="preserve"> centros temáticos y </w:t>
      </w:r>
      <w:r w:rsidR="00420A2D">
        <w:rPr>
          <w:rFonts w:ascii="Times New Roman" w:hAnsi="Times New Roman" w:cs="Times New Roman"/>
          <w:sz w:val="24"/>
          <w:szCs w:val="24"/>
        </w:rPr>
        <w:t>nueve</w:t>
      </w:r>
      <w:r w:rsidR="00420A2D" w:rsidRPr="00951F7B">
        <w:rPr>
          <w:rFonts w:ascii="Times New Roman" w:hAnsi="Times New Roman" w:cs="Times New Roman"/>
          <w:sz w:val="24"/>
          <w:szCs w:val="24"/>
        </w:rPr>
        <w:t xml:space="preserve"> </w:t>
      </w:r>
      <w:r w:rsidR="00420A2D">
        <w:rPr>
          <w:rFonts w:ascii="Times New Roman" w:hAnsi="Times New Roman" w:cs="Times New Roman"/>
          <w:sz w:val="24"/>
          <w:szCs w:val="24"/>
        </w:rPr>
        <w:t xml:space="preserve">a través del </w:t>
      </w:r>
      <w:r w:rsidRPr="00951F7B">
        <w:rPr>
          <w:rFonts w:ascii="Times New Roman" w:hAnsi="Times New Roman" w:cs="Times New Roman"/>
          <w:sz w:val="24"/>
          <w:szCs w:val="24"/>
        </w:rPr>
        <w:t>Sistema de Universidad Virtual</w:t>
      </w:r>
      <w:r w:rsidR="00420A2D">
        <w:rPr>
          <w:rFonts w:ascii="Times New Roman" w:hAnsi="Times New Roman" w:cs="Times New Roman"/>
          <w:sz w:val="24"/>
          <w:szCs w:val="24"/>
        </w:rPr>
        <w:t xml:space="preserve"> (SUV</w:t>
      </w:r>
      <w:r w:rsidRPr="00951F7B">
        <w:rPr>
          <w:rFonts w:ascii="Times New Roman" w:hAnsi="Times New Roman" w:cs="Times New Roman"/>
          <w:sz w:val="24"/>
          <w:szCs w:val="24"/>
        </w:rPr>
        <w:t xml:space="preserve">). </w:t>
      </w:r>
      <w:r w:rsidR="00C46D34" w:rsidRPr="00951F7B">
        <w:rPr>
          <w:rFonts w:ascii="Times New Roman" w:hAnsi="Times New Roman" w:cs="Times New Roman"/>
          <w:sz w:val="24"/>
          <w:szCs w:val="24"/>
        </w:rPr>
        <w:t>En la tabla 1 se muestra la evolución de los programas educativos en el periodo 2014 al 2019.</w:t>
      </w:r>
    </w:p>
    <w:p w14:paraId="300D024F" w14:textId="77777777" w:rsidR="00951F7B" w:rsidRPr="00951F7B" w:rsidRDefault="00951F7B" w:rsidP="00951F7B">
      <w:pPr>
        <w:spacing w:after="0" w:line="360" w:lineRule="auto"/>
        <w:ind w:firstLine="709"/>
        <w:jc w:val="both"/>
        <w:rPr>
          <w:rFonts w:ascii="Times New Roman" w:hAnsi="Times New Roman" w:cs="Times New Roman"/>
          <w:sz w:val="24"/>
          <w:szCs w:val="24"/>
        </w:rPr>
      </w:pPr>
    </w:p>
    <w:p w14:paraId="4E4F9844" w14:textId="6E1D9848" w:rsidR="001550B4" w:rsidRPr="00951F7B" w:rsidRDefault="00C9313F" w:rsidP="00951F7B">
      <w:pPr>
        <w:spacing w:after="0" w:line="360" w:lineRule="auto"/>
        <w:jc w:val="center"/>
        <w:rPr>
          <w:rFonts w:ascii="Times New Roman" w:hAnsi="Times New Roman" w:cs="Times New Roman"/>
          <w:b/>
          <w:sz w:val="24"/>
          <w:szCs w:val="28"/>
        </w:rPr>
      </w:pPr>
      <w:r w:rsidRPr="00951F7B">
        <w:rPr>
          <w:rFonts w:ascii="Times New Roman" w:hAnsi="Times New Roman" w:cs="Times New Roman"/>
          <w:b/>
          <w:sz w:val="24"/>
          <w:szCs w:val="28"/>
        </w:rPr>
        <w:t>Tabla 1</w:t>
      </w:r>
      <w:r w:rsidR="00951F7B" w:rsidRPr="00951F7B">
        <w:rPr>
          <w:rFonts w:ascii="Times New Roman" w:hAnsi="Times New Roman" w:cs="Times New Roman"/>
          <w:b/>
          <w:sz w:val="24"/>
          <w:szCs w:val="28"/>
        </w:rPr>
        <w:t xml:space="preserve">. </w:t>
      </w:r>
      <w:r w:rsidR="00891554" w:rsidRPr="00951F7B">
        <w:rPr>
          <w:rFonts w:ascii="Times New Roman" w:hAnsi="Times New Roman" w:cs="Times New Roman"/>
          <w:iCs/>
          <w:sz w:val="24"/>
          <w:szCs w:val="28"/>
        </w:rPr>
        <w:t>Evolución de la oferta educativa 2014-2019</w:t>
      </w:r>
    </w:p>
    <w:tbl>
      <w:tblPr>
        <w:tblStyle w:val="Tablaconcuadrcula"/>
        <w:tblW w:w="0" w:type="auto"/>
        <w:jc w:val="center"/>
        <w:tblLook w:val="04A0" w:firstRow="1" w:lastRow="0" w:firstColumn="1" w:lastColumn="0" w:noHBand="0" w:noVBand="1"/>
      </w:tblPr>
      <w:tblGrid>
        <w:gridCol w:w="3236"/>
        <w:gridCol w:w="696"/>
        <w:gridCol w:w="696"/>
        <w:gridCol w:w="696"/>
        <w:gridCol w:w="696"/>
        <w:gridCol w:w="696"/>
        <w:gridCol w:w="851"/>
      </w:tblGrid>
      <w:tr w:rsidR="00891554" w:rsidRPr="00274328" w14:paraId="6EC9DEE2" w14:textId="77777777" w:rsidTr="00951F7B">
        <w:trPr>
          <w:trHeight w:val="300"/>
          <w:jc w:val="center"/>
        </w:trPr>
        <w:tc>
          <w:tcPr>
            <w:tcW w:w="3236" w:type="dxa"/>
            <w:noWrap/>
            <w:hideMark/>
          </w:tcPr>
          <w:p w14:paraId="0F695D13" w14:textId="77777777" w:rsidR="00891554" w:rsidRPr="00274328" w:rsidRDefault="00891554" w:rsidP="00951F7B">
            <w:pPr>
              <w:spacing w:line="360" w:lineRule="auto"/>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Nivel educativo</w:t>
            </w:r>
          </w:p>
        </w:tc>
        <w:tc>
          <w:tcPr>
            <w:tcW w:w="0" w:type="auto"/>
            <w:noWrap/>
            <w:hideMark/>
          </w:tcPr>
          <w:p w14:paraId="58244DA9"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2014</w:t>
            </w:r>
          </w:p>
        </w:tc>
        <w:tc>
          <w:tcPr>
            <w:tcW w:w="659" w:type="dxa"/>
            <w:noWrap/>
            <w:hideMark/>
          </w:tcPr>
          <w:p w14:paraId="03C4293C"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2015</w:t>
            </w:r>
          </w:p>
        </w:tc>
        <w:tc>
          <w:tcPr>
            <w:tcW w:w="500" w:type="dxa"/>
            <w:noWrap/>
            <w:hideMark/>
          </w:tcPr>
          <w:p w14:paraId="176E984C"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2016</w:t>
            </w:r>
          </w:p>
        </w:tc>
        <w:tc>
          <w:tcPr>
            <w:tcW w:w="567" w:type="dxa"/>
            <w:noWrap/>
            <w:hideMark/>
          </w:tcPr>
          <w:p w14:paraId="08D5699D"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2017</w:t>
            </w:r>
          </w:p>
        </w:tc>
        <w:tc>
          <w:tcPr>
            <w:tcW w:w="509" w:type="dxa"/>
            <w:noWrap/>
            <w:hideMark/>
          </w:tcPr>
          <w:p w14:paraId="7E4162E1"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2018</w:t>
            </w:r>
          </w:p>
        </w:tc>
        <w:tc>
          <w:tcPr>
            <w:tcW w:w="851" w:type="dxa"/>
            <w:noWrap/>
            <w:hideMark/>
          </w:tcPr>
          <w:p w14:paraId="2D7B5072"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2019</w:t>
            </w:r>
          </w:p>
        </w:tc>
      </w:tr>
      <w:tr w:rsidR="00891554" w:rsidRPr="00274328" w14:paraId="0071DBF4" w14:textId="77777777" w:rsidTr="00951F7B">
        <w:trPr>
          <w:trHeight w:val="300"/>
          <w:jc w:val="center"/>
        </w:trPr>
        <w:tc>
          <w:tcPr>
            <w:tcW w:w="3236" w:type="dxa"/>
            <w:noWrap/>
            <w:hideMark/>
          </w:tcPr>
          <w:p w14:paraId="51786A27" w14:textId="77777777" w:rsidR="00891554" w:rsidRPr="00274328" w:rsidRDefault="00891554" w:rsidP="00951F7B">
            <w:pPr>
              <w:spacing w:line="360" w:lineRule="auto"/>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Pregrado</w:t>
            </w:r>
          </w:p>
        </w:tc>
        <w:tc>
          <w:tcPr>
            <w:tcW w:w="0" w:type="auto"/>
            <w:noWrap/>
            <w:hideMark/>
          </w:tcPr>
          <w:p w14:paraId="138D434C"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199</w:t>
            </w:r>
          </w:p>
        </w:tc>
        <w:tc>
          <w:tcPr>
            <w:tcW w:w="659" w:type="dxa"/>
            <w:noWrap/>
            <w:hideMark/>
          </w:tcPr>
          <w:p w14:paraId="2D5B6804"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202</w:t>
            </w:r>
          </w:p>
        </w:tc>
        <w:tc>
          <w:tcPr>
            <w:tcW w:w="500" w:type="dxa"/>
            <w:noWrap/>
            <w:hideMark/>
          </w:tcPr>
          <w:p w14:paraId="26B23E24"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211</w:t>
            </w:r>
          </w:p>
        </w:tc>
        <w:tc>
          <w:tcPr>
            <w:tcW w:w="567" w:type="dxa"/>
            <w:noWrap/>
            <w:hideMark/>
          </w:tcPr>
          <w:p w14:paraId="1F06B902"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219</w:t>
            </w:r>
          </w:p>
        </w:tc>
        <w:tc>
          <w:tcPr>
            <w:tcW w:w="509" w:type="dxa"/>
            <w:noWrap/>
            <w:hideMark/>
          </w:tcPr>
          <w:p w14:paraId="5FF4319B"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224</w:t>
            </w:r>
          </w:p>
        </w:tc>
        <w:tc>
          <w:tcPr>
            <w:tcW w:w="851" w:type="dxa"/>
            <w:noWrap/>
            <w:hideMark/>
          </w:tcPr>
          <w:p w14:paraId="361FE3C5" w14:textId="77777777" w:rsidR="00891554" w:rsidRPr="00274328" w:rsidRDefault="00891554"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229</w:t>
            </w:r>
          </w:p>
        </w:tc>
      </w:tr>
      <w:tr w:rsidR="00891554" w:rsidRPr="00274328" w14:paraId="7710E2E3" w14:textId="77777777" w:rsidTr="00951F7B">
        <w:trPr>
          <w:trHeight w:val="300"/>
          <w:jc w:val="center"/>
        </w:trPr>
        <w:tc>
          <w:tcPr>
            <w:tcW w:w="3236" w:type="dxa"/>
            <w:noWrap/>
            <w:hideMark/>
          </w:tcPr>
          <w:p w14:paraId="2B0FDBE2" w14:textId="77777777" w:rsidR="00891554" w:rsidRPr="00274328" w:rsidRDefault="007F5371" w:rsidP="00951F7B">
            <w:pPr>
              <w:spacing w:line="360" w:lineRule="auto"/>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Con reconocimiento de calidad</w:t>
            </w:r>
          </w:p>
        </w:tc>
        <w:tc>
          <w:tcPr>
            <w:tcW w:w="0" w:type="auto"/>
            <w:noWrap/>
            <w:hideMark/>
          </w:tcPr>
          <w:p w14:paraId="1A734871" w14:textId="77777777" w:rsidR="00891554" w:rsidRPr="00274328" w:rsidRDefault="007F5371"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121</w:t>
            </w:r>
          </w:p>
        </w:tc>
        <w:tc>
          <w:tcPr>
            <w:tcW w:w="659" w:type="dxa"/>
            <w:noWrap/>
            <w:hideMark/>
          </w:tcPr>
          <w:p w14:paraId="53AEE623" w14:textId="77777777" w:rsidR="00891554" w:rsidRPr="00274328" w:rsidRDefault="007F5371"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133</w:t>
            </w:r>
          </w:p>
        </w:tc>
        <w:tc>
          <w:tcPr>
            <w:tcW w:w="500" w:type="dxa"/>
            <w:noWrap/>
            <w:hideMark/>
          </w:tcPr>
          <w:p w14:paraId="77BFAF0E" w14:textId="77777777" w:rsidR="00891554" w:rsidRPr="00274328" w:rsidRDefault="007F5371"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151</w:t>
            </w:r>
          </w:p>
        </w:tc>
        <w:tc>
          <w:tcPr>
            <w:tcW w:w="567" w:type="dxa"/>
            <w:noWrap/>
            <w:hideMark/>
          </w:tcPr>
          <w:p w14:paraId="0FABA89F" w14:textId="77777777" w:rsidR="00891554" w:rsidRPr="00274328" w:rsidRDefault="007F5371"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179</w:t>
            </w:r>
          </w:p>
        </w:tc>
        <w:tc>
          <w:tcPr>
            <w:tcW w:w="509" w:type="dxa"/>
            <w:noWrap/>
            <w:hideMark/>
          </w:tcPr>
          <w:p w14:paraId="47708B0B" w14:textId="77777777" w:rsidR="00891554" w:rsidRPr="00274328" w:rsidRDefault="007F5371"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209</w:t>
            </w:r>
          </w:p>
        </w:tc>
        <w:tc>
          <w:tcPr>
            <w:tcW w:w="851" w:type="dxa"/>
            <w:noWrap/>
            <w:hideMark/>
          </w:tcPr>
          <w:p w14:paraId="4392F013" w14:textId="77777777" w:rsidR="00891554" w:rsidRPr="00274328" w:rsidRDefault="007F5371" w:rsidP="00951F7B">
            <w:pPr>
              <w:spacing w:line="360" w:lineRule="auto"/>
              <w:jc w:val="right"/>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210</w:t>
            </w:r>
          </w:p>
        </w:tc>
      </w:tr>
    </w:tbl>
    <w:p w14:paraId="5DDD246F" w14:textId="5DFF9AD7" w:rsidR="001536A1" w:rsidRPr="00145D7F" w:rsidRDefault="00420A2D" w:rsidP="00951F7B">
      <w:pPr>
        <w:spacing w:after="0" w:line="360" w:lineRule="auto"/>
        <w:jc w:val="center"/>
        <w:rPr>
          <w:rFonts w:ascii="Times New Roman" w:eastAsia="Times New Roman" w:hAnsi="Times New Roman" w:cs="Times New Roman"/>
          <w:color w:val="000000"/>
          <w:sz w:val="24"/>
          <w:szCs w:val="40"/>
          <w:lang w:eastAsia="es-MX"/>
        </w:rPr>
      </w:pPr>
      <w:r w:rsidRPr="00145D7F">
        <w:rPr>
          <w:rFonts w:ascii="Times New Roman" w:eastAsia="Times New Roman" w:hAnsi="Times New Roman" w:cs="Times New Roman"/>
          <w:iCs/>
          <w:color w:val="000000"/>
          <w:sz w:val="24"/>
          <w:szCs w:val="40"/>
          <w:lang w:eastAsia="es-MX"/>
        </w:rPr>
        <w:t>Fuente:</w:t>
      </w:r>
      <w:r w:rsidR="00990992" w:rsidRPr="00145D7F">
        <w:rPr>
          <w:rFonts w:ascii="Times New Roman" w:eastAsia="Times New Roman" w:hAnsi="Times New Roman" w:cs="Times New Roman"/>
          <w:color w:val="000000"/>
          <w:sz w:val="24"/>
          <w:szCs w:val="40"/>
          <w:lang w:eastAsia="es-MX"/>
        </w:rPr>
        <w:t xml:space="preserve"> </w:t>
      </w:r>
      <w:r w:rsidR="00620A47" w:rsidRPr="00145D7F">
        <w:rPr>
          <w:rFonts w:ascii="Times New Roman" w:eastAsia="Times New Roman" w:hAnsi="Times New Roman" w:cs="Times New Roman"/>
          <w:color w:val="000000"/>
          <w:sz w:val="24"/>
          <w:szCs w:val="40"/>
          <w:lang w:eastAsia="es-MX"/>
        </w:rPr>
        <w:t>UdeG</w:t>
      </w:r>
      <w:r w:rsidR="001536A1" w:rsidRPr="00145D7F">
        <w:rPr>
          <w:rFonts w:ascii="Times New Roman" w:eastAsia="Times New Roman" w:hAnsi="Times New Roman" w:cs="Times New Roman"/>
          <w:color w:val="000000"/>
          <w:sz w:val="24"/>
          <w:szCs w:val="40"/>
          <w:lang w:eastAsia="es-MX"/>
        </w:rPr>
        <w:t xml:space="preserve"> </w:t>
      </w:r>
      <w:r w:rsidR="00891554" w:rsidRPr="00145D7F">
        <w:rPr>
          <w:rFonts w:ascii="Times New Roman" w:hAnsi="Times New Roman" w:cs="Times New Roman"/>
          <w:sz w:val="24"/>
          <w:szCs w:val="36"/>
        </w:rPr>
        <w:t>(2020)</w:t>
      </w:r>
    </w:p>
    <w:p w14:paraId="07CBADD7" w14:textId="31E41E2C" w:rsidR="007F5371" w:rsidRPr="00951F7B" w:rsidRDefault="007F537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El aseguramiento </w:t>
      </w:r>
      <w:r w:rsidR="005C6197">
        <w:rPr>
          <w:rFonts w:ascii="Times New Roman" w:hAnsi="Times New Roman" w:cs="Times New Roman"/>
          <w:sz w:val="24"/>
          <w:szCs w:val="24"/>
        </w:rPr>
        <w:t>de</w:t>
      </w:r>
      <w:r w:rsidR="005C6197" w:rsidRPr="00951F7B">
        <w:rPr>
          <w:rFonts w:ascii="Times New Roman" w:hAnsi="Times New Roman" w:cs="Times New Roman"/>
          <w:sz w:val="24"/>
          <w:szCs w:val="24"/>
        </w:rPr>
        <w:t xml:space="preserve"> </w:t>
      </w:r>
      <w:r w:rsidRPr="00951F7B">
        <w:rPr>
          <w:rFonts w:ascii="Times New Roman" w:hAnsi="Times New Roman" w:cs="Times New Roman"/>
          <w:sz w:val="24"/>
          <w:szCs w:val="24"/>
        </w:rPr>
        <w:t>la calidad de los programas educativos se ha convertido</w:t>
      </w:r>
      <w:r w:rsidR="005C6197">
        <w:rPr>
          <w:rFonts w:ascii="Times New Roman" w:hAnsi="Times New Roman" w:cs="Times New Roman"/>
          <w:sz w:val="24"/>
          <w:szCs w:val="24"/>
        </w:rPr>
        <w:t>,</w:t>
      </w:r>
      <w:r w:rsidRPr="00951F7B">
        <w:rPr>
          <w:rFonts w:ascii="Times New Roman" w:hAnsi="Times New Roman" w:cs="Times New Roman"/>
          <w:sz w:val="24"/>
          <w:szCs w:val="24"/>
        </w:rPr>
        <w:t xml:space="preserve"> desde entonces,</w:t>
      </w:r>
      <w:r w:rsidR="005C6197">
        <w:rPr>
          <w:rFonts w:ascii="Times New Roman" w:hAnsi="Times New Roman" w:cs="Times New Roman"/>
          <w:sz w:val="24"/>
          <w:szCs w:val="24"/>
        </w:rPr>
        <w:t xml:space="preserve"> en</w:t>
      </w:r>
      <w:r w:rsidRPr="00951F7B">
        <w:rPr>
          <w:rFonts w:ascii="Times New Roman" w:hAnsi="Times New Roman" w:cs="Times New Roman"/>
          <w:sz w:val="24"/>
          <w:szCs w:val="24"/>
        </w:rPr>
        <w:t xml:space="preserve"> uno de los esfuerzos para ofrecer una educación acorde a las demandas actuales de la sociedad. </w:t>
      </w:r>
    </w:p>
    <w:p w14:paraId="2BD8B9B8" w14:textId="2DE99D03" w:rsidR="001536A1" w:rsidRPr="00951F7B" w:rsidRDefault="001536A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Como parte de su estrategia</w:t>
      </w:r>
      <w:r w:rsidR="0073449B" w:rsidRPr="00951F7B">
        <w:rPr>
          <w:rFonts w:ascii="Times New Roman" w:hAnsi="Times New Roman" w:cs="Times New Roman"/>
          <w:sz w:val="24"/>
          <w:szCs w:val="24"/>
        </w:rPr>
        <w:t xml:space="preserve"> implementada </w:t>
      </w:r>
      <w:r w:rsidRPr="00951F7B">
        <w:rPr>
          <w:rFonts w:ascii="Times New Roman" w:hAnsi="Times New Roman" w:cs="Times New Roman"/>
          <w:sz w:val="24"/>
          <w:szCs w:val="24"/>
        </w:rPr>
        <w:t xml:space="preserve">en materia de </w:t>
      </w:r>
      <w:r w:rsidR="005C6197">
        <w:rPr>
          <w:rFonts w:ascii="Times New Roman" w:hAnsi="Times New Roman" w:cs="Times New Roman"/>
          <w:sz w:val="24"/>
          <w:szCs w:val="24"/>
        </w:rPr>
        <w:t>d</w:t>
      </w:r>
      <w:r w:rsidRPr="00951F7B">
        <w:rPr>
          <w:rFonts w:ascii="Times New Roman" w:hAnsi="Times New Roman" w:cs="Times New Roman"/>
          <w:sz w:val="24"/>
          <w:szCs w:val="24"/>
        </w:rPr>
        <w:t xml:space="preserve">ocencia y </w:t>
      </w:r>
      <w:r w:rsidR="006D1021">
        <w:rPr>
          <w:rFonts w:ascii="Times New Roman" w:hAnsi="Times New Roman" w:cs="Times New Roman"/>
          <w:sz w:val="24"/>
          <w:szCs w:val="24"/>
        </w:rPr>
        <w:t>a</w:t>
      </w:r>
      <w:r w:rsidR="006D1021" w:rsidRPr="00951F7B">
        <w:rPr>
          <w:rFonts w:ascii="Times New Roman" w:hAnsi="Times New Roman" w:cs="Times New Roman"/>
          <w:sz w:val="24"/>
          <w:szCs w:val="24"/>
        </w:rPr>
        <w:t>prendizaje</w:t>
      </w:r>
      <w:r w:rsidR="006D1021">
        <w:rPr>
          <w:rFonts w:ascii="Times New Roman" w:hAnsi="Times New Roman" w:cs="Times New Roman"/>
          <w:sz w:val="24"/>
          <w:szCs w:val="24"/>
        </w:rPr>
        <w:t xml:space="preserve"> </w:t>
      </w:r>
      <w:r w:rsidR="006D1021" w:rsidRPr="00951F7B">
        <w:rPr>
          <w:rFonts w:ascii="Times New Roman" w:hAnsi="Times New Roman" w:cs="Times New Roman"/>
          <w:sz w:val="24"/>
          <w:szCs w:val="24"/>
        </w:rPr>
        <w:t>en el periodo 2014</w:t>
      </w:r>
      <w:r w:rsidRPr="00951F7B">
        <w:rPr>
          <w:rFonts w:ascii="Times New Roman" w:hAnsi="Times New Roman" w:cs="Times New Roman"/>
          <w:sz w:val="24"/>
          <w:szCs w:val="24"/>
        </w:rPr>
        <w:t xml:space="preserve">, </w:t>
      </w:r>
      <w:r w:rsidR="0050430D" w:rsidRPr="00951F7B">
        <w:rPr>
          <w:rFonts w:ascii="Times New Roman" w:hAnsi="Times New Roman" w:cs="Times New Roman"/>
          <w:sz w:val="24"/>
          <w:szCs w:val="24"/>
        </w:rPr>
        <w:t xml:space="preserve">se </w:t>
      </w:r>
      <w:r w:rsidRPr="00951F7B">
        <w:rPr>
          <w:rFonts w:ascii="Times New Roman" w:hAnsi="Times New Roman" w:cs="Times New Roman"/>
          <w:sz w:val="24"/>
          <w:szCs w:val="24"/>
        </w:rPr>
        <w:t>resalt</w:t>
      </w:r>
      <w:r w:rsidR="0073449B" w:rsidRPr="00951F7B">
        <w:rPr>
          <w:rFonts w:ascii="Times New Roman" w:hAnsi="Times New Roman" w:cs="Times New Roman"/>
          <w:sz w:val="24"/>
          <w:szCs w:val="24"/>
        </w:rPr>
        <w:t>ó</w:t>
      </w:r>
      <w:r w:rsidRPr="00951F7B">
        <w:rPr>
          <w:rFonts w:ascii="Times New Roman" w:hAnsi="Times New Roman" w:cs="Times New Roman"/>
          <w:sz w:val="24"/>
          <w:szCs w:val="24"/>
        </w:rPr>
        <w:t xml:space="preserve"> la importancia de mantener su compromiso con la sociedad través del mantenimiento constante de los contenidos curriculares, el establecimiento de distintos programas para garantizar una formación integral del estudiante con el fin de que el estudiante desarrolle capacidades y habilidades como ciudadanos responsables</w:t>
      </w:r>
      <w:r w:rsidR="001C62A4" w:rsidRPr="00951F7B">
        <w:rPr>
          <w:rFonts w:ascii="Times New Roman" w:hAnsi="Times New Roman" w:cs="Times New Roman"/>
          <w:sz w:val="24"/>
          <w:szCs w:val="24"/>
        </w:rPr>
        <w:t xml:space="preserve"> (</w:t>
      </w:r>
      <w:r w:rsidR="00620A47">
        <w:rPr>
          <w:rFonts w:ascii="Times New Roman" w:hAnsi="Times New Roman" w:cs="Times New Roman"/>
          <w:sz w:val="24"/>
          <w:szCs w:val="24"/>
        </w:rPr>
        <w:t>UdeG</w:t>
      </w:r>
      <w:r w:rsidR="001C62A4" w:rsidRPr="00951F7B">
        <w:rPr>
          <w:rFonts w:ascii="Times New Roman" w:hAnsi="Times New Roman" w:cs="Times New Roman"/>
          <w:sz w:val="24"/>
          <w:szCs w:val="24"/>
        </w:rPr>
        <w:t>, 2014)</w:t>
      </w:r>
      <w:r w:rsidRPr="00951F7B">
        <w:rPr>
          <w:rFonts w:ascii="Times New Roman" w:hAnsi="Times New Roman" w:cs="Times New Roman"/>
          <w:sz w:val="24"/>
          <w:szCs w:val="24"/>
        </w:rPr>
        <w:t xml:space="preserve">. Se </w:t>
      </w:r>
      <w:r w:rsidR="0073449B" w:rsidRPr="00951F7B">
        <w:rPr>
          <w:rFonts w:ascii="Times New Roman" w:hAnsi="Times New Roman" w:cs="Times New Roman"/>
          <w:sz w:val="24"/>
          <w:szCs w:val="24"/>
        </w:rPr>
        <w:t>hizo</w:t>
      </w:r>
      <w:r w:rsidRPr="00951F7B">
        <w:rPr>
          <w:rFonts w:ascii="Times New Roman" w:hAnsi="Times New Roman" w:cs="Times New Roman"/>
          <w:sz w:val="24"/>
          <w:szCs w:val="24"/>
        </w:rPr>
        <w:t xml:space="preserve"> énfasis en establecer un currículo universitario centrado en el estudiante y su aprendizaje. </w:t>
      </w:r>
      <w:r w:rsidR="0073449B" w:rsidRPr="00951F7B">
        <w:rPr>
          <w:rFonts w:ascii="Times New Roman" w:hAnsi="Times New Roman" w:cs="Times New Roman"/>
          <w:sz w:val="24"/>
          <w:szCs w:val="24"/>
        </w:rPr>
        <w:t>Asimismo,</w:t>
      </w:r>
      <w:r w:rsidR="006D1021">
        <w:rPr>
          <w:rFonts w:ascii="Times New Roman" w:hAnsi="Times New Roman" w:cs="Times New Roman"/>
          <w:sz w:val="24"/>
          <w:szCs w:val="24"/>
        </w:rPr>
        <w:t xml:space="preserve"> se</w:t>
      </w:r>
      <w:r w:rsidRPr="00951F7B">
        <w:rPr>
          <w:rFonts w:ascii="Times New Roman" w:hAnsi="Times New Roman" w:cs="Times New Roman"/>
          <w:sz w:val="24"/>
          <w:szCs w:val="24"/>
        </w:rPr>
        <w:t xml:space="preserve"> </w:t>
      </w:r>
      <w:r w:rsidR="0073449B" w:rsidRPr="00951F7B">
        <w:rPr>
          <w:rFonts w:ascii="Times New Roman" w:hAnsi="Times New Roman" w:cs="Times New Roman"/>
          <w:sz w:val="24"/>
          <w:szCs w:val="24"/>
        </w:rPr>
        <w:t>procuró la</w:t>
      </w:r>
      <w:r w:rsidRPr="00951F7B">
        <w:rPr>
          <w:rFonts w:ascii="Times New Roman" w:hAnsi="Times New Roman" w:cs="Times New Roman"/>
          <w:sz w:val="24"/>
          <w:szCs w:val="24"/>
        </w:rPr>
        <w:t xml:space="preserve"> consolidación del enfoque pedagógico centrado en el aprendizaje y en la formación integral del estudia</w:t>
      </w:r>
      <w:r w:rsidR="00B15A69" w:rsidRPr="00951F7B">
        <w:rPr>
          <w:rFonts w:ascii="Times New Roman" w:hAnsi="Times New Roman" w:cs="Times New Roman"/>
          <w:sz w:val="24"/>
          <w:szCs w:val="24"/>
        </w:rPr>
        <w:t>nte. Para alcanzar esto, se pla</w:t>
      </w:r>
      <w:r w:rsidR="004E06D2">
        <w:rPr>
          <w:rFonts w:ascii="Times New Roman" w:hAnsi="Times New Roman" w:cs="Times New Roman"/>
          <w:sz w:val="24"/>
          <w:szCs w:val="24"/>
        </w:rPr>
        <w:t>n</w:t>
      </w:r>
      <w:r w:rsidR="00B15A69" w:rsidRPr="00951F7B">
        <w:rPr>
          <w:rFonts w:ascii="Times New Roman" w:hAnsi="Times New Roman" w:cs="Times New Roman"/>
          <w:sz w:val="24"/>
          <w:szCs w:val="24"/>
        </w:rPr>
        <w:t>teó</w:t>
      </w:r>
      <w:r w:rsidRPr="00951F7B">
        <w:rPr>
          <w:rFonts w:ascii="Times New Roman" w:hAnsi="Times New Roman" w:cs="Times New Roman"/>
          <w:sz w:val="24"/>
          <w:szCs w:val="24"/>
        </w:rPr>
        <w:t xml:space="preserve"> como estrategia “</w:t>
      </w:r>
      <w:r w:rsidR="006D1021">
        <w:rPr>
          <w:rFonts w:ascii="Times New Roman" w:hAnsi="Times New Roman" w:cs="Times New Roman"/>
          <w:sz w:val="24"/>
          <w:szCs w:val="24"/>
        </w:rPr>
        <w:t>c</w:t>
      </w:r>
      <w:r w:rsidR="006D1021" w:rsidRPr="00951F7B">
        <w:rPr>
          <w:rFonts w:ascii="Times New Roman" w:hAnsi="Times New Roman" w:cs="Times New Roman"/>
          <w:sz w:val="24"/>
          <w:szCs w:val="24"/>
        </w:rPr>
        <w:t xml:space="preserve">onsolidar </w:t>
      </w:r>
      <w:r w:rsidRPr="00951F7B">
        <w:rPr>
          <w:rFonts w:ascii="Times New Roman" w:hAnsi="Times New Roman" w:cs="Times New Roman"/>
          <w:sz w:val="24"/>
          <w:szCs w:val="24"/>
        </w:rPr>
        <w:t>al modelo departamental como el eje del desarrollo académico de la Red Universitaria y fortalecerlo en la toma de decisiones académicas” (</w:t>
      </w:r>
      <w:r w:rsidR="00620A47">
        <w:rPr>
          <w:rFonts w:ascii="Times New Roman" w:hAnsi="Times New Roman" w:cs="Times New Roman"/>
          <w:sz w:val="24"/>
          <w:szCs w:val="24"/>
        </w:rPr>
        <w:t>UdeG</w:t>
      </w:r>
      <w:r w:rsidRPr="00951F7B">
        <w:rPr>
          <w:rFonts w:ascii="Times New Roman" w:hAnsi="Times New Roman" w:cs="Times New Roman"/>
          <w:sz w:val="24"/>
          <w:szCs w:val="24"/>
        </w:rPr>
        <w:t>, 2014, p. 59).</w:t>
      </w:r>
    </w:p>
    <w:p w14:paraId="34598C8E" w14:textId="623BFB3E" w:rsidR="001C62A4" w:rsidRPr="00951F7B" w:rsidRDefault="001536A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Asimismo, </w:t>
      </w:r>
      <w:r w:rsidR="00620A47">
        <w:rPr>
          <w:rFonts w:ascii="Times New Roman" w:hAnsi="Times New Roman" w:cs="Times New Roman"/>
          <w:sz w:val="24"/>
          <w:szCs w:val="24"/>
        </w:rPr>
        <w:t>l</w:t>
      </w:r>
      <w:r w:rsidR="001C62A4" w:rsidRPr="00951F7B">
        <w:rPr>
          <w:rFonts w:ascii="Times New Roman" w:hAnsi="Times New Roman" w:cs="Times New Roman"/>
          <w:sz w:val="24"/>
          <w:szCs w:val="24"/>
        </w:rPr>
        <w:t xml:space="preserve">a </w:t>
      </w:r>
      <w:r w:rsidR="00620A47">
        <w:rPr>
          <w:rFonts w:ascii="Times New Roman" w:hAnsi="Times New Roman" w:cs="Times New Roman"/>
          <w:sz w:val="24"/>
          <w:szCs w:val="24"/>
        </w:rPr>
        <w:t>UdeG</w:t>
      </w:r>
      <w:r w:rsidR="001C62A4" w:rsidRPr="00951F7B">
        <w:rPr>
          <w:rFonts w:ascii="Times New Roman" w:hAnsi="Times New Roman" w:cs="Times New Roman"/>
          <w:sz w:val="24"/>
          <w:szCs w:val="24"/>
        </w:rPr>
        <w:t xml:space="preserve"> (2014)</w:t>
      </w:r>
      <w:r w:rsidR="00620A47">
        <w:rPr>
          <w:rFonts w:ascii="Times New Roman" w:hAnsi="Times New Roman" w:cs="Times New Roman"/>
          <w:sz w:val="24"/>
          <w:szCs w:val="24"/>
        </w:rPr>
        <w:t>,</w:t>
      </w:r>
      <w:r w:rsidR="001C62A4"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en el eje de </w:t>
      </w:r>
      <w:r w:rsidR="00620A47">
        <w:rPr>
          <w:rFonts w:ascii="Times New Roman" w:hAnsi="Times New Roman" w:cs="Times New Roman"/>
          <w:sz w:val="24"/>
          <w:szCs w:val="24"/>
        </w:rPr>
        <w:t>“</w:t>
      </w:r>
      <w:r w:rsidRPr="00951F7B">
        <w:rPr>
          <w:rFonts w:ascii="Times New Roman" w:hAnsi="Times New Roman" w:cs="Times New Roman"/>
          <w:sz w:val="24"/>
          <w:szCs w:val="24"/>
        </w:rPr>
        <w:t xml:space="preserve">Extensión y </w:t>
      </w:r>
      <w:r w:rsidR="00620A47">
        <w:rPr>
          <w:rFonts w:ascii="Times New Roman" w:hAnsi="Times New Roman" w:cs="Times New Roman"/>
          <w:sz w:val="24"/>
          <w:szCs w:val="24"/>
        </w:rPr>
        <w:t>d</w:t>
      </w:r>
      <w:r w:rsidR="00620A47" w:rsidRPr="00951F7B">
        <w:rPr>
          <w:rFonts w:ascii="Times New Roman" w:hAnsi="Times New Roman" w:cs="Times New Roman"/>
          <w:sz w:val="24"/>
          <w:szCs w:val="24"/>
        </w:rPr>
        <w:t>ifusión</w:t>
      </w:r>
      <w:r w:rsidR="00620A47">
        <w:rPr>
          <w:rFonts w:ascii="Times New Roman" w:hAnsi="Times New Roman" w:cs="Times New Roman"/>
          <w:sz w:val="24"/>
          <w:szCs w:val="24"/>
        </w:rPr>
        <w:t>”,</w:t>
      </w:r>
      <w:r w:rsidRPr="00951F7B">
        <w:rPr>
          <w:rFonts w:ascii="Times New Roman" w:hAnsi="Times New Roman" w:cs="Times New Roman"/>
          <w:sz w:val="24"/>
          <w:szCs w:val="24"/>
        </w:rPr>
        <w:t xml:space="preserve"> </w:t>
      </w:r>
      <w:r w:rsidR="00620A47">
        <w:rPr>
          <w:rFonts w:ascii="Times New Roman" w:hAnsi="Times New Roman" w:cs="Times New Roman"/>
          <w:sz w:val="24"/>
          <w:szCs w:val="24"/>
        </w:rPr>
        <w:t>se propuso el</w:t>
      </w:r>
      <w:r w:rsidRPr="00951F7B">
        <w:rPr>
          <w:rFonts w:ascii="Times New Roman" w:hAnsi="Times New Roman" w:cs="Times New Roman"/>
          <w:sz w:val="24"/>
          <w:szCs w:val="24"/>
        </w:rPr>
        <w:t xml:space="preserve"> “</w:t>
      </w:r>
      <w:r w:rsidR="00620A47">
        <w:rPr>
          <w:rFonts w:ascii="Times New Roman" w:hAnsi="Times New Roman" w:cs="Times New Roman"/>
          <w:sz w:val="24"/>
          <w:szCs w:val="24"/>
        </w:rPr>
        <w:t>l</w:t>
      </w:r>
      <w:r w:rsidR="00620A47" w:rsidRPr="00951F7B">
        <w:rPr>
          <w:rFonts w:ascii="Times New Roman" w:hAnsi="Times New Roman" w:cs="Times New Roman"/>
          <w:sz w:val="24"/>
          <w:szCs w:val="24"/>
        </w:rPr>
        <w:t xml:space="preserve">ogro </w:t>
      </w:r>
      <w:r w:rsidRPr="00951F7B">
        <w:rPr>
          <w:rFonts w:ascii="Times New Roman" w:hAnsi="Times New Roman" w:cs="Times New Roman"/>
          <w:sz w:val="24"/>
          <w:szCs w:val="24"/>
        </w:rPr>
        <w:t>de la plena sustentabilidad institucional”</w:t>
      </w:r>
      <w:r w:rsidR="001C62A4" w:rsidRPr="00951F7B">
        <w:rPr>
          <w:rFonts w:ascii="Times New Roman" w:hAnsi="Times New Roman" w:cs="Times New Roman"/>
          <w:sz w:val="24"/>
          <w:szCs w:val="24"/>
        </w:rPr>
        <w:t xml:space="preserve"> (p. 71)</w:t>
      </w:r>
      <w:r w:rsidRPr="00951F7B">
        <w:rPr>
          <w:rFonts w:ascii="Times New Roman" w:hAnsi="Times New Roman" w:cs="Times New Roman"/>
          <w:sz w:val="24"/>
          <w:szCs w:val="24"/>
        </w:rPr>
        <w:t xml:space="preserve">, </w:t>
      </w:r>
      <w:r w:rsidR="001C62A4" w:rsidRPr="00951F7B">
        <w:rPr>
          <w:rFonts w:ascii="Times New Roman" w:hAnsi="Times New Roman" w:cs="Times New Roman"/>
          <w:sz w:val="24"/>
          <w:szCs w:val="24"/>
        </w:rPr>
        <w:t>y que para lograrlo se acudiría a la estrategia d</w:t>
      </w:r>
      <w:r w:rsidRPr="00951F7B">
        <w:rPr>
          <w:rFonts w:ascii="Times New Roman" w:hAnsi="Times New Roman" w:cs="Times New Roman"/>
          <w:sz w:val="24"/>
          <w:szCs w:val="24"/>
        </w:rPr>
        <w:t>e “</w:t>
      </w:r>
      <w:r w:rsidR="00620A47">
        <w:rPr>
          <w:rFonts w:ascii="Times New Roman" w:hAnsi="Times New Roman" w:cs="Times New Roman"/>
          <w:sz w:val="24"/>
          <w:szCs w:val="24"/>
        </w:rPr>
        <w:t>i</w:t>
      </w:r>
      <w:r w:rsidRPr="00951F7B">
        <w:rPr>
          <w:rFonts w:ascii="Times New Roman" w:hAnsi="Times New Roman" w:cs="Times New Roman"/>
          <w:sz w:val="24"/>
          <w:szCs w:val="24"/>
        </w:rPr>
        <w:t>ncorporar la dimensión de la sustentabilidad en planes y programas de estudio, en la generación de líneas estratégicas de investigación en el tema” (p. 71).</w:t>
      </w:r>
      <w:r w:rsidR="001C62A4" w:rsidRPr="00951F7B">
        <w:rPr>
          <w:rFonts w:ascii="Times New Roman" w:hAnsi="Times New Roman" w:cs="Times New Roman"/>
          <w:sz w:val="24"/>
          <w:szCs w:val="24"/>
        </w:rPr>
        <w:t xml:space="preserve"> La meta propuesta para el periodo 2013 fue que 20</w:t>
      </w:r>
      <w:r w:rsidR="00620A47">
        <w:rPr>
          <w:rFonts w:ascii="Times New Roman" w:hAnsi="Times New Roman" w:cs="Times New Roman"/>
          <w:sz w:val="24"/>
          <w:szCs w:val="24"/>
        </w:rPr>
        <w:t> </w:t>
      </w:r>
      <w:r w:rsidR="001C62A4" w:rsidRPr="00951F7B">
        <w:rPr>
          <w:rFonts w:ascii="Times New Roman" w:hAnsi="Times New Roman" w:cs="Times New Roman"/>
          <w:sz w:val="24"/>
          <w:szCs w:val="24"/>
        </w:rPr>
        <w:t>% de sus programas de estudio contemplara temáticas relacionadas con la sustentabilidad, y para el 2019 esto se incrementar</w:t>
      </w:r>
      <w:r w:rsidR="00620A47">
        <w:rPr>
          <w:rFonts w:ascii="Times New Roman" w:hAnsi="Times New Roman" w:cs="Times New Roman"/>
          <w:sz w:val="24"/>
          <w:szCs w:val="24"/>
        </w:rPr>
        <w:t>ía</w:t>
      </w:r>
      <w:r w:rsidR="001C62A4" w:rsidRPr="00951F7B">
        <w:rPr>
          <w:rFonts w:ascii="Times New Roman" w:hAnsi="Times New Roman" w:cs="Times New Roman"/>
          <w:sz w:val="24"/>
          <w:szCs w:val="24"/>
        </w:rPr>
        <w:t xml:space="preserve"> hasta 80</w:t>
      </w:r>
      <w:r w:rsidR="00620A47">
        <w:rPr>
          <w:rFonts w:ascii="Times New Roman" w:hAnsi="Times New Roman" w:cs="Times New Roman"/>
          <w:sz w:val="24"/>
          <w:szCs w:val="24"/>
        </w:rPr>
        <w:t> </w:t>
      </w:r>
      <w:r w:rsidR="001C62A4" w:rsidRPr="00951F7B">
        <w:rPr>
          <w:rFonts w:ascii="Times New Roman" w:hAnsi="Times New Roman" w:cs="Times New Roman"/>
          <w:sz w:val="24"/>
          <w:szCs w:val="24"/>
        </w:rPr>
        <w:t>% (</w:t>
      </w:r>
      <w:r w:rsidR="00620A47">
        <w:rPr>
          <w:rFonts w:ascii="Times New Roman" w:hAnsi="Times New Roman" w:cs="Times New Roman"/>
          <w:sz w:val="24"/>
          <w:szCs w:val="24"/>
        </w:rPr>
        <w:t>UdeG</w:t>
      </w:r>
      <w:r w:rsidR="001C62A4" w:rsidRPr="00951F7B">
        <w:rPr>
          <w:rFonts w:ascii="Times New Roman" w:hAnsi="Times New Roman" w:cs="Times New Roman"/>
          <w:sz w:val="24"/>
          <w:szCs w:val="24"/>
        </w:rPr>
        <w:t>, 2014, p. 71).</w:t>
      </w:r>
      <w:r w:rsidR="00400ADF"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En lo que respecta al eje de Gobierno, para el periodo 2011-2016, la Comisión </w:t>
      </w:r>
      <w:r w:rsidRPr="00951F7B">
        <w:rPr>
          <w:rFonts w:ascii="Times New Roman" w:hAnsi="Times New Roman" w:cs="Times New Roman"/>
          <w:sz w:val="24"/>
          <w:szCs w:val="24"/>
        </w:rPr>
        <w:lastRenderedPageBreak/>
        <w:t>de Normatividad del Honorable Consejo General Universitario</w:t>
      </w:r>
      <w:r w:rsidR="007F039B">
        <w:rPr>
          <w:rFonts w:ascii="Times New Roman" w:hAnsi="Times New Roman" w:cs="Times New Roman"/>
          <w:sz w:val="24"/>
          <w:szCs w:val="24"/>
        </w:rPr>
        <w:t xml:space="preserve"> (</w:t>
      </w:r>
      <w:r w:rsidR="007F039B" w:rsidRPr="00951F7B">
        <w:rPr>
          <w:rFonts w:ascii="Times New Roman" w:hAnsi="Times New Roman" w:cs="Times New Roman"/>
          <w:sz w:val="24"/>
          <w:szCs w:val="24"/>
        </w:rPr>
        <w:t>HCGU</w:t>
      </w:r>
      <w:r w:rsidRPr="00951F7B">
        <w:rPr>
          <w:rFonts w:ascii="Times New Roman" w:hAnsi="Times New Roman" w:cs="Times New Roman"/>
          <w:sz w:val="24"/>
          <w:szCs w:val="24"/>
        </w:rPr>
        <w:t xml:space="preserve">) </w:t>
      </w:r>
      <w:r w:rsidR="001C62A4" w:rsidRPr="00951F7B">
        <w:rPr>
          <w:rFonts w:ascii="Times New Roman" w:hAnsi="Times New Roman" w:cs="Times New Roman"/>
          <w:sz w:val="24"/>
          <w:szCs w:val="24"/>
        </w:rPr>
        <w:t>aprobó</w:t>
      </w:r>
      <w:r w:rsidRPr="00951F7B">
        <w:rPr>
          <w:rFonts w:ascii="Times New Roman" w:hAnsi="Times New Roman" w:cs="Times New Roman"/>
          <w:sz w:val="24"/>
          <w:szCs w:val="24"/>
        </w:rPr>
        <w:t xml:space="preserve"> 111 dictámenes</w:t>
      </w:r>
      <w:r w:rsidR="007F039B">
        <w:rPr>
          <w:rFonts w:ascii="Times New Roman" w:hAnsi="Times New Roman" w:cs="Times New Roman"/>
          <w:sz w:val="24"/>
          <w:szCs w:val="24"/>
        </w:rPr>
        <w:t>.</w:t>
      </w:r>
      <w:r w:rsidRPr="00951F7B">
        <w:rPr>
          <w:rStyle w:val="Refdenotaalpie"/>
        </w:rPr>
        <w:footnoteReference w:id="1"/>
      </w:r>
      <w:r w:rsidR="001C62A4" w:rsidRPr="00951F7B">
        <w:rPr>
          <w:rFonts w:ascii="Times New Roman" w:hAnsi="Times New Roman" w:cs="Times New Roman"/>
          <w:sz w:val="24"/>
          <w:szCs w:val="24"/>
        </w:rPr>
        <w:t xml:space="preserve"> </w:t>
      </w:r>
    </w:p>
    <w:p w14:paraId="6A71ECB7" w14:textId="7DDF3526" w:rsidR="001536A1" w:rsidRDefault="001536A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Actualmente</w:t>
      </w:r>
      <w:r w:rsidR="006D1021">
        <w:rPr>
          <w:rFonts w:ascii="Times New Roman" w:hAnsi="Times New Roman" w:cs="Times New Roman"/>
          <w:sz w:val="24"/>
          <w:szCs w:val="24"/>
        </w:rPr>
        <w:t>,</w:t>
      </w:r>
      <w:r w:rsidRPr="00951F7B">
        <w:rPr>
          <w:rFonts w:ascii="Times New Roman" w:hAnsi="Times New Roman" w:cs="Times New Roman"/>
          <w:sz w:val="24"/>
          <w:szCs w:val="24"/>
        </w:rPr>
        <w:t xml:space="preserve"> la </w:t>
      </w:r>
      <w:r w:rsidR="006D1021">
        <w:rPr>
          <w:rFonts w:ascii="Times New Roman" w:hAnsi="Times New Roman" w:cs="Times New Roman"/>
          <w:sz w:val="24"/>
          <w:szCs w:val="24"/>
        </w:rPr>
        <w:t>UdeG</w:t>
      </w:r>
      <w:r w:rsidR="006D1021"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se encuentra </w:t>
      </w:r>
      <w:r w:rsidR="002E2520">
        <w:rPr>
          <w:rFonts w:ascii="Times New Roman" w:hAnsi="Times New Roman" w:cs="Times New Roman"/>
          <w:sz w:val="24"/>
          <w:szCs w:val="24"/>
        </w:rPr>
        <w:t>estructurada</w:t>
      </w:r>
      <w:r w:rsidR="002E2520"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por </w:t>
      </w:r>
      <w:r w:rsidR="00153336">
        <w:rPr>
          <w:rFonts w:ascii="Times New Roman" w:hAnsi="Times New Roman" w:cs="Times New Roman"/>
          <w:sz w:val="24"/>
          <w:szCs w:val="24"/>
        </w:rPr>
        <w:t>seis</w:t>
      </w:r>
      <w:r w:rsidR="00153336" w:rsidRPr="00951F7B">
        <w:rPr>
          <w:rFonts w:ascii="Times New Roman" w:hAnsi="Times New Roman" w:cs="Times New Roman"/>
          <w:sz w:val="24"/>
          <w:szCs w:val="24"/>
        </w:rPr>
        <w:t xml:space="preserve"> </w:t>
      </w:r>
      <w:r w:rsidR="00153336">
        <w:rPr>
          <w:rFonts w:ascii="Times New Roman" w:hAnsi="Times New Roman" w:cs="Times New Roman"/>
          <w:sz w:val="24"/>
          <w:szCs w:val="24"/>
        </w:rPr>
        <w:t>f</w:t>
      </w:r>
      <w:r w:rsidR="00153336" w:rsidRPr="00951F7B">
        <w:rPr>
          <w:rFonts w:ascii="Times New Roman" w:hAnsi="Times New Roman" w:cs="Times New Roman"/>
          <w:sz w:val="24"/>
          <w:szCs w:val="24"/>
        </w:rPr>
        <w:t xml:space="preserve">acultades </w:t>
      </w:r>
      <w:r w:rsidRPr="00951F7B">
        <w:rPr>
          <w:rFonts w:ascii="Times New Roman" w:hAnsi="Times New Roman" w:cs="Times New Roman"/>
          <w:sz w:val="24"/>
          <w:szCs w:val="24"/>
        </w:rPr>
        <w:t xml:space="preserve">o </w:t>
      </w:r>
      <w:r w:rsidR="00153336">
        <w:rPr>
          <w:rFonts w:ascii="Times New Roman" w:hAnsi="Times New Roman" w:cs="Times New Roman"/>
          <w:sz w:val="24"/>
          <w:szCs w:val="24"/>
        </w:rPr>
        <w:t>c</w:t>
      </w:r>
      <w:r w:rsidR="00153336" w:rsidRPr="00951F7B">
        <w:rPr>
          <w:rFonts w:ascii="Times New Roman" w:hAnsi="Times New Roman" w:cs="Times New Roman"/>
          <w:sz w:val="24"/>
          <w:szCs w:val="24"/>
        </w:rPr>
        <w:t>entro</w:t>
      </w:r>
      <w:r w:rsidR="00872B0A">
        <w:rPr>
          <w:rFonts w:ascii="Times New Roman" w:hAnsi="Times New Roman" w:cs="Times New Roman"/>
          <w:sz w:val="24"/>
          <w:szCs w:val="24"/>
        </w:rPr>
        <w:t>s</w:t>
      </w:r>
      <w:r w:rsidR="00153336" w:rsidRPr="00951F7B">
        <w:rPr>
          <w:rFonts w:ascii="Times New Roman" w:hAnsi="Times New Roman" w:cs="Times New Roman"/>
          <w:sz w:val="24"/>
          <w:szCs w:val="24"/>
        </w:rPr>
        <w:t xml:space="preserve"> </w:t>
      </w:r>
      <w:r w:rsidR="00153336">
        <w:rPr>
          <w:rFonts w:ascii="Times New Roman" w:hAnsi="Times New Roman" w:cs="Times New Roman"/>
          <w:sz w:val="24"/>
          <w:szCs w:val="24"/>
        </w:rPr>
        <w:t>u</w:t>
      </w:r>
      <w:r w:rsidR="00153336" w:rsidRPr="00951F7B">
        <w:rPr>
          <w:rFonts w:ascii="Times New Roman" w:hAnsi="Times New Roman" w:cs="Times New Roman"/>
          <w:sz w:val="24"/>
          <w:szCs w:val="24"/>
        </w:rPr>
        <w:t xml:space="preserve">niversitarios </w:t>
      </w:r>
      <w:r w:rsidRPr="00951F7B">
        <w:rPr>
          <w:rFonts w:ascii="Times New Roman" w:hAnsi="Times New Roman" w:cs="Times New Roman"/>
          <w:sz w:val="24"/>
          <w:szCs w:val="24"/>
        </w:rPr>
        <w:t xml:space="preserve">temáticos y </w:t>
      </w:r>
      <w:r w:rsidR="00153336">
        <w:rPr>
          <w:rFonts w:ascii="Times New Roman" w:hAnsi="Times New Roman" w:cs="Times New Roman"/>
          <w:sz w:val="24"/>
          <w:szCs w:val="24"/>
        </w:rPr>
        <w:t>nueve</w:t>
      </w:r>
      <w:r w:rsidR="00153336" w:rsidRPr="00951F7B">
        <w:rPr>
          <w:rFonts w:ascii="Times New Roman" w:hAnsi="Times New Roman" w:cs="Times New Roman"/>
          <w:sz w:val="24"/>
          <w:szCs w:val="24"/>
        </w:rPr>
        <w:t xml:space="preserve"> </w:t>
      </w:r>
      <w:r w:rsidR="00153336">
        <w:rPr>
          <w:rFonts w:ascii="Times New Roman" w:hAnsi="Times New Roman" w:cs="Times New Roman"/>
          <w:sz w:val="24"/>
          <w:szCs w:val="24"/>
        </w:rPr>
        <w:t>c</w:t>
      </w:r>
      <w:r w:rsidR="00153336" w:rsidRPr="00951F7B">
        <w:rPr>
          <w:rFonts w:ascii="Times New Roman" w:hAnsi="Times New Roman" w:cs="Times New Roman"/>
          <w:sz w:val="24"/>
          <w:szCs w:val="24"/>
        </w:rPr>
        <w:t>entro</w:t>
      </w:r>
      <w:r w:rsidR="00872B0A">
        <w:rPr>
          <w:rFonts w:ascii="Times New Roman" w:hAnsi="Times New Roman" w:cs="Times New Roman"/>
          <w:sz w:val="24"/>
          <w:szCs w:val="24"/>
        </w:rPr>
        <w:t>s</w:t>
      </w:r>
      <w:r w:rsidR="00153336" w:rsidRPr="00951F7B">
        <w:rPr>
          <w:rFonts w:ascii="Times New Roman" w:hAnsi="Times New Roman" w:cs="Times New Roman"/>
          <w:sz w:val="24"/>
          <w:szCs w:val="24"/>
        </w:rPr>
        <w:t xml:space="preserve"> </w:t>
      </w:r>
      <w:r w:rsidR="00153336">
        <w:rPr>
          <w:rFonts w:ascii="Times New Roman" w:hAnsi="Times New Roman" w:cs="Times New Roman"/>
          <w:sz w:val="24"/>
          <w:szCs w:val="24"/>
        </w:rPr>
        <w:t>u</w:t>
      </w:r>
      <w:r w:rsidR="00153336" w:rsidRPr="00951F7B">
        <w:rPr>
          <w:rFonts w:ascii="Times New Roman" w:hAnsi="Times New Roman" w:cs="Times New Roman"/>
          <w:sz w:val="24"/>
          <w:szCs w:val="24"/>
        </w:rPr>
        <w:t xml:space="preserve">niversitarios </w:t>
      </w:r>
      <w:r w:rsidRPr="00951F7B">
        <w:rPr>
          <w:rFonts w:ascii="Times New Roman" w:hAnsi="Times New Roman" w:cs="Times New Roman"/>
          <w:sz w:val="24"/>
          <w:szCs w:val="24"/>
        </w:rPr>
        <w:t xml:space="preserve">regionales multidisciplinarios. </w:t>
      </w:r>
      <w:r w:rsidR="00620A47">
        <w:rPr>
          <w:rFonts w:ascii="Times New Roman" w:hAnsi="Times New Roman" w:cs="Times New Roman"/>
          <w:sz w:val="24"/>
          <w:szCs w:val="24"/>
        </w:rPr>
        <w:t>Cabe señalar que</w:t>
      </w:r>
      <w:r w:rsidRPr="00951F7B">
        <w:rPr>
          <w:rFonts w:ascii="Times New Roman" w:hAnsi="Times New Roman" w:cs="Times New Roman"/>
          <w:sz w:val="24"/>
          <w:szCs w:val="24"/>
        </w:rPr>
        <w:t xml:space="preserve"> los departamentos son </w:t>
      </w:r>
      <w:r w:rsidR="00620A47" w:rsidRPr="00951F7B">
        <w:rPr>
          <w:rFonts w:ascii="Times New Roman" w:hAnsi="Times New Roman" w:cs="Times New Roman"/>
          <w:sz w:val="24"/>
          <w:szCs w:val="24"/>
        </w:rPr>
        <w:t>l</w:t>
      </w:r>
      <w:r w:rsidR="00620A47">
        <w:rPr>
          <w:rFonts w:ascii="Times New Roman" w:hAnsi="Times New Roman" w:cs="Times New Roman"/>
          <w:sz w:val="24"/>
          <w:szCs w:val="24"/>
        </w:rPr>
        <w:t>o</w:t>
      </w:r>
      <w:r w:rsidR="00620A47" w:rsidRPr="00951F7B">
        <w:rPr>
          <w:rFonts w:ascii="Times New Roman" w:hAnsi="Times New Roman" w:cs="Times New Roman"/>
          <w:sz w:val="24"/>
          <w:szCs w:val="24"/>
        </w:rPr>
        <w:t xml:space="preserve">s </w:t>
      </w:r>
      <w:r w:rsidRPr="00951F7B">
        <w:rPr>
          <w:rFonts w:ascii="Times New Roman" w:hAnsi="Times New Roman" w:cs="Times New Roman"/>
          <w:sz w:val="24"/>
          <w:szCs w:val="24"/>
        </w:rPr>
        <w:t xml:space="preserve">responsables de la docencia, la investigación y la extensión, de acuerdo con la normatividad vigente. Para el 2016, se contaba con 152 departamentos distribuidos en los 15 </w:t>
      </w:r>
      <w:r w:rsidR="00620A47" w:rsidRPr="00951F7B">
        <w:rPr>
          <w:rFonts w:ascii="Times New Roman" w:hAnsi="Times New Roman" w:cs="Times New Roman"/>
          <w:sz w:val="24"/>
          <w:szCs w:val="24"/>
        </w:rPr>
        <w:t xml:space="preserve">centros universitarios </w:t>
      </w:r>
      <w:r w:rsidR="00172AF5" w:rsidRPr="00951F7B">
        <w:rPr>
          <w:rFonts w:ascii="Times New Roman" w:hAnsi="Times New Roman" w:cs="Times New Roman"/>
          <w:sz w:val="24"/>
          <w:szCs w:val="24"/>
        </w:rPr>
        <w:t>temáticos y regionales.</w:t>
      </w:r>
    </w:p>
    <w:p w14:paraId="47A54851" w14:textId="77777777" w:rsidR="00951F7B" w:rsidRPr="00951F7B" w:rsidRDefault="00951F7B" w:rsidP="00951F7B">
      <w:pPr>
        <w:spacing w:after="0" w:line="360" w:lineRule="auto"/>
        <w:ind w:firstLine="709"/>
        <w:jc w:val="both"/>
        <w:rPr>
          <w:rFonts w:ascii="Times New Roman" w:hAnsi="Times New Roman" w:cs="Times New Roman"/>
          <w:sz w:val="24"/>
          <w:szCs w:val="24"/>
        </w:rPr>
      </w:pPr>
    </w:p>
    <w:p w14:paraId="2F930D1C" w14:textId="77777777" w:rsidR="00D254D0" w:rsidRPr="00274328" w:rsidRDefault="000F7CFB" w:rsidP="00274328">
      <w:pPr>
        <w:pStyle w:val="Ttulo3"/>
        <w:spacing w:before="0" w:after="0"/>
        <w:jc w:val="center"/>
        <w:rPr>
          <w:rFonts w:ascii="Times New Roman" w:hAnsi="Times New Roman" w:cs="Times New Roman"/>
          <w:b/>
          <w:color w:val="auto"/>
          <w:sz w:val="32"/>
          <w:szCs w:val="28"/>
        </w:rPr>
      </w:pPr>
      <w:r w:rsidRPr="00274328">
        <w:rPr>
          <w:rFonts w:ascii="Times New Roman" w:hAnsi="Times New Roman" w:cs="Times New Roman"/>
          <w:b/>
          <w:color w:val="auto"/>
          <w:sz w:val="32"/>
          <w:szCs w:val="28"/>
        </w:rPr>
        <w:t>Método</w:t>
      </w:r>
    </w:p>
    <w:p w14:paraId="376AC2D7" w14:textId="52DDFD38" w:rsidR="0090383B" w:rsidRPr="00951F7B" w:rsidRDefault="00CB70AB"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La presente investigación es</w:t>
      </w:r>
      <w:r w:rsidR="0090383B" w:rsidRPr="00951F7B">
        <w:rPr>
          <w:rFonts w:ascii="Times New Roman" w:hAnsi="Times New Roman" w:cs="Times New Roman"/>
          <w:sz w:val="24"/>
          <w:szCs w:val="24"/>
        </w:rPr>
        <w:t xml:space="preserve"> </w:t>
      </w:r>
      <w:r w:rsidR="00A607C3" w:rsidRPr="00951F7B">
        <w:rPr>
          <w:rFonts w:ascii="Times New Roman" w:hAnsi="Times New Roman" w:cs="Times New Roman"/>
          <w:sz w:val="24"/>
          <w:szCs w:val="24"/>
        </w:rPr>
        <w:t xml:space="preserve">mixta </w:t>
      </w:r>
      <w:r w:rsidR="00F954B4">
        <w:rPr>
          <w:rFonts w:ascii="Times New Roman" w:hAnsi="Times New Roman" w:cs="Times New Roman"/>
          <w:sz w:val="24"/>
          <w:szCs w:val="24"/>
        </w:rPr>
        <w:t xml:space="preserve">y emplea </w:t>
      </w:r>
      <w:r w:rsidR="00A607C3" w:rsidRPr="00951F7B">
        <w:rPr>
          <w:rFonts w:ascii="Times New Roman" w:hAnsi="Times New Roman" w:cs="Times New Roman"/>
          <w:sz w:val="24"/>
          <w:szCs w:val="24"/>
        </w:rPr>
        <w:t>la técnica de caso de estudio con</w:t>
      </w:r>
      <w:r w:rsidRPr="00951F7B">
        <w:rPr>
          <w:rFonts w:ascii="Times New Roman" w:hAnsi="Times New Roman" w:cs="Times New Roman"/>
          <w:sz w:val="24"/>
          <w:szCs w:val="24"/>
        </w:rPr>
        <w:t xml:space="preserve"> carácter </w:t>
      </w:r>
      <w:r w:rsidR="00A607C3" w:rsidRPr="00951F7B">
        <w:rPr>
          <w:rFonts w:ascii="Times New Roman" w:hAnsi="Times New Roman" w:cs="Times New Roman"/>
          <w:sz w:val="24"/>
          <w:szCs w:val="24"/>
        </w:rPr>
        <w:t>retrospectivo</w:t>
      </w:r>
      <w:r w:rsidRPr="00951F7B">
        <w:rPr>
          <w:rFonts w:ascii="Times New Roman" w:hAnsi="Times New Roman" w:cs="Times New Roman"/>
          <w:sz w:val="24"/>
          <w:szCs w:val="24"/>
        </w:rPr>
        <w:t xml:space="preserve">, puesto que se pretende analizar el grado de efectividad de la estrategia implementada </w:t>
      </w:r>
      <w:r w:rsidR="0090383B" w:rsidRPr="00951F7B">
        <w:rPr>
          <w:rFonts w:ascii="Times New Roman" w:hAnsi="Times New Roman" w:cs="Times New Roman"/>
          <w:sz w:val="24"/>
          <w:szCs w:val="24"/>
        </w:rPr>
        <w:t xml:space="preserve">en el periodo 2012-2016 </w:t>
      </w:r>
      <w:r w:rsidRPr="00951F7B">
        <w:rPr>
          <w:rFonts w:ascii="Times New Roman" w:hAnsi="Times New Roman" w:cs="Times New Roman"/>
          <w:sz w:val="24"/>
          <w:szCs w:val="24"/>
        </w:rPr>
        <w:t xml:space="preserve">por la </w:t>
      </w:r>
      <w:r w:rsidR="00620A47">
        <w:rPr>
          <w:rFonts w:ascii="Times New Roman" w:hAnsi="Times New Roman" w:cs="Times New Roman"/>
          <w:sz w:val="24"/>
          <w:szCs w:val="24"/>
        </w:rPr>
        <w:t>UdeG</w:t>
      </w:r>
      <w:r w:rsidRPr="00951F7B">
        <w:rPr>
          <w:rFonts w:ascii="Times New Roman" w:hAnsi="Times New Roman" w:cs="Times New Roman"/>
          <w:sz w:val="24"/>
          <w:szCs w:val="24"/>
        </w:rPr>
        <w:t xml:space="preserve">. </w:t>
      </w:r>
      <w:r w:rsidR="0090383B" w:rsidRPr="00951F7B">
        <w:rPr>
          <w:rFonts w:ascii="Times New Roman" w:hAnsi="Times New Roman" w:cs="Times New Roman"/>
          <w:sz w:val="24"/>
          <w:szCs w:val="24"/>
        </w:rPr>
        <w:t xml:space="preserve">Esta investigación con direccionalidad retrospectiva permitirá contribuir en el conocimiento para que gestores universitarios puedan diseñar estrategias </w:t>
      </w:r>
      <w:r w:rsidR="00244698" w:rsidRPr="00951F7B">
        <w:rPr>
          <w:rFonts w:ascii="Times New Roman" w:hAnsi="Times New Roman" w:cs="Times New Roman"/>
          <w:sz w:val="24"/>
          <w:szCs w:val="24"/>
        </w:rPr>
        <w:t>mejor informadas en un futuro,</w:t>
      </w:r>
      <w:r w:rsidR="0090383B" w:rsidRPr="00951F7B">
        <w:rPr>
          <w:rFonts w:ascii="Times New Roman" w:hAnsi="Times New Roman" w:cs="Times New Roman"/>
          <w:sz w:val="24"/>
          <w:szCs w:val="24"/>
        </w:rPr>
        <w:t xml:space="preserve"> </w:t>
      </w:r>
      <w:r w:rsidR="00820932">
        <w:rPr>
          <w:rFonts w:ascii="Times New Roman" w:hAnsi="Times New Roman" w:cs="Times New Roman"/>
          <w:sz w:val="24"/>
          <w:szCs w:val="24"/>
        </w:rPr>
        <w:t>con miras a</w:t>
      </w:r>
      <w:r w:rsidR="0090383B" w:rsidRPr="00951F7B">
        <w:rPr>
          <w:rFonts w:ascii="Times New Roman" w:hAnsi="Times New Roman" w:cs="Times New Roman"/>
          <w:sz w:val="24"/>
          <w:szCs w:val="24"/>
        </w:rPr>
        <w:t xml:space="preserve"> contribuir </w:t>
      </w:r>
      <w:r w:rsidR="00820932">
        <w:rPr>
          <w:rFonts w:ascii="Times New Roman" w:hAnsi="Times New Roman" w:cs="Times New Roman"/>
          <w:sz w:val="24"/>
          <w:szCs w:val="24"/>
        </w:rPr>
        <w:t>en la consecución de los planteado en</w:t>
      </w:r>
      <w:r w:rsidR="00820932" w:rsidRPr="00951F7B">
        <w:rPr>
          <w:rFonts w:ascii="Times New Roman" w:hAnsi="Times New Roman" w:cs="Times New Roman"/>
          <w:sz w:val="24"/>
          <w:szCs w:val="24"/>
        </w:rPr>
        <w:t xml:space="preserve"> </w:t>
      </w:r>
      <w:r w:rsidR="0090383B" w:rsidRPr="00951F7B">
        <w:rPr>
          <w:rFonts w:ascii="Times New Roman" w:hAnsi="Times New Roman" w:cs="Times New Roman"/>
          <w:sz w:val="24"/>
          <w:szCs w:val="24"/>
        </w:rPr>
        <w:t xml:space="preserve">la Agenda 2030 </w:t>
      </w:r>
      <w:r w:rsidR="00172AF5" w:rsidRPr="00951F7B">
        <w:rPr>
          <w:rFonts w:ascii="Times New Roman" w:hAnsi="Times New Roman" w:cs="Times New Roman"/>
          <w:sz w:val="24"/>
          <w:szCs w:val="24"/>
        </w:rPr>
        <w:t>para el</w:t>
      </w:r>
      <w:r w:rsidR="0090383B" w:rsidRPr="00951F7B">
        <w:rPr>
          <w:rFonts w:ascii="Times New Roman" w:hAnsi="Times New Roman" w:cs="Times New Roman"/>
          <w:sz w:val="24"/>
          <w:szCs w:val="24"/>
        </w:rPr>
        <w:t xml:space="preserve"> Desarrollo Sostenible. </w:t>
      </w:r>
      <w:r w:rsidR="003B30D0" w:rsidRPr="00951F7B">
        <w:rPr>
          <w:rFonts w:ascii="Times New Roman" w:hAnsi="Times New Roman" w:cs="Times New Roman"/>
          <w:sz w:val="24"/>
          <w:szCs w:val="24"/>
        </w:rPr>
        <w:t xml:space="preserve">De acuerdo con Piñero </w:t>
      </w:r>
      <w:r w:rsidR="003B30D0" w:rsidRPr="00951F7B">
        <w:rPr>
          <w:rFonts w:ascii="Times New Roman" w:hAnsi="Times New Roman" w:cs="Times New Roman"/>
          <w:sz w:val="24"/>
        </w:rPr>
        <w:t>(2014)</w:t>
      </w:r>
      <w:r w:rsidR="00820932">
        <w:rPr>
          <w:rFonts w:ascii="Times New Roman" w:hAnsi="Times New Roman" w:cs="Times New Roman"/>
          <w:sz w:val="24"/>
        </w:rPr>
        <w:t>,</w:t>
      </w:r>
      <w:r w:rsidRPr="00951F7B">
        <w:rPr>
          <w:rFonts w:ascii="Times New Roman" w:hAnsi="Times New Roman" w:cs="Times New Roman"/>
          <w:sz w:val="24"/>
          <w:szCs w:val="24"/>
        </w:rPr>
        <w:t xml:space="preserve"> </w:t>
      </w:r>
      <w:r w:rsidR="003B30D0" w:rsidRPr="00951F7B">
        <w:rPr>
          <w:rFonts w:ascii="Times New Roman" w:hAnsi="Times New Roman" w:cs="Times New Roman"/>
          <w:sz w:val="24"/>
          <w:szCs w:val="24"/>
        </w:rPr>
        <w:t>l</w:t>
      </w:r>
      <w:r w:rsidRPr="00951F7B">
        <w:rPr>
          <w:rFonts w:ascii="Times New Roman" w:hAnsi="Times New Roman" w:cs="Times New Roman"/>
          <w:sz w:val="24"/>
          <w:szCs w:val="24"/>
        </w:rPr>
        <w:t xml:space="preserve">a investigación </w:t>
      </w:r>
      <w:r w:rsidR="0090383B" w:rsidRPr="00951F7B">
        <w:rPr>
          <w:rFonts w:ascii="Times New Roman" w:hAnsi="Times New Roman" w:cs="Times New Roman"/>
          <w:sz w:val="24"/>
          <w:szCs w:val="24"/>
        </w:rPr>
        <w:t>retrospectiva</w:t>
      </w:r>
      <w:r w:rsidRPr="00951F7B">
        <w:rPr>
          <w:rFonts w:ascii="Times New Roman" w:hAnsi="Times New Roman" w:cs="Times New Roman"/>
          <w:sz w:val="24"/>
          <w:szCs w:val="24"/>
        </w:rPr>
        <w:t xml:space="preserve"> está ubicada como no experimental</w:t>
      </w:r>
      <w:r w:rsidR="00820932">
        <w:rPr>
          <w:rFonts w:ascii="Times New Roman" w:hAnsi="Times New Roman" w:cs="Times New Roman"/>
          <w:sz w:val="24"/>
          <w:szCs w:val="24"/>
        </w:rPr>
        <w:t xml:space="preserve"> y se limita</w:t>
      </w:r>
      <w:r w:rsidRPr="00951F7B">
        <w:rPr>
          <w:rFonts w:ascii="Times New Roman" w:hAnsi="Times New Roman" w:cs="Times New Roman"/>
          <w:sz w:val="24"/>
          <w:szCs w:val="24"/>
        </w:rPr>
        <w:t xml:space="preserve"> a evaluar una situación en un punto</w:t>
      </w:r>
      <w:r w:rsidR="00A607C3" w:rsidRPr="00951F7B">
        <w:rPr>
          <w:rFonts w:ascii="Times New Roman" w:hAnsi="Times New Roman" w:cs="Times New Roman"/>
          <w:sz w:val="24"/>
          <w:szCs w:val="24"/>
        </w:rPr>
        <w:t xml:space="preserve"> del tiempo.</w:t>
      </w:r>
    </w:p>
    <w:p w14:paraId="15C17984" w14:textId="7C7E6210" w:rsidR="009E4F65" w:rsidRDefault="002B00AF"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Como parte de las unidades de análisis se </w:t>
      </w:r>
      <w:r w:rsidR="00A607C3" w:rsidRPr="00951F7B">
        <w:rPr>
          <w:rFonts w:ascii="Times New Roman" w:hAnsi="Times New Roman" w:cs="Times New Roman"/>
          <w:sz w:val="24"/>
          <w:szCs w:val="24"/>
        </w:rPr>
        <w:t>consideraron</w:t>
      </w:r>
      <w:r w:rsidRPr="00951F7B">
        <w:rPr>
          <w:rFonts w:ascii="Times New Roman" w:hAnsi="Times New Roman" w:cs="Times New Roman"/>
          <w:sz w:val="24"/>
          <w:szCs w:val="24"/>
        </w:rPr>
        <w:t xml:space="preserve"> los programas educativos de pregrado </w:t>
      </w:r>
      <w:r w:rsidR="00A607C3" w:rsidRPr="00951F7B">
        <w:rPr>
          <w:rFonts w:ascii="Times New Roman" w:hAnsi="Times New Roman" w:cs="Times New Roman"/>
          <w:sz w:val="24"/>
          <w:szCs w:val="24"/>
        </w:rPr>
        <w:t>que han incluido en su currículo</w:t>
      </w:r>
      <w:r w:rsidR="003163B8" w:rsidRPr="00951F7B">
        <w:rPr>
          <w:rFonts w:ascii="Times New Roman" w:hAnsi="Times New Roman" w:cs="Times New Roman"/>
          <w:sz w:val="24"/>
          <w:szCs w:val="24"/>
        </w:rPr>
        <w:t xml:space="preserve"> </w:t>
      </w:r>
      <w:r w:rsidR="00A607C3" w:rsidRPr="00951F7B">
        <w:rPr>
          <w:rFonts w:ascii="Times New Roman" w:hAnsi="Times New Roman" w:cs="Times New Roman"/>
          <w:sz w:val="24"/>
          <w:szCs w:val="24"/>
        </w:rPr>
        <w:t xml:space="preserve">temáticas de formación integral y </w:t>
      </w:r>
      <w:r w:rsidR="003163B8" w:rsidRPr="00951F7B">
        <w:rPr>
          <w:rFonts w:ascii="Times New Roman" w:hAnsi="Times New Roman" w:cs="Times New Roman"/>
          <w:sz w:val="24"/>
          <w:szCs w:val="24"/>
        </w:rPr>
        <w:t xml:space="preserve">de </w:t>
      </w:r>
      <w:r w:rsidR="00A607C3" w:rsidRPr="00951F7B">
        <w:rPr>
          <w:rFonts w:ascii="Times New Roman" w:hAnsi="Times New Roman" w:cs="Times New Roman"/>
          <w:sz w:val="24"/>
          <w:szCs w:val="24"/>
        </w:rPr>
        <w:t xml:space="preserve">sustentabilidad </w:t>
      </w:r>
      <w:r w:rsidRPr="00951F7B">
        <w:rPr>
          <w:rFonts w:ascii="Times New Roman" w:hAnsi="Times New Roman" w:cs="Times New Roman"/>
          <w:sz w:val="24"/>
          <w:szCs w:val="24"/>
        </w:rPr>
        <w:t>ofertados por l</w:t>
      </w:r>
      <w:r w:rsidR="0090383B" w:rsidRPr="00951F7B">
        <w:rPr>
          <w:rFonts w:ascii="Times New Roman" w:hAnsi="Times New Roman" w:cs="Times New Roman"/>
          <w:sz w:val="24"/>
          <w:szCs w:val="24"/>
        </w:rPr>
        <w:t xml:space="preserve">a </w:t>
      </w:r>
      <w:r w:rsidR="00820932">
        <w:rPr>
          <w:rFonts w:ascii="Times New Roman" w:hAnsi="Times New Roman" w:cs="Times New Roman"/>
          <w:sz w:val="24"/>
          <w:szCs w:val="24"/>
        </w:rPr>
        <w:t xml:space="preserve">UdeG </w:t>
      </w:r>
      <w:r w:rsidR="0090383B" w:rsidRPr="00951F7B">
        <w:rPr>
          <w:rFonts w:ascii="Times New Roman" w:hAnsi="Times New Roman" w:cs="Times New Roman"/>
          <w:sz w:val="24"/>
          <w:szCs w:val="24"/>
        </w:rPr>
        <w:t>en el periodo 2012</w:t>
      </w:r>
      <w:r w:rsidRPr="00951F7B">
        <w:rPr>
          <w:rFonts w:ascii="Times New Roman" w:hAnsi="Times New Roman" w:cs="Times New Roman"/>
          <w:sz w:val="24"/>
          <w:szCs w:val="24"/>
        </w:rPr>
        <w:t xml:space="preserve"> al 2016. La fuente de estos datos se obtuvo a través de los registros difundidos por la Coordinación General de Planeación y Desarrollo Institucional de la</w:t>
      </w:r>
      <w:r w:rsidR="00A171AB" w:rsidRPr="00951F7B">
        <w:rPr>
          <w:rFonts w:ascii="Times New Roman" w:hAnsi="Times New Roman" w:cs="Times New Roman"/>
          <w:sz w:val="24"/>
          <w:szCs w:val="24"/>
        </w:rPr>
        <w:t xml:space="preserve"> propia</w:t>
      </w:r>
      <w:r w:rsidRPr="00951F7B">
        <w:rPr>
          <w:rFonts w:ascii="Times New Roman" w:hAnsi="Times New Roman" w:cs="Times New Roman"/>
          <w:sz w:val="24"/>
          <w:szCs w:val="24"/>
        </w:rPr>
        <w:t xml:space="preserve"> </w:t>
      </w:r>
      <w:r w:rsidR="00820932">
        <w:rPr>
          <w:rFonts w:ascii="Times New Roman" w:hAnsi="Times New Roman" w:cs="Times New Roman"/>
          <w:sz w:val="24"/>
          <w:szCs w:val="24"/>
        </w:rPr>
        <w:t>u</w:t>
      </w:r>
      <w:r w:rsidRPr="00951F7B">
        <w:rPr>
          <w:rFonts w:ascii="Times New Roman" w:hAnsi="Times New Roman" w:cs="Times New Roman"/>
          <w:sz w:val="24"/>
          <w:szCs w:val="24"/>
        </w:rPr>
        <w:t>niversidad.</w:t>
      </w:r>
      <w:r w:rsidR="00A607C3" w:rsidRPr="00951F7B">
        <w:rPr>
          <w:rFonts w:ascii="Times New Roman" w:hAnsi="Times New Roman" w:cs="Times New Roman"/>
          <w:sz w:val="24"/>
          <w:szCs w:val="24"/>
        </w:rPr>
        <w:t xml:space="preserve"> </w:t>
      </w:r>
      <w:r w:rsidR="00A171AB" w:rsidRPr="00951F7B">
        <w:rPr>
          <w:rFonts w:ascii="Times New Roman" w:hAnsi="Times New Roman" w:cs="Times New Roman"/>
          <w:sz w:val="24"/>
          <w:szCs w:val="24"/>
        </w:rPr>
        <w:t>Las preguntas e hipótesis planteadas en esta investigación se pueden observar en la tabla 2.</w:t>
      </w:r>
    </w:p>
    <w:p w14:paraId="06E3A46B" w14:textId="77777777" w:rsidR="00125B15" w:rsidRDefault="00125B15" w:rsidP="00951F7B">
      <w:pPr>
        <w:spacing w:after="0" w:line="360" w:lineRule="auto"/>
        <w:jc w:val="center"/>
        <w:rPr>
          <w:rFonts w:ascii="Times New Roman" w:eastAsia="Times New Roman" w:hAnsi="Times New Roman" w:cs="Times New Roman"/>
          <w:b/>
          <w:color w:val="000000"/>
          <w:sz w:val="24"/>
          <w:szCs w:val="28"/>
          <w:lang w:eastAsia="es-MX"/>
        </w:rPr>
      </w:pPr>
    </w:p>
    <w:p w14:paraId="0E254DCA" w14:textId="77777777" w:rsidR="00125B15" w:rsidRDefault="00125B15" w:rsidP="00951F7B">
      <w:pPr>
        <w:spacing w:after="0" w:line="360" w:lineRule="auto"/>
        <w:jc w:val="center"/>
        <w:rPr>
          <w:rFonts w:ascii="Times New Roman" w:eastAsia="Times New Roman" w:hAnsi="Times New Roman" w:cs="Times New Roman"/>
          <w:b/>
          <w:color w:val="000000"/>
          <w:sz w:val="24"/>
          <w:szCs w:val="28"/>
          <w:lang w:eastAsia="es-MX"/>
        </w:rPr>
      </w:pPr>
    </w:p>
    <w:p w14:paraId="759F155B" w14:textId="77777777" w:rsidR="00125B15" w:rsidRDefault="00125B15" w:rsidP="00951F7B">
      <w:pPr>
        <w:spacing w:after="0" w:line="360" w:lineRule="auto"/>
        <w:jc w:val="center"/>
        <w:rPr>
          <w:rFonts w:ascii="Times New Roman" w:eastAsia="Times New Roman" w:hAnsi="Times New Roman" w:cs="Times New Roman"/>
          <w:b/>
          <w:color w:val="000000"/>
          <w:sz w:val="24"/>
          <w:szCs w:val="28"/>
          <w:lang w:eastAsia="es-MX"/>
        </w:rPr>
      </w:pPr>
    </w:p>
    <w:p w14:paraId="5BCF5928" w14:textId="77777777" w:rsidR="00125B15" w:rsidRDefault="00125B15" w:rsidP="00951F7B">
      <w:pPr>
        <w:spacing w:after="0" w:line="360" w:lineRule="auto"/>
        <w:jc w:val="center"/>
        <w:rPr>
          <w:rFonts w:ascii="Times New Roman" w:eastAsia="Times New Roman" w:hAnsi="Times New Roman" w:cs="Times New Roman"/>
          <w:b/>
          <w:color w:val="000000"/>
          <w:sz w:val="24"/>
          <w:szCs w:val="28"/>
          <w:lang w:eastAsia="es-MX"/>
        </w:rPr>
      </w:pPr>
    </w:p>
    <w:p w14:paraId="50DB4C48" w14:textId="77777777" w:rsidR="00125B15" w:rsidRDefault="00125B15" w:rsidP="00951F7B">
      <w:pPr>
        <w:spacing w:after="0" w:line="360" w:lineRule="auto"/>
        <w:jc w:val="center"/>
        <w:rPr>
          <w:rFonts w:ascii="Times New Roman" w:eastAsia="Times New Roman" w:hAnsi="Times New Roman" w:cs="Times New Roman"/>
          <w:b/>
          <w:color w:val="000000"/>
          <w:sz w:val="24"/>
          <w:szCs w:val="28"/>
          <w:lang w:eastAsia="es-MX"/>
        </w:rPr>
      </w:pPr>
    </w:p>
    <w:p w14:paraId="0FFA80A2" w14:textId="77777777" w:rsidR="00125B15" w:rsidRDefault="00125B15" w:rsidP="00951F7B">
      <w:pPr>
        <w:spacing w:after="0" w:line="360" w:lineRule="auto"/>
        <w:jc w:val="center"/>
        <w:rPr>
          <w:rFonts w:ascii="Times New Roman" w:eastAsia="Times New Roman" w:hAnsi="Times New Roman" w:cs="Times New Roman"/>
          <w:b/>
          <w:color w:val="000000"/>
          <w:sz w:val="24"/>
          <w:szCs w:val="28"/>
          <w:lang w:eastAsia="es-MX"/>
        </w:rPr>
      </w:pPr>
    </w:p>
    <w:p w14:paraId="73EC167E" w14:textId="77777777" w:rsidR="00125B15" w:rsidRDefault="00125B15" w:rsidP="00951F7B">
      <w:pPr>
        <w:spacing w:after="0" w:line="360" w:lineRule="auto"/>
        <w:jc w:val="center"/>
        <w:rPr>
          <w:rFonts w:ascii="Times New Roman" w:eastAsia="Times New Roman" w:hAnsi="Times New Roman" w:cs="Times New Roman"/>
          <w:b/>
          <w:color w:val="000000"/>
          <w:sz w:val="24"/>
          <w:szCs w:val="28"/>
          <w:lang w:eastAsia="es-MX"/>
        </w:rPr>
      </w:pPr>
    </w:p>
    <w:p w14:paraId="3A5F7467" w14:textId="18258F03" w:rsidR="001550B4" w:rsidRPr="00145D7F" w:rsidRDefault="001550B4" w:rsidP="00951F7B">
      <w:pPr>
        <w:spacing w:after="0" w:line="360" w:lineRule="auto"/>
        <w:jc w:val="center"/>
        <w:rPr>
          <w:rFonts w:ascii="Times New Roman" w:eastAsia="Times New Roman" w:hAnsi="Times New Roman" w:cs="Times New Roman"/>
          <w:color w:val="000000"/>
          <w:sz w:val="24"/>
          <w:szCs w:val="28"/>
          <w:lang w:eastAsia="es-MX"/>
        </w:rPr>
      </w:pPr>
      <w:r w:rsidRPr="00145D7F">
        <w:rPr>
          <w:rFonts w:ascii="Times New Roman" w:eastAsia="Times New Roman" w:hAnsi="Times New Roman" w:cs="Times New Roman"/>
          <w:b/>
          <w:color w:val="000000"/>
          <w:sz w:val="24"/>
          <w:szCs w:val="28"/>
          <w:lang w:eastAsia="es-MX"/>
        </w:rPr>
        <w:lastRenderedPageBreak/>
        <w:t>Tabla 2</w:t>
      </w:r>
      <w:r w:rsidR="00951F7B" w:rsidRPr="00145D7F">
        <w:rPr>
          <w:rFonts w:ascii="Times New Roman" w:eastAsia="Times New Roman" w:hAnsi="Times New Roman" w:cs="Times New Roman"/>
          <w:b/>
          <w:color w:val="000000"/>
          <w:sz w:val="24"/>
          <w:szCs w:val="28"/>
          <w:lang w:eastAsia="es-MX"/>
        </w:rPr>
        <w:t xml:space="preserve">. </w:t>
      </w:r>
      <w:r w:rsidRPr="00145D7F">
        <w:rPr>
          <w:rFonts w:ascii="Times New Roman" w:eastAsia="Times New Roman" w:hAnsi="Times New Roman" w:cs="Times New Roman"/>
          <w:color w:val="000000"/>
          <w:sz w:val="24"/>
          <w:szCs w:val="28"/>
          <w:lang w:eastAsia="es-MX"/>
        </w:rPr>
        <w:t>Hipótesis planteadas en la investigación</w:t>
      </w:r>
    </w:p>
    <w:tbl>
      <w:tblPr>
        <w:tblStyle w:val="Tablaconcuadrcula"/>
        <w:tblW w:w="0" w:type="auto"/>
        <w:tblLook w:val="04A0" w:firstRow="1" w:lastRow="0" w:firstColumn="1" w:lastColumn="0" w:noHBand="0" w:noVBand="1"/>
      </w:tblPr>
      <w:tblGrid>
        <w:gridCol w:w="3155"/>
        <w:gridCol w:w="2812"/>
        <w:gridCol w:w="2861"/>
      </w:tblGrid>
      <w:tr w:rsidR="009E2495" w:rsidRPr="00274328" w14:paraId="228DB0E1" w14:textId="77777777" w:rsidTr="004F6C84">
        <w:tc>
          <w:tcPr>
            <w:tcW w:w="0" w:type="auto"/>
          </w:tcPr>
          <w:p w14:paraId="7B0156C6" w14:textId="77777777" w:rsidR="009E4F65" w:rsidRPr="00274328" w:rsidRDefault="009E4F65" w:rsidP="00951F7B">
            <w:pPr>
              <w:spacing w:line="360" w:lineRule="auto"/>
              <w:jc w:val="center"/>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Pregunta de investigación</w:t>
            </w:r>
          </w:p>
        </w:tc>
        <w:tc>
          <w:tcPr>
            <w:tcW w:w="0" w:type="auto"/>
          </w:tcPr>
          <w:p w14:paraId="7D6AF571" w14:textId="77777777" w:rsidR="009E4F65" w:rsidRPr="00274328" w:rsidRDefault="009E4F65" w:rsidP="00951F7B">
            <w:pPr>
              <w:spacing w:line="360" w:lineRule="auto"/>
              <w:jc w:val="center"/>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Hipótesis</w:t>
            </w:r>
          </w:p>
        </w:tc>
        <w:tc>
          <w:tcPr>
            <w:tcW w:w="0" w:type="auto"/>
          </w:tcPr>
          <w:p w14:paraId="0B56F8A6" w14:textId="1785094F" w:rsidR="009E4F65" w:rsidRPr="00274328" w:rsidRDefault="009E4F65" w:rsidP="00951F7B">
            <w:pPr>
              <w:spacing w:line="360" w:lineRule="auto"/>
              <w:jc w:val="center"/>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 xml:space="preserve">Hipótesis </w:t>
            </w:r>
            <w:r w:rsidR="004F6C84" w:rsidRPr="00274328">
              <w:rPr>
                <w:rFonts w:ascii="Times New Roman" w:eastAsia="Times New Roman" w:hAnsi="Times New Roman" w:cs="Times New Roman"/>
                <w:color w:val="000000"/>
                <w:sz w:val="24"/>
                <w:szCs w:val="24"/>
                <w:lang w:eastAsia="es-MX"/>
              </w:rPr>
              <w:t>n</w:t>
            </w:r>
            <w:r w:rsidRPr="00274328">
              <w:rPr>
                <w:rFonts w:ascii="Times New Roman" w:eastAsia="Times New Roman" w:hAnsi="Times New Roman" w:cs="Times New Roman"/>
                <w:color w:val="000000"/>
                <w:sz w:val="24"/>
                <w:szCs w:val="24"/>
                <w:lang w:eastAsia="es-MX"/>
              </w:rPr>
              <w:t>ula</w:t>
            </w:r>
          </w:p>
        </w:tc>
      </w:tr>
      <w:tr w:rsidR="009E2495" w:rsidRPr="00274328" w14:paraId="29C4A2CD" w14:textId="77777777" w:rsidTr="004F6C84">
        <w:tc>
          <w:tcPr>
            <w:tcW w:w="0" w:type="auto"/>
          </w:tcPr>
          <w:p w14:paraId="30C76089" w14:textId="7F5EAE53" w:rsidR="009E4F65" w:rsidRPr="00274328" w:rsidRDefault="009E4F65" w:rsidP="00145D7F">
            <w:pPr>
              <w:spacing w:line="360" w:lineRule="auto"/>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sz w:val="24"/>
                <w:szCs w:val="24"/>
                <w:lang w:eastAsia="es-MX"/>
              </w:rPr>
              <w:t>¿</w:t>
            </w:r>
            <w:r w:rsidRPr="00274328">
              <w:rPr>
                <w:rFonts w:ascii="Times New Roman" w:eastAsia="Times New Roman" w:hAnsi="Times New Roman" w:cs="Times New Roman"/>
                <w:color w:val="000000"/>
                <w:sz w:val="24"/>
                <w:szCs w:val="24"/>
                <w:lang w:eastAsia="es-MX"/>
              </w:rPr>
              <w:t xml:space="preserve">En qué medida la estrategia de cambio implementada por la </w:t>
            </w:r>
            <w:r w:rsidR="00620A47" w:rsidRPr="00274328">
              <w:rPr>
                <w:rFonts w:ascii="Times New Roman" w:eastAsia="Times New Roman" w:hAnsi="Times New Roman" w:cs="Times New Roman"/>
                <w:color w:val="000000"/>
                <w:sz w:val="24"/>
                <w:szCs w:val="24"/>
                <w:lang w:eastAsia="es-MX"/>
              </w:rPr>
              <w:t>UdeG</w:t>
            </w:r>
            <w:r w:rsidRPr="00274328">
              <w:rPr>
                <w:rFonts w:ascii="Times New Roman" w:eastAsia="Times New Roman" w:hAnsi="Times New Roman" w:cs="Times New Roman"/>
                <w:color w:val="000000"/>
                <w:sz w:val="24"/>
                <w:szCs w:val="24"/>
                <w:lang w:eastAsia="es-MX"/>
              </w:rPr>
              <w:t xml:space="preserve"> en el periodo 2012-2016 </w:t>
            </w:r>
            <w:r w:rsidRPr="00274328">
              <w:rPr>
                <w:rFonts w:ascii="Times New Roman" w:eastAsia="Times New Roman" w:hAnsi="Times New Roman" w:cs="Times New Roman"/>
                <w:sz w:val="24"/>
                <w:szCs w:val="24"/>
                <w:lang w:eastAsia="es-MX"/>
              </w:rPr>
              <w:t xml:space="preserve">aumentó significativamente los programas de estudio para que contemplen un enfoque integral y de la sustentabilidad acorde con la educación para el desarrollo sostenible? </w:t>
            </w:r>
          </w:p>
        </w:tc>
        <w:tc>
          <w:tcPr>
            <w:tcW w:w="0" w:type="auto"/>
          </w:tcPr>
          <w:p w14:paraId="6BCF3578" w14:textId="411C8664" w:rsidR="009E4F65" w:rsidRPr="00274328" w:rsidRDefault="009E4F65" w:rsidP="00145D7F">
            <w:pPr>
              <w:spacing w:line="360" w:lineRule="auto"/>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 xml:space="preserve">H1: </w:t>
            </w:r>
            <w:r w:rsidR="004F6C84" w:rsidRPr="00274328">
              <w:rPr>
                <w:rFonts w:ascii="Times New Roman" w:eastAsia="Times New Roman" w:hAnsi="Times New Roman" w:cs="Times New Roman"/>
                <w:color w:val="000000"/>
                <w:sz w:val="24"/>
                <w:szCs w:val="24"/>
                <w:lang w:eastAsia="es-MX"/>
              </w:rPr>
              <w:t>l</w:t>
            </w:r>
            <w:r w:rsidRPr="00274328">
              <w:rPr>
                <w:rFonts w:ascii="Times New Roman" w:eastAsia="Times New Roman" w:hAnsi="Times New Roman" w:cs="Times New Roman"/>
                <w:color w:val="000000"/>
                <w:sz w:val="24"/>
                <w:szCs w:val="24"/>
                <w:lang w:eastAsia="es-MX"/>
              </w:rPr>
              <w:t xml:space="preserve">a estrategia de cambio implementada por la </w:t>
            </w:r>
            <w:r w:rsidR="00620A47" w:rsidRPr="00274328">
              <w:rPr>
                <w:rFonts w:ascii="Times New Roman" w:eastAsia="Times New Roman" w:hAnsi="Times New Roman" w:cs="Times New Roman"/>
                <w:color w:val="000000"/>
                <w:sz w:val="24"/>
                <w:szCs w:val="24"/>
                <w:lang w:eastAsia="es-MX"/>
              </w:rPr>
              <w:t>UdeG</w:t>
            </w:r>
            <w:r w:rsidR="004F6C84" w:rsidRPr="00274328">
              <w:rPr>
                <w:rFonts w:ascii="Times New Roman" w:eastAsia="Times New Roman" w:hAnsi="Times New Roman" w:cs="Times New Roman"/>
                <w:color w:val="000000"/>
                <w:sz w:val="24"/>
                <w:szCs w:val="24"/>
                <w:lang w:eastAsia="es-MX"/>
              </w:rPr>
              <w:t xml:space="preserve"> </w:t>
            </w:r>
            <w:r w:rsidRPr="00274328">
              <w:rPr>
                <w:rFonts w:ascii="Times New Roman" w:eastAsia="Times New Roman" w:hAnsi="Times New Roman" w:cs="Times New Roman"/>
                <w:color w:val="000000"/>
                <w:sz w:val="24"/>
                <w:szCs w:val="24"/>
                <w:lang w:eastAsia="es-MX"/>
              </w:rPr>
              <w:t xml:space="preserve">en el periodo 2012-2016 </w:t>
            </w:r>
            <w:r w:rsidR="009E2495" w:rsidRPr="00274328">
              <w:rPr>
                <w:rFonts w:ascii="Times New Roman" w:eastAsia="Times New Roman" w:hAnsi="Times New Roman" w:cs="Times New Roman"/>
                <w:color w:val="000000"/>
                <w:sz w:val="24"/>
                <w:szCs w:val="24"/>
                <w:lang w:eastAsia="es-MX"/>
              </w:rPr>
              <w:t>trajo un</w:t>
            </w:r>
            <w:r w:rsidRPr="00274328">
              <w:rPr>
                <w:rFonts w:ascii="Times New Roman" w:eastAsia="Times New Roman" w:hAnsi="Times New Roman" w:cs="Times New Roman"/>
                <w:color w:val="000000"/>
                <w:sz w:val="24"/>
                <w:szCs w:val="24"/>
                <w:lang w:eastAsia="es-MX"/>
              </w:rPr>
              <w:t xml:space="preserve"> aumento</w:t>
            </w:r>
            <w:r w:rsidR="009E2495" w:rsidRPr="00274328">
              <w:rPr>
                <w:rFonts w:ascii="Times New Roman" w:eastAsia="Times New Roman" w:hAnsi="Times New Roman" w:cs="Times New Roman"/>
                <w:color w:val="000000"/>
                <w:sz w:val="24"/>
                <w:szCs w:val="24"/>
                <w:lang w:eastAsia="es-MX"/>
              </w:rPr>
              <w:t xml:space="preserve"> significativo</w:t>
            </w:r>
            <w:r w:rsidRPr="00274328">
              <w:rPr>
                <w:rFonts w:ascii="Times New Roman" w:eastAsia="Times New Roman" w:hAnsi="Times New Roman" w:cs="Times New Roman"/>
                <w:color w:val="000000"/>
                <w:sz w:val="24"/>
                <w:szCs w:val="24"/>
                <w:lang w:eastAsia="es-MX"/>
              </w:rPr>
              <w:t xml:space="preserve"> en la reorientación de los currículos con un enfoque integral y de sustentabilidad</w:t>
            </w:r>
            <w:r w:rsidR="009E2495" w:rsidRPr="00274328">
              <w:rPr>
                <w:rFonts w:ascii="Times New Roman" w:eastAsia="Times New Roman" w:hAnsi="Times New Roman" w:cs="Times New Roman"/>
                <w:color w:val="000000"/>
                <w:sz w:val="24"/>
                <w:szCs w:val="24"/>
                <w:lang w:eastAsia="es-MX"/>
              </w:rPr>
              <w:t>.</w:t>
            </w:r>
          </w:p>
        </w:tc>
        <w:tc>
          <w:tcPr>
            <w:tcW w:w="0" w:type="auto"/>
          </w:tcPr>
          <w:p w14:paraId="35D43A12" w14:textId="0B7A98B7" w:rsidR="009E4F65" w:rsidRPr="00274328" w:rsidRDefault="009E4F65" w:rsidP="00145D7F">
            <w:pPr>
              <w:spacing w:line="360" w:lineRule="auto"/>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 xml:space="preserve">H0: </w:t>
            </w:r>
            <w:r w:rsidR="004F6C84" w:rsidRPr="00274328">
              <w:rPr>
                <w:rFonts w:ascii="Times New Roman" w:eastAsia="Times New Roman" w:hAnsi="Times New Roman" w:cs="Times New Roman"/>
                <w:color w:val="000000"/>
                <w:sz w:val="24"/>
                <w:szCs w:val="24"/>
                <w:lang w:eastAsia="es-MX"/>
              </w:rPr>
              <w:t>l</w:t>
            </w:r>
            <w:r w:rsidRPr="00274328">
              <w:rPr>
                <w:rFonts w:ascii="Times New Roman" w:eastAsia="Times New Roman" w:hAnsi="Times New Roman" w:cs="Times New Roman"/>
                <w:color w:val="000000"/>
                <w:sz w:val="24"/>
                <w:szCs w:val="24"/>
                <w:lang w:eastAsia="es-MX"/>
              </w:rPr>
              <w:t xml:space="preserve">a estrategia de cambio implementada por la </w:t>
            </w:r>
            <w:r w:rsidR="00620A47" w:rsidRPr="00274328">
              <w:rPr>
                <w:rFonts w:ascii="Times New Roman" w:eastAsia="Times New Roman" w:hAnsi="Times New Roman" w:cs="Times New Roman"/>
                <w:color w:val="000000"/>
                <w:sz w:val="24"/>
                <w:szCs w:val="24"/>
                <w:lang w:eastAsia="es-MX"/>
              </w:rPr>
              <w:t>UdeG</w:t>
            </w:r>
            <w:r w:rsidRPr="00274328">
              <w:rPr>
                <w:rFonts w:ascii="Times New Roman" w:eastAsia="Times New Roman" w:hAnsi="Times New Roman" w:cs="Times New Roman"/>
                <w:color w:val="000000"/>
                <w:sz w:val="24"/>
                <w:szCs w:val="24"/>
                <w:lang w:eastAsia="es-MX"/>
              </w:rPr>
              <w:t xml:space="preserve"> </w:t>
            </w:r>
            <w:r w:rsidR="009E2495" w:rsidRPr="00274328">
              <w:rPr>
                <w:rFonts w:ascii="Times New Roman" w:eastAsia="Times New Roman" w:hAnsi="Times New Roman" w:cs="Times New Roman"/>
                <w:color w:val="000000"/>
                <w:sz w:val="24"/>
                <w:szCs w:val="24"/>
                <w:lang w:eastAsia="es-MX"/>
              </w:rPr>
              <w:t xml:space="preserve">durante </w:t>
            </w:r>
            <w:r w:rsidRPr="00274328">
              <w:rPr>
                <w:rFonts w:ascii="Times New Roman" w:eastAsia="Times New Roman" w:hAnsi="Times New Roman" w:cs="Times New Roman"/>
                <w:color w:val="000000"/>
                <w:sz w:val="24"/>
                <w:szCs w:val="24"/>
                <w:lang w:eastAsia="es-MX"/>
              </w:rPr>
              <w:t xml:space="preserve">el periodo 2012-2016 no </w:t>
            </w:r>
            <w:r w:rsidR="009E2495" w:rsidRPr="00274328">
              <w:rPr>
                <w:rFonts w:ascii="Times New Roman" w:eastAsia="Times New Roman" w:hAnsi="Times New Roman" w:cs="Times New Roman"/>
                <w:color w:val="000000"/>
                <w:sz w:val="24"/>
                <w:szCs w:val="24"/>
                <w:lang w:eastAsia="es-MX"/>
              </w:rPr>
              <w:t>generó</w:t>
            </w:r>
            <w:r w:rsidRPr="00274328">
              <w:rPr>
                <w:rFonts w:ascii="Times New Roman" w:eastAsia="Times New Roman" w:hAnsi="Times New Roman" w:cs="Times New Roman"/>
                <w:color w:val="000000"/>
                <w:sz w:val="24"/>
                <w:szCs w:val="24"/>
                <w:lang w:eastAsia="es-MX"/>
              </w:rPr>
              <w:t xml:space="preserve"> un aumento </w:t>
            </w:r>
            <w:r w:rsidR="009E2495" w:rsidRPr="00274328">
              <w:rPr>
                <w:rFonts w:ascii="Times New Roman" w:eastAsia="Times New Roman" w:hAnsi="Times New Roman" w:cs="Times New Roman"/>
                <w:color w:val="000000"/>
                <w:sz w:val="24"/>
                <w:szCs w:val="24"/>
                <w:lang w:eastAsia="es-MX"/>
              </w:rPr>
              <w:t xml:space="preserve">significativo </w:t>
            </w:r>
            <w:r w:rsidRPr="00274328">
              <w:rPr>
                <w:rFonts w:ascii="Times New Roman" w:eastAsia="Times New Roman" w:hAnsi="Times New Roman" w:cs="Times New Roman"/>
                <w:color w:val="000000"/>
                <w:sz w:val="24"/>
                <w:szCs w:val="24"/>
                <w:lang w:eastAsia="es-MX"/>
              </w:rPr>
              <w:t>en la reorientación de los currículos con un enfoque integral y de sustentabilidad.</w:t>
            </w:r>
          </w:p>
        </w:tc>
      </w:tr>
      <w:tr w:rsidR="009E2495" w:rsidRPr="00274328" w14:paraId="63313C49" w14:textId="77777777" w:rsidTr="004F6C84">
        <w:tc>
          <w:tcPr>
            <w:tcW w:w="0" w:type="auto"/>
          </w:tcPr>
          <w:p w14:paraId="77A65947" w14:textId="79416D75" w:rsidR="009E4F65" w:rsidRPr="00274328" w:rsidRDefault="009E4F65" w:rsidP="00145D7F">
            <w:pPr>
              <w:spacing w:line="360" w:lineRule="auto"/>
              <w:rPr>
                <w:rFonts w:ascii="Times New Roman" w:eastAsia="Times New Roman" w:hAnsi="Times New Roman" w:cs="Times New Roman"/>
                <w:sz w:val="24"/>
                <w:szCs w:val="24"/>
                <w:lang w:eastAsia="es-MX"/>
              </w:rPr>
            </w:pPr>
            <w:r w:rsidRPr="00274328">
              <w:rPr>
                <w:rFonts w:ascii="Times New Roman" w:eastAsia="Times New Roman" w:hAnsi="Times New Roman" w:cs="Times New Roman"/>
                <w:sz w:val="24"/>
                <w:szCs w:val="24"/>
                <w:lang w:eastAsia="es-MX"/>
              </w:rPr>
              <w:t xml:space="preserve">¿La estructura que caracteriza los </w:t>
            </w:r>
            <w:r w:rsidR="004F6C84" w:rsidRPr="00274328">
              <w:rPr>
                <w:rFonts w:ascii="Times New Roman" w:eastAsia="Times New Roman" w:hAnsi="Times New Roman" w:cs="Times New Roman"/>
                <w:sz w:val="24"/>
                <w:szCs w:val="24"/>
                <w:lang w:eastAsia="es-MX"/>
              </w:rPr>
              <w:t xml:space="preserve">centros universitarios regionales </w:t>
            </w:r>
            <w:r w:rsidRPr="00274328">
              <w:rPr>
                <w:rFonts w:ascii="Times New Roman" w:eastAsia="Times New Roman" w:hAnsi="Times New Roman" w:cs="Times New Roman"/>
                <w:sz w:val="24"/>
                <w:szCs w:val="24"/>
                <w:lang w:eastAsia="es-MX"/>
              </w:rPr>
              <w:t>(multidisciplinar) mejora la reorientación de los programas de estudio con el enfoque integral y de la sustentabilidad en contraste con el modelo</w:t>
            </w:r>
            <w:r w:rsidR="00217E1F" w:rsidRPr="00274328">
              <w:rPr>
                <w:rFonts w:ascii="Times New Roman" w:eastAsia="Times New Roman" w:hAnsi="Times New Roman" w:cs="Times New Roman"/>
                <w:sz w:val="24"/>
                <w:szCs w:val="24"/>
                <w:lang w:eastAsia="es-MX"/>
              </w:rPr>
              <w:t xml:space="preserve"> napoleónico basado en facultades</w:t>
            </w:r>
            <w:r w:rsidRPr="00274328">
              <w:rPr>
                <w:rFonts w:ascii="Times New Roman" w:eastAsia="Times New Roman" w:hAnsi="Times New Roman" w:cs="Times New Roman"/>
                <w:sz w:val="24"/>
                <w:szCs w:val="24"/>
                <w:lang w:eastAsia="es-MX"/>
              </w:rPr>
              <w:t>?</w:t>
            </w:r>
          </w:p>
          <w:p w14:paraId="43BBEB95" w14:textId="77777777" w:rsidR="009E4F65" w:rsidRPr="00274328" w:rsidRDefault="009E4F65" w:rsidP="00145D7F">
            <w:pPr>
              <w:spacing w:line="360" w:lineRule="auto"/>
              <w:rPr>
                <w:rFonts w:ascii="Times New Roman" w:eastAsia="Times New Roman" w:hAnsi="Times New Roman" w:cs="Times New Roman"/>
                <w:sz w:val="24"/>
                <w:szCs w:val="24"/>
                <w:lang w:eastAsia="es-MX"/>
              </w:rPr>
            </w:pPr>
          </w:p>
        </w:tc>
        <w:tc>
          <w:tcPr>
            <w:tcW w:w="0" w:type="auto"/>
          </w:tcPr>
          <w:p w14:paraId="1B499776" w14:textId="51CE33EE" w:rsidR="009E4F65" w:rsidRPr="00274328" w:rsidRDefault="009E4F65" w:rsidP="00145D7F">
            <w:pPr>
              <w:spacing w:line="360" w:lineRule="auto"/>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 xml:space="preserve">H1: </w:t>
            </w:r>
            <w:r w:rsidR="004F6C84" w:rsidRPr="00274328">
              <w:rPr>
                <w:rFonts w:ascii="Times New Roman" w:eastAsia="Times New Roman" w:hAnsi="Times New Roman" w:cs="Times New Roman"/>
                <w:color w:val="000000"/>
                <w:sz w:val="24"/>
                <w:szCs w:val="24"/>
                <w:lang w:eastAsia="es-MX"/>
              </w:rPr>
              <w:t>l</w:t>
            </w:r>
            <w:r w:rsidRPr="00274328">
              <w:rPr>
                <w:rFonts w:ascii="Times New Roman" w:eastAsia="Times New Roman" w:hAnsi="Times New Roman" w:cs="Times New Roman"/>
                <w:color w:val="000000"/>
                <w:sz w:val="24"/>
                <w:szCs w:val="24"/>
                <w:lang w:eastAsia="es-MX"/>
              </w:rPr>
              <w:t>a estructura multidisciplinaria aumenta significativamente la reorientación de los programas de estudio en contraste con el modelo de facultades napoleónico.</w:t>
            </w:r>
          </w:p>
        </w:tc>
        <w:tc>
          <w:tcPr>
            <w:tcW w:w="0" w:type="auto"/>
          </w:tcPr>
          <w:p w14:paraId="714445A8" w14:textId="36C88D83" w:rsidR="009E4F65" w:rsidRPr="00274328" w:rsidRDefault="009E4F65" w:rsidP="00145D7F">
            <w:pPr>
              <w:spacing w:line="360" w:lineRule="auto"/>
              <w:rPr>
                <w:rFonts w:ascii="Times New Roman" w:eastAsia="Times New Roman" w:hAnsi="Times New Roman" w:cs="Times New Roman"/>
                <w:color w:val="000000"/>
                <w:sz w:val="24"/>
                <w:szCs w:val="24"/>
                <w:lang w:eastAsia="es-MX"/>
              </w:rPr>
            </w:pPr>
            <w:r w:rsidRPr="00274328">
              <w:rPr>
                <w:rFonts w:ascii="Times New Roman" w:eastAsia="Times New Roman" w:hAnsi="Times New Roman" w:cs="Times New Roman"/>
                <w:color w:val="000000"/>
                <w:sz w:val="24"/>
                <w:szCs w:val="24"/>
                <w:lang w:eastAsia="es-MX"/>
              </w:rPr>
              <w:t>H0:</w:t>
            </w:r>
            <w:r w:rsidR="004F6C84" w:rsidRPr="00274328">
              <w:rPr>
                <w:rFonts w:ascii="Times New Roman" w:eastAsia="Times New Roman" w:hAnsi="Times New Roman" w:cs="Times New Roman"/>
                <w:color w:val="000000"/>
                <w:sz w:val="24"/>
                <w:szCs w:val="24"/>
                <w:lang w:eastAsia="es-MX"/>
              </w:rPr>
              <w:t xml:space="preserve"> l</w:t>
            </w:r>
            <w:r w:rsidRPr="00274328">
              <w:rPr>
                <w:rFonts w:ascii="Times New Roman" w:eastAsia="Times New Roman" w:hAnsi="Times New Roman" w:cs="Times New Roman"/>
                <w:color w:val="000000"/>
                <w:sz w:val="24"/>
                <w:szCs w:val="24"/>
                <w:lang w:eastAsia="es-MX"/>
              </w:rPr>
              <w:t>a estructura multidisciplinaria no aumenta significativamente la reorientación de los programas de estudio en contraste con el modelo de facultades modelo napoleónico.</w:t>
            </w:r>
          </w:p>
        </w:tc>
      </w:tr>
    </w:tbl>
    <w:p w14:paraId="47B9EEEB" w14:textId="77777777" w:rsidR="003A1A5C" w:rsidRPr="002B2DCD" w:rsidRDefault="003A1A5C" w:rsidP="003A1A5C">
      <w:pPr>
        <w:spacing w:after="0" w:line="360" w:lineRule="auto"/>
        <w:jc w:val="center"/>
        <w:rPr>
          <w:rFonts w:ascii="Times New Roman" w:eastAsia="Times New Roman" w:hAnsi="Times New Roman" w:cs="Times New Roman"/>
          <w:iCs/>
          <w:color w:val="000000"/>
          <w:sz w:val="24"/>
          <w:szCs w:val="24"/>
          <w:lang w:eastAsia="es-MX"/>
        </w:rPr>
      </w:pPr>
      <w:r w:rsidRPr="002B2DCD">
        <w:rPr>
          <w:rFonts w:ascii="Times New Roman" w:eastAsia="Times New Roman" w:hAnsi="Times New Roman" w:cs="Times New Roman"/>
          <w:iCs/>
          <w:color w:val="000000"/>
          <w:sz w:val="24"/>
          <w:szCs w:val="24"/>
          <w:lang w:eastAsia="es-MX"/>
        </w:rPr>
        <w:t>Fuente: Elaboración propia</w:t>
      </w:r>
    </w:p>
    <w:p w14:paraId="7A10D4B2" w14:textId="2EDF8DF4" w:rsidR="009E4F65" w:rsidRPr="00951F7B" w:rsidRDefault="00E21C3B" w:rsidP="00951F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A607C3" w:rsidRPr="00951F7B">
        <w:rPr>
          <w:rFonts w:ascii="Times New Roman" w:hAnsi="Times New Roman" w:cs="Times New Roman"/>
          <w:sz w:val="24"/>
          <w:szCs w:val="24"/>
        </w:rPr>
        <w:t xml:space="preserve">a unidad de análisis estuvo conformada por </w:t>
      </w:r>
      <w:r w:rsidR="009E4F65" w:rsidRPr="00951F7B">
        <w:rPr>
          <w:rFonts w:ascii="Times New Roman" w:hAnsi="Times New Roman" w:cs="Times New Roman"/>
          <w:sz w:val="24"/>
          <w:szCs w:val="24"/>
        </w:rPr>
        <w:t>1037 casos</w:t>
      </w:r>
      <w:r w:rsidR="009E4F65" w:rsidRPr="00951F7B">
        <w:rPr>
          <w:rStyle w:val="Refdenotaalpie"/>
        </w:rPr>
        <w:footnoteReference w:id="2"/>
      </w:r>
      <w:r w:rsidR="009E4F65" w:rsidRPr="00951F7B">
        <w:rPr>
          <w:rFonts w:ascii="Times New Roman" w:hAnsi="Times New Roman" w:cs="Times New Roman"/>
          <w:sz w:val="24"/>
          <w:szCs w:val="24"/>
        </w:rPr>
        <w:t xml:space="preserve"> (progr</w:t>
      </w:r>
      <w:r w:rsidR="001B34E4" w:rsidRPr="00951F7B">
        <w:rPr>
          <w:rFonts w:ascii="Times New Roman" w:hAnsi="Times New Roman" w:cs="Times New Roman"/>
          <w:sz w:val="24"/>
          <w:szCs w:val="24"/>
        </w:rPr>
        <w:t>amas de estudio)</w:t>
      </w:r>
      <w:r w:rsidR="002E2520">
        <w:rPr>
          <w:rFonts w:ascii="Times New Roman" w:hAnsi="Times New Roman" w:cs="Times New Roman"/>
          <w:sz w:val="24"/>
          <w:szCs w:val="24"/>
        </w:rPr>
        <w:t>,</w:t>
      </w:r>
      <w:r w:rsidR="001B34E4" w:rsidRPr="00951F7B">
        <w:rPr>
          <w:rFonts w:ascii="Times New Roman" w:hAnsi="Times New Roman" w:cs="Times New Roman"/>
          <w:sz w:val="24"/>
          <w:szCs w:val="24"/>
        </w:rPr>
        <w:t xml:space="preserve"> que representaron</w:t>
      </w:r>
      <w:r w:rsidR="002E2520">
        <w:rPr>
          <w:rFonts w:ascii="Times New Roman" w:hAnsi="Times New Roman" w:cs="Times New Roman"/>
          <w:sz w:val="24"/>
          <w:szCs w:val="24"/>
        </w:rPr>
        <w:t>,</w:t>
      </w:r>
      <w:r w:rsidR="009E4F65" w:rsidRPr="00951F7B">
        <w:rPr>
          <w:rFonts w:ascii="Times New Roman" w:hAnsi="Times New Roman" w:cs="Times New Roman"/>
          <w:sz w:val="24"/>
          <w:szCs w:val="24"/>
        </w:rPr>
        <w:t xml:space="preserve"> </w:t>
      </w:r>
      <w:r w:rsidR="001B34E4" w:rsidRPr="00951F7B">
        <w:rPr>
          <w:rFonts w:ascii="Times New Roman" w:hAnsi="Times New Roman" w:cs="Times New Roman"/>
          <w:sz w:val="24"/>
          <w:szCs w:val="24"/>
        </w:rPr>
        <w:t xml:space="preserve">en su momento, </w:t>
      </w:r>
      <w:r w:rsidR="009E4F65" w:rsidRPr="00951F7B">
        <w:rPr>
          <w:rFonts w:ascii="Times New Roman" w:hAnsi="Times New Roman" w:cs="Times New Roman"/>
          <w:sz w:val="24"/>
          <w:szCs w:val="24"/>
        </w:rPr>
        <w:t>al total de la población</w:t>
      </w:r>
      <w:r w:rsidR="001B34E4" w:rsidRPr="00951F7B">
        <w:rPr>
          <w:rFonts w:ascii="Times New Roman" w:hAnsi="Times New Roman" w:cs="Times New Roman"/>
          <w:sz w:val="24"/>
          <w:szCs w:val="24"/>
        </w:rPr>
        <w:t xml:space="preserve">. Asimismo, se empleó el </w:t>
      </w:r>
      <w:r w:rsidR="009E4F65" w:rsidRPr="00145D7F">
        <w:rPr>
          <w:rFonts w:ascii="Times New Roman" w:hAnsi="Times New Roman" w:cs="Times New Roman"/>
          <w:i/>
          <w:iCs/>
          <w:sz w:val="24"/>
          <w:szCs w:val="24"/>
        </w:rPr>
        <w:t>software</w:t>
      </w:r>
      <w:r w:rsidR="009E4F65" w:rsidRPr="00951F7B">
        <w:rPr>
          <w:rFonts w:ascii="Times New Roman" w:hAnsi="Times New Roman" w:cs="Times New Roman"/>
          <w:sz w:val="24"/>
          <w:szCs w:val="24"/>
        </w:rPr>
        <w:t xml:space="preserve"> estadístico </w:t>
      </w:r>
      <w:proofErr w:type="spellStart"/>
      <w:r w:rsidR="001B34E4" w:rsidRPr="00145D7F">
        <w:rPr>
          <w:rFonts w:ascii="Times New Roman" w:hAnsi="Times New Roman" w:cs="Times New Roman"/>
          <w:iCs/>
          <w:sz w:val="24"/>
          <w:szCs w:val="24"/>
        </w:rPr>
        <w:t>Statistical</w:t>
      </w:r>
      <w:proofErr w:type="spellEnd"/>
      <w:r w:rsidR="001B34E4" w:rsidRPr="00145D7F">
        <w:rPr>
          <w:rFonts w:ascii="Times New Roman" w:hAnsi="Times New Roman" w:cs="Times New Roman"/>
          <w:iCs/>
          <w:sz w:val="24"/>
          <w:szCs w:val="24"/>
        </w:rPr>
        <w:t xml:space="preserve"> </w:t>
      </w:r>
      <w:proofErr w:type="spellStart"/>
      <w:r w:rsidR="001B34E4" w:rsidRPr="00145D7F">
        <w:rPr>
          <w:rFonts w:ascii="Times New Roman" w:hAnsi="Times New Roman" w:cs="Times New Roman"/>
          <w:iCs/>
          <w:sz w:val="24"/>
          <w:szCs w:val="24"/>
        </w:rPr>
        <w:t>Package</w:t>
      </w:r>
      <w:proofErr w:type="spellEnd"/>
      <w:r w:rsidR="001B34E4" w:rsidRPr="00145D7F">
        <w:rPr>
          <w:rFonts w:ascii="Times New Roman" w:hAnsi="Times New Roman" w:cs="Times New Roman"/>
          <w:iCs/>
          <w:sz w:val="24"/>
          <w:szCs w:val="24"/>
        </w:rPr>
        <w:t xml:space="preserve"> </w:t>
      </w:r>
      <w:proofErr w:type="spellStart"/>
      <w:r w:rsidR="001B34E4" w:rsidRPr="00145D7F">
        <w:rPr>
          <w:rFonts w:ascii="Times New Roman" w:hAnsi="Times New Roman" w:cs="Times New Roman"/>
          <w:iCs/>
          <w:sz w:val="24"/>
          <w:szCs w:val="24"/>
        </w:rPr>
        <w:t>for</w:t>
      </w:r>
      <w:proofErr w:type="spellEnd"/>
      <w:r w:rsidR="001B34E4" w:rsidRPr="00145D7F">
        <w:rPr>
          <w:rFonts w:ascii="Times New Roman" w:hAnsi="Times New Roman" w:cs="Times New Roman"/>
          <w:iCs/>
          <w:sz w:val="24"/>
          <w:szCs w:val="24"/>
        </w:rPr>
        <w:t xml:space="preserve"> Social </w:t>
      </w:r>
      <w:proofErr w:type="spellStart"/>
      <w:r w:rsidR="001B34E4" w:rsidRPr="00145D7F">
        <w:rPr>
          <w:rFonts w:ascii="Times New Roman" w:hAnsi="Times New Roman" w:cs="Times New Roman"/>
          <w:iCs/>
          <w:sz w:val="24"/>
          <w:szCs w:val="24"/>
        </w:rPr>
        <w:t>Sciences</w:t>
      </w:r>
      <w:proofErr w:type="spellEnd"/>
      <w:r w:rsidR="0020121D" w:rsidRPr="00951F7B">
        <w:rPr>
          <w:rFonts w:ascii="Times New Roman" w:hAnsi="Times New Roman" w:cs="Times New Roman"/>
          <w:sz w:val="24"/>
          <w:szCs w:val="24"/>
        </w:rPr>
        <w:t xml:space="preserve"> </w:t>
      </w:r>
      <w:r w:rsidR="009E4F65" w:rsidRPr="00951F7B">
        <w:rPr>
          <w:rFonts w:ascii="Times New Roman" w:hAnsi="Times New Roman" w:cs="Times New Roman"/>
          <w:sz w:val="24"/>
          <w:szCs w:val="24"/>
        </w:rPr>
        <w:t>versión 20</w:t>
      </w:r>
      <w:r w:rsidR="001B34E4" w:rsidRPr="00951F7B">
        <w:rPr>
          <w:rFonts w:ascii="Times New Roman" w:hAnsi="Times New Roman" w:cs="Times New Roman"/>
          <w:sz w:val="24"/>
          <w:szCs w:val="24"/>
        </w:rPr>
        <w:t>,</w:t>
      </w:r>
      <w:r w:rsidR="002E2520">
        <w:rPr>
          <w:rFonts w:ascii="Times New Roman" w:hAnsi="Times New Roman" w:cs="Times New Roman"/>
          <w:sz w:val="24"/>
          <w:szCs w:val="24"/>
        </w:rPr>
        <w:t xml:space="preserve"> donde</w:t>
      </w:r>
      <w:r w:rsidR="001B34E4" w:rsidRPr="00951F7B">
        <w:rPr>
          <w:rFonts w:ascii="Times New Roman" w:hAnsi="Times New Roman" w:cs="Times New Roman"/>
          <w:sz w:val="24"/>
          <w:szCs w:val="24"/>
        </w:rPr>
        <w:t xml:space="preserve"> se capturaron las 1037 observaciones.</w:t>
      </w:r>
    </w:p>
    <w:p w14:paraId="72BC9763" w14:textId="53A634CD" w:rsidR="009D0EB3" w:rsidRDefault="009D0EB3"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En el proceso de análisis de los datos se empleó el estadístico </w:t>
      </w:r>
      <w:r w:rsidR="00DB2C9C">
        <w:rPr>
          <w:rFonts w:ascii="Times New Roman" w:hAnsi="Times New Roman" w:cs="Times New Roman"/>
          <w:sz w:val="24"/>
          <w:szCs w:val="24"/>
        </w:rPr>
        <w:t xml:space="preserve">ji </w:t>
      </w:r>
      <w:r w:rsidR="00DB2C9C" w:rsidRPr="00951F7B">
        <w:rPr>
          <w:rFonts w:ascii="Times New Roman" w:hAnsi="Times New Roman" w:cs="Times New Roman"/>
          <w:sz w:val="24"/>
          <w:szCs w:val="24"/>
        </w:rPr>
        <w:t>cuadrad</w:t>
      </w:r>
      <w:r w:rsidR="00DB2C9C">
        <w:rPr>
          <w:rFonts w:ascii="Times New Roman" w:hAnsi="Times New Roman" w:cs="Times New Roman"/>
          <w:sz w:val="24"/>
          <w:szCs w:val="24"/>
        </w:rPr>
        <w:t>a,</w:t>
      </w:r>
      <w:r w:rsidR="00DB2C9C"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que es una prueba no paramétrica </w:t>
      </w:r>
      <w:r w:rsidR="00DB2C9C">
        <w:rPr>
          <w:rFonts w:ascii="Times New Roman" w:hAnsi="Times New Roman" w:cs="Times New Roman"/>
          <w:sz w:val="24"/>
          <w:szCs w:val="24"/>
        </w:rPr>
        <w:t>que permite</w:t>
      </w:r>
      <w:r w:rsidRPr="00951F7B">
        <w:rPr>
          <w:rFonts w:ascii="Times New Roman" w:hAnsi="Times New Roman" w:cs="Times New Roman"/>
          <w:sz w:val="24"/>
          <w:szCs w:val="24"/>
        </w:rPr>
        <w:t xml:space="preserve"> comprobar las hipótesis planteadas en la investigación. Mediante esta prueba es posible reconocer </w:t>
      </w:r>
      <w:r w:rsidR="00D5212D" w:rsidRPr="00951F7B">
        <w:rPr>
          <w:rFonts w:ascii="Times New Roman" w:hAnsi="Times New Roman" w:cs="Times New Roman"/>
          <w:sz w:val="24"/>
          <w:szCs w:val="24"/>
        </w:rPr>
        <w:t xml:space="preserve">el grado de significancia entre </w:t>
      </w:r>
      <w:r w:rsidRPr="00951F7B">
        <w:rPr>
          <w:rFonts w:ascii="Times New Roman" w:hAnsi="Times New Roman" w:cs="Times New Roman"/>
          <w:sz w:val="24"/>
          <w:szCs w:val="24"/>
        </w:rPr>
        <w:t>las variables en cuestión</w:t>
      </w:r>
      <w:r w:rsidR="00D5212D" w:rsidRPr="00951F7B">
        <w:rPr>
          <w:rFonts w:ascii="Times New Roman" w:hAnsi="Times New Roman" w:cs="Times New Roman"/>
          <w:sz w:val="24"/>
          <w:szCs w:val="24"/>
        </w:rPr>
        <w:t>.</w:t>
      </w:r>
    </w:p>
    <w:p w14:paraId="4808B25E" w14:textId="77777777" w:rsidR="005B2D21" w:rsidRPr="00145D7F" w:rsidRDefault="005B2D21" w:rsidP="00274328">
      <w:pPr>
        <w:spacing w:after="0" w:line="360" w:lineRule="auto"/>
        <w:jc w:val="center"/>
        <w:rPr>
          <w:rFonts w:ascii="Arial" w:eastAsia="Times New Roman" w:hAnsi="Arial" w:cs="Arial"/>
          <w:b/>
          <w:color w:val="000000"/>
          <w:sz w:val="28"/>
          <w:szCs w:val="28"/>
          <w:lang w:eastAsia="es-MX"/>
        </w:rPr>
      </w:pPr>
      <w:r w:rsidRPr="00145D7F">
        <w:rPr>
          <w:rFonts w:ascii="Times New Roman" w:eastAsiaTheme="majorEastAsia" w:hAnsi="Times New Roman" w:cs="Times New Roman"/>
          <w:b/>
          <w:sz w:val="32"/>
          <w:szCs w:val="28"/>
        </w:rPr>
        <w:lastRenderedPageBreak/>
        <w:t>Resultados</w:t>
      </w:r>
    </w:p>
    <w:p w14:paraId="10AF8E4D" w14:textId="127133AF" w:rsidR="005B2D21" w:rsidRPr="00951F7B" w:rsidRDefault="00F95137" w:rsidP="00951F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este estudio</w:t>
      </w:r>
      <w:r w:rsidR="005B2D21" w:rsidRPr="00951F7B">
        <w:rPr>
          <w:rFonts w:ascii="Times New Roman" w:hAnsi="Times New Roman" w:cs="Times New Roman"/>
          <w:sz w:val="24"/>
          <w:szCs w:val="24"/>
        </w:rPr>
        <w:t xml:space="preserve"> se consideraron como variables operativas de análisis, por un lado, los programas de estudio que contaban explícitamente con contenidos relacionados con la formación integral del estudiantado y de la sustentabilidad</w:t>
      </w:r>
      <w:r>
        <w:rPr>
          <w:rFonts w:ascii="Times New Roman" w:hAnsi="Times New Roman" w:cs="Times New Roman"/>
          <w:sz w:val="24"/>
          <w:szCs w:val="24"/>
        </w:rPr>
        <w:t>.</w:t>
      </w:r>
      <w:r w:rsidR="005B2D21" w:rsidRPr="00951F7B">
        <w:rPr>
          <w:rFonts w:ascii="Times New Roman" w:hAnsi="Times New Roman" w:cs="Times New Roman"/>
          <w:sz w:val="24"/>
          <w:szCs w:val="24"/>
        </w:rPr>
        <w:t xml:space="preserve"> </w:t>
      </w:r>
      <w:r>
        <w:rPr>
          <w:rFonts w:ascii="Times New Roman" w:hAnsi="Times New Roman" w:cs="Times New Roman"/>
          <w:sz w:val="24"/>
          <w:szCs w:val="24"/>
        </w:rPr>
        <w:t>E</w:t>
      </w:r>
      <w:r w:rsidRPr="00951F7B">
        <w:rPr>
          <w:rFonts w:ascii="Times New Roman" w:hAnsi="Times New Roman" w:cs="Times New Roman"/>
          <w:sz w:val="24"/>
          <w:szCs w:val="24"/>
        </w:rPr>
        <w:t xml:space="preserve">sta </w:t>
      </w:r>
      <w:r w:rsidR="005B2D21" w:rsidRPr="00951F7B">
        <w:rPr>
          <w:rFonts w:ascii="Times New Roman" w:hAnsi="Times New Roman" w:cs="Times New Roman"/>
          <w:sz w:val="24"/>
          <w:szCs w:val="24"/>
        </w:rPr>
        <w:t xml:space="preserve">variable es de carácter dicotómica </w:t>
      </w:r>
      <w:r>
        <w:rPr>
          <w:rFonts w:ascii="Times New Roman" w:hAnsi="Times New Roman" w:cs="Times New Roman"/>
          <w:sz w:val="24"/>
          <w:szCs w:val="24"/>
        </w:rPr>
        <w:t>y adquirió</w:t>
      </w:r>
      <w:r w:rsidRPr="00951F7B">
        <w:rPr>
          <w:rFonts w:ascii="Times New Roman" w:hAnsi="Times New Roman" w:cs="Times New Roman"/>
          <w:sz w:val="24"/>
          <w:szCs w:val="24"/>
        </w:rPr>
        <w:t xml:space="preserve"> </w:t>
      </w:r>
      <w:r w:rsidR="005B2D21" w:rsidRPr="00951F7B">
        <w:rPr>
          <w:rFonts w:ascii="Times New Roman" w:hAnsi="Times New Roman" w:cs="Times New Roman"/>
          <w:sz w:val="24"/>
          <w:szCs w:val="24"/>
        </w:rPr>
        <w:t>el valor</w:t>
      </w:r>
      <w:r>
        <w:rPr>
          <w:rFonts w:ascii="Times New Roman" w:hAnsi="Times New Roman" w:cs="Times New Roman"/>
          <w:sz w:val="24"/>
          <w:szCs w:val="24"/>
        </w:rPr>
        <w:t xml:space="preserve"> de uno</w:t>
      </w:r>
      <w:r w:rsidR="005B2D21" w:rsidRPr="00951F7B">
        <w:rPr>
          <w:rFonts w:ascii="Times New Roman" w:hAnsi="Times New Roman" w:cs="Times New Roman"/>
          <w:sz w:val="24"/>
          <w:szCs w:val="24"/>
        </w:rPr>
        <w:t xml:space="preserve"> cuando el atributo estaba presente y </w:t>
      </w:r>
      <w:r>
        <w:rPr>
          <w:rFonts w:ascii="Times New Roman" w:hAnsi="Times New Roman" w:cs="Times New Roman"/>
          <w:sz w:val="24"/>
          <w:szCs w:val="24"/>
        </w:rPr>
        <w:t>de cero</w:t>
      </w:r>
      <w:r w:rsidR="005B2D21" w:rsidRPr="00951F7B">
        <w:rPr>
          <w:rFonts w:ascii="Times New Roman" w:hAnsi="Times New Roman" w:cs="Times New Roman"/>
          <w:sz w:val="24"/>
          <w:szCs w:val="24"/>
        </w:rPr>
        <w:t xml:space="preserve"> en la ausencia de este contenido en alusión. </w:t>
      </w:r>
    </w:p>
    <w:p w14:paraId="45242F17" w14:textId="3E8337E9" w:rsidR="005B2D21"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Por otra parte, el año representó la segunda variable</w:t>
      </w:r>
      <w:r w:rsidR="00F95137">
        <w:rPr>
          <w:rFonts w:ascii="Times New Roman" w:hAnsi="Times New Roman" w:cs="Times New Roman"/>
          <w:sz w:val="24"/>
          <w:szCs w:val="24"/>
        </w:rPr>
        <w:t>:</w:t>
      </w:r>
      <w:r w:rsidRPr="00951F7B">
        <w:rPr>
          <w:rFonts w:ascii="Times New Roman" w:hAnsi="Times New Roman" w:cs="Times New Roman"/>
          <w:sz w:val="24"/>
          <w:szCs w:val="24"/>
        </w:rPr>
        <w:t xml:space="preserve"> se </w:t>
      </w:r>
      <w:r w:rsidR="00F95137" w:rsidRPr="00951F7B">
        <w:rPr>
          <w:rFonts w:ascii="Times New Roman" w:hAnsi="Times New Roman" w:cs="Times New Roman"/>
          <w:sz w:val="24"/>
          <w:szCs w:val="24"/>
        </w:rPr>
        <w:t>contrast</w:t>
      </w:r>
      <w:r w:rsidR="00F95137">
        <w:rPr>
          <w:rFonts w:ascii="Times New Roman" w:hAnsi="Times New Roman" w:cs="Times New Roman"/>
          <w:sz w:val="24"/>
          <w:szCs w:val="24"/>
        </w:rPr>
        <w:t>ó</w:t>
      </w:r>
      <w:r w:rsidR="00F95137"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si hubo un aumento significativo en la inclusión de este rasgo en los programas durante el periodo 2012 al 2016. </w:t>
      </w:r>
      <w:r w:rsidR="00746C78">
        <w:rPr>
          <w:rFonts w:ascii="Times New Roman" w:hAnsi="Times New Roman" w:cs="Times New Roman"/>
          <w:sz w:val="24"/>
          <w:szCs w:val="24"/>
        </w:rPr>
        <w:t>Lo anterior se llevó a cabo m</w:t>
      </w:r>
      <w:r w:rsidR="00746C78" w:rsidRPr="00951F7B">
        <w:rPr>
          <w:rFonts w:ascii="Times New Roman" w:hAnsi="Times New Roman" w:cs="Times New Roman"/>
          <w:sz w:val="24"/>
          <w:szCs w:val="24"/>
        </w:rPr>
        <w:t xml:space="preserve">ediante </w:t>
      </w:r>
      <w:r w:rsidRPr="00951F7B">
        <w:rPr>
          <w:rFonts w:ascii="Times New Roman" w:hAnsi="Times New Roman" w:cs="Times New Roman"/>
          <w:sz w:val="24"/>
          <w:szCs w:val="24"/>
        </w:rPr>
        <w:t xml:space="preserve">el estadístico de </w:t>
      </w:r>
      <w:r w:rsidR="00DB2C9C">
        <w:rPr>
          <w:rFonts w:ascii="Times New Roman" w:hAnsi="Times New Roman" w:cs="Times New Roman"/>
          <w:sz w:val="24"/>
          <w:szCs w:val="24"/>
        </w:rPr>
        <w:t>ji</w:t>
      </w:r>
      <w:r w:rsidR="00DB2C9C" w:rsidRPr="00951F7B">
        <w:rPr>
          <w:rFonts w:ascii="Times New Roman" w:hAnsi="Times New Roman" w:cs="Times New Roman"/>
          <w:sz w:val="24"/>
          <w:szCs w:val="24"/>
        </w:rPr>
        <w:t xml:space="preserve"> </w:t>
      </w:r>
      <w:r w:rsidRPr="00951F7B">
        <w:rPr>
          <w:rFonts w:ascii="Times New Roman" w:hAnsi="Times New Roman" w:cs="Times New Roman"/>
          <w:sz w:val="24"/>
          <w:szCs w:val="24"/>
        </w:rPr>
        <w:t>cuadrada, una prueba no paramétrica que permite evaluar si existe o no asociación entre dos</w:t>
      </w:r>
      <w:r w:rsidR="00C46D34" w:rsidRPr="00951F7B">
        <w:rPr>
          <w:rFonts w:ascii="Times New Roman" w:hAnsi="Times New Roman" w:cs="Times New Roman"/>
          <w:sz w:val="24"/>
          <w:szCs w:val="24"/>
        </w:rPr>
        <w:t xml:space="preserve"> variables y poner así </w:t>
      </w:r>
      <w:r w:rsidRPr="00951F7B">
        <w:rPr>
          <w:rFonts w:ascii="Times New Roman" w:hAnsi="Times New Roman" w:cs="Times New Roman"/>
          <w:sz w:val="24"/>
          <w:szCs w:val="24"/>
        </w:rPr>
        <w:t xml:space="preserve">a </w:t>
      </w:r>
      <w:r w:rsidR="00AB357C">
        <w:rPr>
          <w:rFonts w:ascii="Times New Roman" w:hAnsi="Times New Roman" w:cs="Times New Roman"/>
          <w:sz w:val="24"/>
          <w:szCs w:val="24"/>
        </w:rPr>
        <w:t>juicio</w:t>
      </w:r>
      <w:r w:rsidR="00AB357C"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la hipótesis planteada. El coeficiente utilizado como indicativo para determinar el grado de significancia fue </w:t>
      </w:r>
      <w:r w:rsidR="00AB357C">
        <w:rPr>
          <w:rFonts w:ascii="Times New Roman" w:hAnsi="Times New Roman" w:cs="Times New Roman"/>
          <w:sz w:val="24"/>
          <w:szCs w:val="24"/>
        </w:rPr>
        <w:t>un</w:t>
      </w:r>
      <w:r w:rsidR="00AB357C" w:rsidRPr="00951F7B">
        <w:rPr>
          <w:rFonts w:ascii="Times New Roman" w:hAnsi="Times New Roman" w:cs="Times New Roman"/>
          <w:sz w:val="24"/>
          <w:szCs w:val="24"/>
        </w:rPr>
        <w:t xml:space="preserve"> </w:t>
      </w:r>
      <w:r w:rsidRPr="00951F7B">
        <w:rPr>
          <w:rFonts w:ascii="Times New Roman" w:hAnsi="Times New Roman" w:cs="Times New Roman"/>
          <w:sz w:val="24"/>
          <w:szCs w:val="24"/>
        </w:rPr>
        <w:t>alfa</w:t>
      </w:r>
      <w:r w:rsidR="00AB357C">
        <w:rPr>
          <w:rFonts w:ascii="Times New Roman" w:hAnsi="Times New Roman" w:cs="Times New Roman"/>
          <w:sz w:val="24"/>
          <w:szCs w:val="24"/>
        </w:rPr>
        <w:t> de </w:t>
      </w:r>
      <w:r w:rsidRPr="00951F7B">
        <w:rPr>
          <w:rFonts w:ascii="Times New Roman" w:hAnsi="Times New Roman" w:cs="Times New Roman"/>
          <w:sz w:val="24"/>
          <w:szCs w:val="24"/>
        </w:rPr>
        <w:t>0.05. Para poner a prueba esta primera hipótesis</w:t>
      </w:r>
      <w:r w:rsidR="00AB357C">
        <w:rPr>
          <w:rFonts w:ascii="Times New Roman" w:hAnsi="Times New Roman" w:cs="Times New Roman"/>
          <w:sz w:val="24"/>
          <w:szCs w:val="24"/>
        </w:rPr>
        <w:t>,</w:t>
      </w:r>
      <w:r w:rsidRPr="00951F7B">
        <w:rPr>
          <w:rFonts w:ascii="Times New Roman" w:hAnsi="Times New Roman" w:cs="Times New Roman"/>
          <w:sz w:val="24"/>
          <w:szCs w:val="24"/>
        </w:rPr>
        <w:t xml:space="preserve"> se </w:t>
      </w:r>
      <w:r w:rsidR="00AB357C">
        <w:rPr>
          <w:rFonts w:ascii="Times New Roman" w:hAnsi="Times New Roman" w:cs="Times New Roman"/>
          <w:sz w:val="24"/>
          <w:szCs w:val="24"/>
        </w:rPr>
        <w:t>empleó el total</w:t>
      </w:r>
      <w:r w:rsidRPr="00951F7B">
        <w:rPr>
          <w:rFonts w:ascii="Times New Roman" w:hAnsi="Times New Roman" w:cs="Times New Roman"/>
          <w:sz w:val="24"/>
          <w:szCs w:val="24"/>
        </w:rPr>
        <w:t xml:space="preserve"> de los cas</w:t>
      </w:r>
      <w:r w:rsidR="00C46D34" w:rsidRPr="00951F7B">
        <w:rPr>
          <w:rFonts w:ascii="Times New Roman" w:hAnsi="Times New Roman" w:cs="Times New Roman"/>
          <w:sz w:val="24"/>
          <w:szCs w:val="24"/>
        </w:rPr>
        <w:t xml:space="preserve">os </w:t>
      </w:r>
      <w:r w:rsidR="00DC12EC" w:rsidRPr="00951F7B">
        <w:rPr>
          <w:rFonts w:ascii="Times New Roman" w:hAnsi="Times New Roman" w:cs="Times New Roman"/>
          <w:sz w:val="24"/>
          <w:szCs w:val="24"/>
        </w:rPr>
        <w:t>obtenidos</w:t>
      </w:r>
      <w:r w:rsidR="00AB357C">
        <w:rPr>
          <w:rFonts w:ascii="Times New Roman" w:hAnsi="Times New Roman" w:cs="Times New Roman"/>
          <w:sz w:val="24"/>
          <w:szCs w:val="24"/>
        </w:rPr>
        <w:t>,</w:t>
      </w:r>
      <w:r w:rsidR="00DC12EC" w:rsidRPr="00951F7B">
        <w:rPr>
          <w:rFonts w:ascii="Times New Roman" w:hAnsi="Times New Roman" w:cs="Times New Roman"/>
          <w:sz w:val="24"/>
          <w:szCs w:val="24"/>
        </w:rPr>
        <w:t xml:space="preserve"> que corresponde a </w:t>
      </w:r>
      <w:r w:rsidRPr="00951F7B">
        <w:rPr>
          <w:rFonts w:ascii="Times New Roman" w:hAnsi="Times New Roman" w:cs="Times New Roman"/>
          <w:sz w:val="24"/>
          <w:szCs w:val="24"/>
        </w:rPr>
        <w:t>1037 programas de estudio</w:t>
      </w:r>
      <w:r w:rsidR="00DC12EC" w:rsidRPr="00951F7B">
        <w:rPr>
          <w:rFonts w:ascii="Times New Roman" w:hAnsi="Times New Roman" w:cs="Times New Roman"/>
          <w:sz w:val="24"/>
          <w:szCs w:val="24"/>
        </w:rPr>
        <w:t xml:space="preserve">. Estos casos </w:t>
      </w:r>
      <w:r w:rsidR="00C20A16">
        <w:rPr>
          <w:rFonts w:ascii="Times New Roman" w:hAnsi="Times New Roman" w:cs="Times New Roman"/>
          <w:sz w:val="24"/>
          <w:szCs w:val="24"/>
        </w:rPr>
        <w:t>aluden</w:t>
      </w:r>
      <w:r w:rsidR="00C20A16"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a cada carrera de pregrado ofertada en el periodo 2012-2016 en la </w:t>
      </w:r>
      <w:r w:rsidR="00C20A16">
        <w:rPr>
          <w:rFonts w:ascii="Times New Roman" w:hAnsi="Times New Roman" w:cs="Times New Roman"/>
          <w:sz w:val="24"/>
          <w:szCs w:val="24"/>
        </w:rPr>
        <w:t>UdeG</w:t>
      </w:r>
      <w:r w:rsidRPr="00951F7B">
        <w:rPr>
          <w:rFonts w:ascii="Times New Roman" w:hAnsi="Times New Roman" w:cs="Times New Roman"/>
          <w:sz w:val="24"/>
          <w:szCs w:val="24"/>
        </w:rPr>
        <w:t xml:space="preserve">. En </w:t>
      </w:r>
      <w:r w:rsidR="00C46D34" w:rsidRPr="00951F7B">
        <w:rPr>
          <w:rFonts w:ascii="Times New Roman" w:hAnsi="Times New Roman" w:cs="Times New Roman"/>
          <w:sz w:val="24"/>
          <w:szCs w:val="24"/>
        </w:rPr>
        <w:t>la</w:t>
      </w:r>
      <w:r w:rsidRPr="00951F7B">
        <w:rPr>
          <w:rFonts w:ascii="Times New Roman" w:hAnsi="Times New Roman" w:cs="Times New Roman"/>
          <w:sz w:val="24"/>
          <w:szCs w:val="24"/>
        </w:rPr>
        <w:t xml:space="preserve"> </w:t>
      </w:r>
      <w:r w:rsidR="00C46D34" w:rsidRPr="00951F7B">
        <w:rPr>
          <w:rFonts w:ascii="Times New Roman" w:hAnsi="Times New Roman" w:cs="Times New Roman"/>
          <w:sz w:val="24"/>
          <w:szCs w:val="24"/>
        </w:rPr>
        <w:t>tabla</w:t>
      </w:r>
      <w:r w:rsidRPr="00951F7B">
        <w:rPr>
          <w:rFonts w:ascii="Times New Roman" w:hAnsi="Times New Roman" w:cs="Times New Roman"/>
          <w:sz w:val="24"/>
          <w:szCs w:val="24"/>
        </w:rPr>
        <w:t xml:space="preserve"> </w:t>
      </w:r>
      <w:r w:rsidR="00DC12EC" w:rsidRPr="00951F7B">
        <w:rPr>
          <w:rFonts w:ascii="Times New Roman" w:hAnsi="Times New Roman" w:cs="Times New Roman"/>
          <w:sz w:val="24"/>
          <w:szCs w:val="24"/>
        </w:rPr>
        <w:t>3</w:t>
      </w:r>
      <w:r w:rsidRPr="00951F7B">
        <w:rPr>
          <w:rFonts w:ascii="Times New Roman" w:hAnsi="Times New Roman" w:cs="Times New Roman"/>
          <w:sz w:val="24"/>
          <w:szCs w:val="24"/>
        </w:rPr>
        <w:t xml:space="preserve"> se puede apreciar el resultado obtenido de este análisis.</w:t>
      </w:r>
    </w:p>
    <w:p w14:paraId="734BAE81" w14:textId="77777777" w:rsidR="00951F7B" w:rsidRPr="00951F7B" w:rsidRDefault="00951F7B" w:rsidP="00951F7B">
      <w:pPr>
        <w:spacing w:after="0" w:line="360" w:lineRule="auto"/>
        <w:ind w:firstLine="709"/>
        <w:jc w:val="both"/>
        <w:rPr>
          <w:rFonts w:ascii="Times New Roman" w:hAnsi="Times New Roman" w:cs="Times New Roman"/>
          <w:sz w:val="24"/>
          <w:szCs w:val="24"/>
        </w:rPr>
      </w:pPr>
    </w:p>
    <w:p w14:paraId="6BE278A7" w14:textId="110BF5E4" w:rsidR="005B2D21" w:rsidRPr="00145D7F" w:rsidRDefault="00C46D34" w:rsidP="00951F7B">
      <w:pPr>
        <w:spacing w:after="0" w:line="360" w:lineRule="auto"/>
        <w:jc w:val="center"/>
        <w:rPr>
          <w:rFonts w:ascii="Times New Roman" w:eastAsia="Times New Roman" w:hAnsi="Times New Roman" w:cs="Times New Roman"/>
          <w:i/>
          <w:color w:val="000000"/>
          <w:sz w:val="24"/>
          <w:szCs w:val="28"/>
          <w:lang w:eastAsia="es-MX"/>
        </w:rPr>
      </w:pPr>
      <w:r w:rsidRPr="00145D7F">
        <w:rPr>
          <w:rFonts w:ascii="Times New Roman" w:eastAsia="Times New Roman" w:hAnsi="Times New Roman" w:cs="Times New Roman"/>
          <w:b/>
          <w:color w:val="000000"/>
          <w:sz w:val="24"/>
          <w:szCs w:val="28"/>
          <w:lang w:eastAsia="es-MX"/>
        </w:rPr>
        <w:t>Tabla</w:t>
      </w:r>
      <w:r w:rsidR="005B2D21" w:rsidRPr="00145D7F">
        <w:rPr>
          <w:rFonts w:ascii="Times New Roman" w:eastAsia="Times New Roman" w:hAnsi="Times New Roman" w:cs="Times New Roman"/>
          <w:b/>
          <w:color w:val="000000"/>
          <w:sz w:val="24"/>
          <w:szCs w:val="28"/>
          <w:lang w:eastAsia="es-MX"/>
        </w:rPr>
        <w:t xml:space="preserve"> </w:t>
      </w:r>
      <w:r w:rsidR="00DC12EC" w:rsidRPr="00145D7F">
        <w:rPr>
          <w:rFonts w:ascii="Times New Roman" w:eastAsia="Times New Roman" w:hAnsi="Times New Roman" w:cs="Times New Roman"/>
          <w:b/>
          <w:color w:val="000000"/>
          <w:sz w:val="24"/>
          <w:szCs w:val="28"/>
          <w:lang w:eastAsia="es-MX"/>
        </w:rPr>
        <w:t>3</w:t>
      </w:r>
      <w:r w:rsidR="00951F7B" w:rsidRPr="00145D7F">
        <w:rPr>
          <w:rFonts w:ascii="Times New Roman" w:eastAsia="Times New Roman" w:hAnsi="Times New Roman" w:cs="Times New Roman"/>
          <w:b/>
          <w:color w:val="000000"/>
          <w:sz w:val="24"/>
          <w:szCs w:val="28"/>
          <w:lang w:eastAsia="es-MX"/>
        </w:rPr>
        <w:t xml:space="preserve">. </w:t>
      </w:r>
      <w:r w:rsidR="005B2D21" w:rsidRPr="00145D7F">
        <w:rPr>
          <w:rFonts w:ascii="Times New Roman" w:eastAsia="Times New Roman" w:hAnsi="Times New Roman" w:cs="Times New Roman"/>
          <w:iCs/>
          <w:color w:val="000000"/>
          <w:sz w:val="24"/>
          <w:szCs w:val="28"/>
          <w:lang w:eastAsia="es-MX"/>
        </w:rPr>
        <w:t xml:space="preserve">Matriz de valores observados </w:t>
      </w:r>
      <w:r w:rsidR="002E24DD" w:rsidRPr="00145D7F">
        <w:rPr>
          <w:rFonts w:ascii="Times New Roman" w:eastAsia="Times New Roman" w:hAnsi="Times New Roman" w:cs="Times New Roman"/>
          <w:iCs/>
          <w:color w:val="000000"/>
          <w:sz w:val="24"/>
          <w:szCs w:val="28"/>
          <w:lang w:eastAsia="es-MX"/>
        </w:rPr>
        <w:t>en el periodo de</w:t>
      </w:r>
      <w:r w:rsidR="005B2D21" w:rsidRPr="00145D7F">
        <w:rPr>
          <w:rFonts w:ascii="Times New Roman" w:eastAsia="Times New Roman" w:hAnsi="Times New Roman" w:cs="Times New Roman"/>
          <w:iCs/>
          <w:color w:val="000000"/>
          <w:sz w:val="24"/>
          <w:szCs w:val="28"/>
          <w:lang w:eastAsia="es-MX"/>
        </w:rPr>
        <w:t xml:space="preserve"> estudio</w:t>
      </w:r>
    </w:p>
    <w:tbl>
      <w:tblPr>
        <w:tblStyle w:val="Tablaconcuadrcula"/>
        <w:tblW w:w="9923" w:type="dxa"/>
        <w:tblInd w:w="-572" w:type="dxa"/>
        <w:tblLook w:val="0000" w:firstRow="0" w:lastRow="0" w:firstColumn="0" w:lastColumn="0" w:noHBand="0" w:noVBand="0"/>
      </w:tblPr>
      <w:tblGrid>
        <w:gridCol w:w="1965"/>
        <w:gridCol w:w="683"/>
        <w:gridCol w:w="1376"/>
        <w:gridCol w:w="876"/>
        <w:gridCol w:w="876"/>
        <w:gridCol w:w="876"/>
        <w:gridCol w:w="876"/>
        <w:gridCol w:w="876"/>
        <w:gridCol w:w="1519"/>
      </w:tblGrid>
      <w:tr w:rsidR="005B2D21" w:rsidRPr="00274328" w14:paraId="37220B81" w14:textId="77777777" w:rsidTr="00951F7B">
        <w:tc>
          <w:tcPr>
            <w:tcW w:w="4024" w:type="dxa"/>
            <w:gridSpan w:val="3"/>
            <w:vMerge w:val="restart"/>
          </w:tcPr>
          <w:p w14:paraId="6A3B980D"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p>
        </w:tc>
        <w:tc>
          <w:tcPr>
            <w:tcW w:w="0" w:type="auto"/>
            <w:gridSpan w:val="5"/>
          </w:tcPr>
          <w:p w14:paraId="0B450E75"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Año</w:t>
            </w:r>
          </w:p>
        </w:tc>
        <w:tc>
          <w:tcPr>
            <w:tcW w:w="1519" w:type="dxa"/>
            <w:vMerge w:val="restart"/>
          </w:tcPr>
          <w:p w14:paraId="734848E9"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Total</w:t>
            </w:r>
          </w:p>
        </w:tc>
      </w:tr>
      <w:tr w:rsidR="005B2D21" w:rsidRPr="00274328" w14:paraId="1496D587" w14:textId="77777777" w:rsidTr="00951F7B">
        <w:tc>
          <w:tcPr>
            <w:tcW w:w="4024" w:type="dxa"/>
            <w:gridSpan w:val="3"/>
            <w:vMerge/>
          </w:tcPr>
          <w:p w14:paraId="30202D41"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tcPr>
          <w:p w14:paraId="5D74E4D6"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2012</w:t>
            </w:r>
          </w:p>
        </w:tc>
        <w:tc>
          <w:tcPr>
            <w:tcW w:w="0" w:type="auto"/>
          </w:tcPr>
          <w:p w14:paraId="687BD7DB"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2013</w:t>
            </w:r>
          </w:p>
        </w:tc>
        <w:tc>
          <w:tcPr>
            <w:tcW w:w="0" w:type="auto"/>
          </w:tcPr>
          <w:p w14:paraId="7214DEE5"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2014</w:t>
            </w:r>
          </w:p>
        </w:tc>
        <w:tc>
          <w:tcPr>
            <w:tcW w:w="0" w:type="auto"/>
          </w:tcPr>
          <w:p w14:paraId="25B7FE70"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2015</w:t>
            </w:r>
          </w:p>
        </w:tc>
        <w:tc>
          <w:tcPr>
            <w:tcW w:w="0" w:type="auto"/>
          </w:tcPr>
          <w:p w14:paraId="1EA8E349"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2016</w:t>
            </w:r>
          </w:p>
        </w:tc>
        <w:tc>
          <w:tcPr>
            <w:tcW w:w="1519" w:type="dxa"/>
            <w:vMerge/>
          </w:tcPr>
          <w:p w14:paraId="50241DC4"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r>
      <w:tr w:rsidR="005B2D21" w:rsidRPr="00274328" w14:paraId="176764DF" w14:textId="77777777" w:rsidTr="00951F7B">
        <w:trPr>
          <w:trHeight w:val="510"/>
        </w:trPr>
        <w:tc>
          <w:tcPr>
            <w:tcW w:w="1965" w:type="dxa"/>
            <w:vMerge w:val="restart"/>
          </w:tcPr>
          <w:p w14:paraId="798A500A" w14:textId="51A64405"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 xml:space="preserve">El programa cuenta con </w:t>
            </w:r>
            <w:r w:rsidR="00951F7B" w:rsidRPr="00274328">
              <w:rPr>
                <w:rFonts w:ascii="Times New Roman" w:hAnsi="Times New Roman" w:cs="Times New Roman"/>
                <w:color w:val="000000"/>
                <w:sz w:val="24"/>
                <w:szCs w:val="24"/>
              </w:rPr>
              <w:t>formación integral o sustentabilidad</w:t>
            </w:r>
          </w:p>
        </w:tc>
        <w:tc>
          <w:tcPr>
            <w:tcW w:w="0" w:type="auto"/>
            <w:vMerge w:val="restart"/>
          </w:tcPr>
          <w:p w14:paraId="4A2D9215" w14:textId="3AC90DFA" w:rsidR="005B2D21" w:rsidRPr="00274328" w:rsidRDefault="00951F7B"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No</w:t>
            </w:r>
          </w:p>
        </w:tc>
        <w:tc>
          <w:tcPr>
            <w:tcW w:w="0" w:type="auto"/>
          </w:tcPr>
          <w:p w14:paraId="514A129C"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Observado</w:t>
            </w:r>
          </w:p>
        </w:tc>
        <w:tc>
          <w:tcPr>
            <w:tcW w:w="0" w:type="auto"/>
          </w:tcPr>
          <w:p w14:paraId="21B8C27D"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142</w:t>
            </w:r>
          </w:p>
        </w:tc>
        <w:tc>
          <w:tcPr>
            <w:tcW w:w="0" w:type="auto"/>
          </w:tcPr>
          <w:p w14:paraId="480A0AC1"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145</w:t>
            </w:r>
          </w:p>
        </w:tc>
        <w:tc>
          <w:tcPr>
            <w:tcW w:w="0" w:type="auto"/>
          </w:tcPr>
          <w:p w14:paraId="444B63AE"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151</w:t>
            </w:r>
          </w:p>
        </w:tc>
        <w:tc>
          <w:tcPr>
            <w:tcW w:w="0" w:type="auto"/>
          </w:tcPr>
          <w:p w14:paraId="1B3BF4B0"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160</w:t>
            </w:r>
          </w:p>
        </w:tc>
        <w:tc>
          <w:tcPr>
            <w:tcW w:w="0" w:type="auto"/>
          </w:tcPr>
          <w:p w14:paraId="6626BBAF"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162</w:t>
            </w:r>
          </w:p>
        </w:tc>
        <w:tc>
          <w:tcPr>
            <w:tcW w:w="1519" w:type="dxa"/>
          </w:tcPr>
          <w:p w14:paraId="76FB07CE"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760</w:t>
            </w:r>
          </w:p>
        </w:tc>
      </w:tr>
      <w:tr w:rsidR="005B2D21" w:rsidRPr="00274328" w14:paraId="0E53AC4B" w14:textId="77777777" w:rsidTr="00951F7B">
        <w:trPr>
          <w:trHeight w:val="510"/>
        </w:trPr>
        <w:tc>
          <w:tcPr>
            <w:tcW w:w="1965" w:type="dxa"/>
            <w:vMerge/>
          </w:tcPr>
          <w:p w14:paraId="74957C60"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vMerge/>
          </w:tcPr>
          <w:p w14:paraId="25D16603"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tcPr>
          <w:p w14:paraId="6D4353BC"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Esperado</w:t>
            </w:r>
          </w:p>
        </w:tc>
        <w:tc>
          <w:tcPr>
            <w:tcW w:w="0" w:type="auto"/>
          </w:tcPr>
          <w:p w14:paraId="4AF03A8C"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142.9</w:t>
            </w:r>
          </w:p>
        </w:tc>
        <w:tc>
          <w:tcPr>
            <w:tcW w:w="0" w:type="auto"/>
          </w:tcPr>
          <w:p w14:paraId="7D02F262"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146.6</w:t>
            </w:r>
          </w:p>
        </w:tc>
        <w:tc>
          <w:tcPr>
            <w:tcW w:w="0" w:type="auto"/>
          </w:tcPr>
          <w:p w14:paraId="75199E85"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151.7</w:t>
            </w:r>
          </w:p>
        </w:tc>
        <w:tc>
          <w:tcPr>
            <w:tcW w:w="0" w:type="auto"/>
          </w:tcPr>
          <w:p w14:paraId="72E35D82"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156.1</w:t>
            </w:r>
          </w:p>
        </w:tc>
        <w:tc>
          <w:tcPr>
            <w:tcW w:w="0" w:type="auto"/>
          </w:tcPr>
          <w:p w14:paraId="1787348C"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162.7</w:t>
            </w:r>
          </w:p>
        </w:tc>
        <w:tc>
          <w:tcPr>
            <w:tcW w:w="1519" w:type="dxa"/>
          </w:tcPr>
          <w:p w14:paraId="38F79D20"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760.0</w:t>
            </w:r>
          </w:p>
        </w:tc>
      </w:tr>
      <w:tr w:rsidR="005B2D21" w:rsidRPr="00274328" w14:paraId="79D7F684" w14:textId="77777777" w:rsidTr="00951F7B">
        <w:trPr>
          <w:trHeight w:val="510"/>
        </w:trPr>
        <w:tc>
          <w:tcPr>
            <w:tcW w:w="1965" w:type="dxa"/>
            <w:vMerge/>
          </w:tcPr>
          <w:p w14:paraId="3B0580A7"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vMerge w:val="restart"/>
          </w:tcPr>
          <w:p w14:paraId="5D25647A" w14:textId="2881D158" w:rsidR="005B2D21" w:rsidRPr="00274328" w:rsidRDefault="00951F7B"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Sí</w:t>
            </w:r>
          </w:p>
        </w:tc>
        <w:tc>
          <w:tcPr>
            <w:tcW w:w="0" w:type="auto"/>
          </w:tcPr>
          <w:p w14:paraId="7E8C860A"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Observado</w:t>
            </w:r>
          </w:p>
        </w:tc>
        <w:tc>
          <w:tcPr>
            <w:tcW w:w="0" w:type="auto"/>
          </w:tcPr>
          <w:p w14:paraId="6FFF3926"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53</w:t>
            </w:r>
          </w:p>
        </w:tc>
        <w:tc>
          <w:tcPr>
            <w:tcW w:w="0" w:type="auto"/>
          </w:tcPr>
          <w:p w14:paraId="2D40490A"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55</w:t>
            </w:r>
          </w:p>
        </w:tc>
        <w:tc>
          <w:tcPr>
            <w:tcW w:w="0" w:type="auto"/>
          </w:tcPr>
          <w:p w14:paraId="163EBD35"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56</w:t>
            </w:r>
          </w:p>
        </w:tc>
        <w:tc>
          <w:tcPr>
            <w:tcW w:w="0" w:type="auto"/>
          </w:tcPr>
          <w:p w14:paraId="7FED530C"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53</w:t>
            </w:r>
          </w:p>
        </w:tc>
        <w:tc>
          <w:tcPr>
            <w:tcW w:w="0" w:type="auto"/>
          </w:tcPr>
          <w:p w14:paraId="4E97E76C"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60</w:t>
            </w:r>
          </w:p>
        </w:tc>
        <w:tc>
          <w:tcPr>
            <w:tcW w:w="1519" w:type="dxa"/>
          </w:tcPr>
          <w:p w14:paraId="34960203"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277</w:t>
            </w:r>
          </w:p>
        </w:tc>
      </w:tr>
      <w:tr w:rsidR="005B2D21" w:rsidRPr="00274328" w14:paraId="0A4439EE" w14:textId="77777777" w:rsidTr="00951F7B">
        <w:trPr>
          <w:trHeight w:val="510"/>
        </w:trPr>
        <w:tc>
          <w:tcPr>
            <w:tcW w:w="1965" w:type="dxa"/>
            <w:vMerge/>
          </w:tcPr>
          <w:p w14:paraId="6D192674"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vMerge/>
          </w:tcPr>
          <w:p w14:paraId="78E51DC2"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tcPr>
          <w:p w14:paraId="08B391CB"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Esperado</w:t>
            </w:r>
          </w:p>
        </w:tc>
        <w:tc>
          <w:tcPr>
            <w:tcW w:w="0" w:type="auto"/>
          </w:tcPr>
          <w:p w14:paraId="6BECC507"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52.1</w:t>
            </w:r>
          </w:p>
        </w:tc>
        <w:tc>
          <w:tcPr>
            <w:tcW w:w="0" w:type="auto"/>
          </w:tcPr>
          <w:p w14:paraId="754F84CB"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53.4</w:t>
            </w:r>
          </w:p>
        </w:tc>
        <w:tc>
          <w:tcPr>
            <w:tcW w:w="0" w:type="auto"/>
          </w:tcPr>
          <w:p w14:paraId="06A64547"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55.3</w:t>
            </w:r>
          </w:p>
        </w:tc>
        <w:tc>
          <w:tcPr>
            <w:tcW w:w="0" w:type="auto"/>
          </w:tcPr>
          <w:p w14:paraId="33BC6D11"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56.9</w:t>
            </w:r>
          </w:p>
        </w:tc>
        <w:tc>
          <w:tcPr>
            <w:tcW w:w="0" w:type="auto"/>
          </w:tcPr>
          <w:p w14:paraId="5EB0E876"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59.3</w:t>
            </w:r>
          </w:p>
        </w:tc>
        <w:tc>
          <w:tcPr>
            <w:tcW w:w="1519" w:type="dxa"/>
          </w:tcPr>
          <w:p w14:paraId="43D2D50D"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277.0</w:t>
            </w:r>
          </w:p>
        </w:tc>
      </w:tr>
      <w:tr w:rsidR="005B2D21" w:rsidRPr="00274328" w14:paraId="707A5EBD" w14:textId="77777777" w:rsidTr="00951F7B">
        <w:tc>
          <w:tcPr>
            <w:tcW w:w="2648" w:type="dxa"/>
            <w:gridSpan w:val="2"/>
            <w:vMerge w:val="restart"/>
          </w:tcPr>
          <w:p w14:paraId="766F09A4"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Total</w:t>
            </w:r>
          </w:p>
        </w:tc>
        <w:tc>
          <w:tcPr>
            <w:tcW w:w="0" w:type="auto"/>
          </w:tcPr>
          <w:p w14:paraId="1CD1E2E6"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Observado</w:t>
            </w:r>
          </w:p>
        </w:tc>
        <w:tc>
          <w:tcPr>
            <w:tcW w:w="0" w:type="auto"/>
          </w:tcPr>
          <w:p w14:paraId="3AFA5105"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195</w:t>
            </w:r>
          </w:p>
        </w:tc>
        <w:tc>
          <w:tcPr>
            <w:tcW w:w="0" w:type="auto"/>
          </w:tcPr>
          <w:p w14:paraId="300300E3"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200</w:t>
            </w:r>
          </w:p>
        </w:tc>
        <w:tc>
          <w:tcPr>
            <w:tcW w:w="0" w:type="auto"/>
          </w:tcPr>
          <w:p w14:paraId="7E45D6A8"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207</w:t>
            </w:r>
          </w:p>
        </w:tc>
        <w:tc>
          <w:tcPr>
            <w:tcW w:w="0" w:type="auto"/>
          </w:tcPr>
          <w:p w14:paraId="5848F533"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213</w:t>
            </w:r>
          </w:p>
        </w:tc>
        <w:tc>
          <w:tcPr>
            <w:tcW w:w="0" w:type="auto"/>
          </w:tcPr>
          <w:p w14:paraId="01F37D46"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222</w:t>
            </w:r>
          </w:p>
        </w:tc>
        <w:tc>
          <w:tcPr>
            <w:tcW w:w="1519" w:type="dxa"/>
          </w:tcPr>
          <w:p w14:paraId="75198E70"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1037</w:t>
            </w:r>
          </w:p>
        </w:tc>
      </w:tr>
      <w:tr w:rsidR="005B2D21" w:rsidRPr="00274328" w14:paraId="7FC771A6" w14:textId="77777777" w:rsidTr="00951F7B">
        <w:tc>
          <w:tcPr>
            <w:tcW w:w="2648" w:type="dxa"/>
            <w:gridSpan w:val="2"/>
            <w:vMerge/>
          </w:tcPr>
          <w:p w14:paraId="219179C4"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tcPr>
          <w:p w14:paraId="64F9067A"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Esperado</w:t>
            </w:r>
          </w:p>
        </w:tc>
        <w:tc>
          <w:tcPr>
            <w:tcW w:w="0" w:type="auto"/>
          </w:tcPr>
          <w:p w14:paraId="407A71F4"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195.0</w:t>
            </w:r>
          </w:p>
        </w:tc>
        <w:tc>
          <w:tcPr>
            <w:tcW w:w="0" w:type="auto"/>
          </w:tcPr>
          <w:p w14:paraId="34726C3E"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200.0</w:t>
            </w:r>
          </w:p>
        </w:tc>
        <w:tc>
          <w:tcPr>
            <w:tcW w:w="0" w:type="auto"/>
          </w:tcPr>
          <w:p w14:paraId="24AF4EC2"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207.0</w:t>
            </w:r>
          </w:p>
        </w:tc>
        <w:tc>
          <w:tcPr>
            <w:tcW w:w="0" w:type="auto"/>
          </w:tcPr>
          <w:p w14:paraId="746D1FD8"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213.0</w:t>
            </w:r>
          </w:p>
        </w:tc>
        <w:tc>
          <w:tcPr>
            <w:tcW w:w="0" w:type="auto"/>
          </w:tcPr>
          <w:p w14:paraId="196BAA97"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222.0</w:t>
            </w:r>
          </w:p>
        </w:tc>
        <w:tc>
          <w:tcPr>
            <w:tcW w:w="1519" w:type="dxa"/>
          </w:tcPr>
          <w:p w14:paraId="527C25EA"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1037.0</w:t>
            </w:r>
          </w:p>
        </w:tc>
      </w:tr>
    </w:tbl>
    <w:p w14:paraId="05CA34A8" w14:textId="77777777" w:rsidR="003A1A5C" w:rsidRPr="002B2DCD" w:rsidRDefault="003A1A5C" w:rsidP="003A1A5C">
      <w:pPr>
        <w:spacing w:after="0" w:line="360" w:lineRule="auto"/>
        <w:jc w:val="center"/>
        <w:rPr>
          <w:rFonts w:ascii="Times New Roman" w:eastAsia="Times New Roman" w:hAnsi="Times New Roman" w:cs="Times New Roman"/>
          <w:iCs/>
          <w:color w:val="000000"/>
          <w:sz w:val="24"/>
          <w:szCs w:val="24"/>
          <w:lang w:eastAsia="es-MX"/>
        </w:rPr>
      </w:pPr>
      <w:r w:rsidRPr="002B2DCD">
        <w:rPr>
          <w:rFonts w:ascii="Times New Roman" w:eastAsia="Times New Roman" w:hAnsi="Times New Roman" w:cs="Times New Roman"/>
          <w:iCs/>
          <w:color w:val="000000"/>
          <w:sz w:val="24"/>
          <w:szCs w:val="24"/>
          <w:lang w:eastAsia="es-MX"/>
        </w:rPr>
        <w:t>Fuente: Elaboración propia</w:t>
      </w:r>
    </w:p>
    <w:p w14:paraId="761C3D82" w14:textId="158581A9" w:rsidR="005B2D21" w:rsidRDefault="005B2D21" w:rsidP="00951F7B">
      <w:pPr>
        <w:spacing w:after="0" w:line="360" w:lineRule="auto"/>
        <w:ind w:firstLine="709"/>
        <w:jc w:val="both"/>
        <w:rPr>
          <w:rFonts w:ascii="Times New Roman" w:hAnsi="Times New Roman" w:cs="Times New Roman"/>
          <w:sz w:val="24"/>
          <w:szCs w:val="24"/>
        </w:rPr>
      </w:pPr>
      <w:r w:rsidRPr="009E45E8">
        <w:rPr>
          <w:rFonts w:ascii="Times New Roman" w:hAnsi="Times New Roman" w:cs="Times New Roman"/>
          <w:sz w:val="24"/>
          <w:szCs w:val="24"/>
        </w:rPr>
        <w:t xml:space="preserve">De acuerdo con </w:t>
      </w:r>
      <w:r w:rsidR="00C46D34" w:rsidRPr="009E45E8">
        <w:rPr>
          <w:rFonts w:ascii="Times New Roman" w:hAnsi="Times New Roman" w:cs="Times New Roman"/>
          <w:sz w:val="24"/>
          <w:szCs w:val="24"/>
        </w:rPr>
        <w:t>la</w:t>
      </w:r>
      <w:r w:rsidRPr="009E45E8">
        <w:rPr>
          <w:rFonts w:ascii="Times New Roman" w:hAnsi="Times New Roman" w:cs="Times New Roman"/>
          <w:sz w:val="24"/>
          <w:szCs w:val="24"/>
        </w:rPr>
        <w:t xml:space="preserve"> </w:t>
      </w:r>
      <w:r w:rsidR="00C46D34" w:rsidRPr="009E45E8">
        <w:rPr>
          <w:rFonts w:ascii="Times New Roman" w:hAnsi="Times New Roman" w:cs="Times New Roman"/>
          <w:sz w:val="24"/>
          <w:szCs w:val="24"/>
        </w:rPr>
        <w:t>tabla</w:t>
      </w:r>
      <w:r w:rsidRPr="009E45E8">
        <w:rPr>
          <w:rFonts w:ascii="Times New Roman" w:hAnsi="Times New Roman" w:cs="Times New Roman"/>
          <w:sz w:val="24"/>
          <w:szCs w:val="24"/>
        </w:rPr>
        <w:t xml:space="preserve"> </w:t>
      </w:r>
      <w:r w:rsidR="00DC12EC" w:rsidRPr="009E45E8">
        <w:rPr>
          <w:rFonts w:ascii="Times New Roman" w:hAnsi="Times New Roman" w:cs="Times New Roman"/>
          <w:sz w:val="24"/>
          <w:szCs w:val="24"/>
        </w:rPr>
        <w:t>3</w:t>
      </w:r>
      <w:r w:rsidRPr="009E45E8">
        <w:rPr>
          <w:rFonts w:ascii="Times New Roman" w:hAnsi="Times New Roman" w:cs="Times New Roman"/>
          <w:sz w:val="24"/>
          <w:szCs w:val="24"/>
        </w:rPr>
        <w:t xml:space="preserve">, </w:t>
      </w:r>
      <w:r w:rsidR="00C46D34" w:rsidRPr="009E45E8">
        <w:rPr>
          <w:rFonts w:ascii="Times New Roman" w:hAnsi="Times New Roman" w:cs="Times New Roman"/>
          <w:sz w:val="24"/>
          <w:szCs w:val="24"/>
        </w:rPr>
        <w:t>l</w:t>
      </w:r>
      <w:r w:rsidRPr="009E45E8">
        <w:rPr>
          <w:rFonts w:ascii="Times New Roman" w:hAnsi="Times New Roman" w:cs="Times New Roman"/>
          <w:sz w:val="24"/>
          <w:szCs w:val="24"/>
        </w:rPr>
        <w:t>a variable explicada o dependiente corresponde al programa de estudio que cuenta o no con la perspectiva de la formación integral como un atributo que está (valor</w:t>
      </w:r>
      <w:r w:rsidR="009E45E8">
        <w:rPr>
          <w:rFonts w:ascii="Times New Roman" w:hAnsi="Times New Roman" w:cs="Times New Roman"/>
          <w:sz w:val="24"/>
          <w:szCs w:val="24"/>
        </w:rPr>
        <w:t xml:space="preserve"> </w:t>
      </w:r>
      <w:r w:rsidRPr="009E45E8">
        <w:rPr>
          <w:rFonts w:ascii="Times New Roman" w:hAnsi="Times New Roman" w:cs="Times New Roman"/>
          <w:sz w:val="24"/>
          <w:szCs w:val="24"/>
        </w:rPr>
        <w:t>=</w:t>
      </w:r>
      <w:r w:rsidR="009E45E8">
        <w:rPr>
          <w:rFonts w:ascii="Times New Roman" w:hAnsi="Times New Roman" w:cs="Times New Roman"/>
          <w:sz w:val="24"/>
          <w:szCs w:val="24"/>
        </w:rPr>
        <w:t xml:space="preserve"> </w:t>
      </w:r>
      <w:r w:rsidRPr="009E45E8">
        <w:rPr>
          <w:rFonts w:ascii="Times New Roman" w:hAnsi="Times New Roman" w:cs="Times New Roman"/>
          <w:sz w:val="24"/>
          <w:szCs w:val="24"/>
        </w:rPr>
        <w:t>1) o no presente (valor</w:t>
      </w:r>
      <w:r w:rsidR="009E45E8">
        <w:rPr>
          <w:rFonts w:ascii="Times New Roman" w:hAnsi="Times New Roman" w:cs="Times New Roman"/>
          <w:sz w:val="24"/>
          <w:szCs w:val="24"/>
        </w:rPr>
        <w:t xml:space="preserve"> </w:t>
      </w:r>
      <w:r w:rsidRPr="009E45E8">
        <w:rPr>
          <w:rFonts w:ascii="Times New Roman" w:hAnsi="Times New Roman" w:cs="Times New Roman"/>
          <w:sz w:val="24"/>
          <w:szCs w:val="24"/>
        </w:rPr>
        <w:t>=</w:t>
      </w:r>
      <w:r w:rsidR="009E45E8">
        <w:rPr>
          <w:rFonts w:ascii="Times New Roman" w:hAnsi="Times New Roman" w:cs="Times New Roman"/>
          <w:sz w:val="24"/>
          <w:szCs w:val="24"/>
        </w:rPr>
        <w:t xml:space="preserve"> </w:t>
      </w:r>
      <w:r w:rsidRPr="009E45E8">
        <w:rPr>
          <w:rFonts w:ascii="Times New Roman" w:hAnsi="Times New Roman" w:cs="Times New Roman"/>
          <w:sz w:val="24"/>
          <w:szCs w:val="24"/>
        </w:rPr>
        <w:t xml:space="preserve">0). Como se puede observar en los casilleros de </w:t>
      </w:r>
      <w:r w:rsidR="009E45E8">
        <w:rPr>
          <w:rFonts w:ascii="Times New Roman" w:hAnsi="Times New Roman" w:cs="Times New Roman"/>
          <w:sz w:val="24"/>
          <w:szCs w:val="24"/>
        </w:rPr>
        <w:t>“O</w:t>
      </w:r>
      <w:r w:rsidR="009E45E8" w:rsidRPr="009E45E8">
        <w:rPr>
          <w:rFonts w:ascii="Times New Roman" w:hAnsi="Times New Roman" w:cs="Times New Roman"/>
          <w:sz w:val="24"/>
          <w:szCs w:val="24"/>
        </w:rPr>
        <w:t>bservado</w:t>
      </w:r>
      <w:r w:rsidR="009E45E8">
        <w:rPr>
          <w:rFonts w:ascii="Times New Roman" w:hAnsi="Times New Roman" w:cs="Times New Roman"/>
          <w:sz w:val="24"/>
          <w:szCs w:val="24"/>
        </w:rPr>
        <w:t>”</w:t>
      </w:r>
      <w:r w:rsidRPr="009E45E8">
        <w:rPr>
          <w:rFonts w:ascii="Times New Roman" w:hAnsi="Times New Roman" w:cs="Times New Roman"/>
          <w:sz w:val="24"/>
          <w:szCs w:val="24"/>
        </w:rPr>
        <w:t xml:space="preserve">, el atributo está presente en la variable estudiada, hubo un aumento en el número de programas que integraban la perspectiva de la formación integral y la </w:t>
      </w:r>
      <w:r w:rsidRPr="009E45E8">
        <w:rPr>
          <w:rFonts w:ascii="Times New Roman" w:hAnsi="Times New Roman" w:cs="Times New Roman"/>
          <w:sz w:val="24"/>
          <w:szCs w:val="24"/>
        </w:rPr>
        <w:lastRenderedPageBreak/>
        <w:t xml:space="preserve">sustentabilidad. No obstante, el valor calculado con la prueba muestra un indicio de que esta diferencia del valor entre observado y lo esperado es ínfima. </w:t>
      </w:r>
      <w:r w:rsidR="00C46D34" w:rsidRPr="009E45E8">
        <w:rPr>
          <w:rFonts w:ascii="Times New Roman" w:hAnsi="Times New Roman" w:cs="Times New Roman"/>
          <w:sz w:val="24"/>
          <w:szCs w:val="24"/>
        </w:rPr>
        <w:t>La tabla</w:t>
      </w:r>
      <w:r w:rsidRPr="009E45E8">
        <w:rPr>
          <w:rFonts w:ascii="Times New Roman" w:hAnsi="Times New Roman" w:cs="Times New Roman"/>
          <w:sz w:val="24"/>
          <w:szCs w:val="24"/>
        </w:rPr>
        <w:t xml:space="preserve"> </w:t>
      </w:r>
      <w:r w:rsidR="00DC12EC" w:rsidRPr="009E45E8">
        <w:rPr>
          <w:rFonts w:ascii="Times New Roman" w:hAnsi="Times New Roman" w:cs="Times New Roman"/>
          <w:sz w:val="24"/>
          <w:szCs w:val="24"/>
        </w:rPr>
        <w:t>4</w:t>
      </w:r>
      <w:r w:rsidR="00C46D34" w:rsidRPr="009E45E8">
        <w:rPr>
          <w:rFonts w:ascii="Times New Roman" w:hAnsi="Times New Roman" w:cs="Times New Roman"/>
          <w:sz w:val="24"/>
          <w:szCs w:val="24"/>
        </w:rPr>
        <w:t xml:space="preserve"> </w:t>
      </w:r>
      <w:r w:rsidRPr="009E45E8">
        <w:rPr>
          <w:rFonts w:ascii="Times New Roman" w:hAnsi="Times New Roman" w:cs="Times New Roman"/>
          <w:sz w:val="24"/>
          <w:szCs w:val="24"/>
        </w:rPr>
        <w:t>muestra si el aumento gradual</w:t>
      </w:r>
      <w:r w:rsidR="00C46D34" w:rsidRPr="009E45E8">
        <w:rPr>
          <w:rFonts w:ascii="Times New Roman" w:hAnsi="Times New Roman" w:cs="Times New Roman"/>
          <w:sz w:val="24"/>
          <w:szCs w:val="24"/>
        </w:rPr>
        <w:t xml:space="preserve"> en el periodo es estadísticamente significativo.</w:t>
      </w:r>
    </w:p>
    <w:p w14:paraId="390023A6" w14:textId="77777777" w:rsidR="00274328" w:rsidRPr="00951F7B" w:rsidRDefault="00274328" w:rsidP="00951F7B">
      <w:pPr>
        <w:spacing w:after="0" w:line="360" w:lineRule="auto"/>
        <w:ind w:firstLine="709"/>
        <w:jc w:val="both"/>
        <w:rPr>
          <w:rFonts w:ascii="Times New Roman" w:hAnsi="Times New Roman" w:cs="Times New Roman"/>
          <w:sz w:val="24"/>
          <w:szCs w:val="24"/>
        </w:rPr>
      </w:pPr>
    </w:p>
    <w:p w14:paraId="347099B7" w14:textId="3DCBF1F5" w:rsidR="005B2D21" w:rsidRPr="00145D7F" w:rsidRDefault="00C46D34" w:rsidP="00951F7B">
      <w:pPr>
        <w:spacing w:after="0" w:line="360" w:lineRule="auto"/>
        <w:jc w:val="center"/>
        <w:rPr>
          <w:rFonts w:ascii="Times New Roman" w:eastAsia="Times New Roman" w:hAnsi="Times New Roman" w:cs="Times New Roman"/>
          <w:b/>
          <w:iCs/>
          <w:color w:val="000000"/>
          <w:sz w:val="24"/>
          <w:szCs w:val="28"/>
          <w:lang w:eastAsia="es-MX"/>
        </w:rPr>
      </w:pPr>
      <w:r w:rsidRPr="00145D7F">
        <w:rPr>
          <w:rFonts w:ascii="Times New Roman" w:eastAsia="Times New Roman" w:hAnsi="Times New Roman" w:cs="Times New Roman"/>
          <w:b/>
          <w:color w:val="000000"/>
          <w:sz w:val="24"/>
          <w:szCs w:val="28"/>
          <w:lang w:eastAsia="es-MX"/>
        </w:rPr>
        <w:t>Tabla</w:t>
      </w:r>
      <w:r w:rsidR="005B2D21" w:rsidRPr="00145D7F">
        <w:rPr>
          <w:rFonts w:ascii="Times New Roman" w:eastAsia="Times New Roman" w:hAnsi="Times New Roman" w:cs="Times New Roman"/>
          <w:b/>
          <w:color w:val="000000"/>
          <w:sz w:val="24"/>
          <w:szCs w:val="28"/>
          <w:lang w:eastAsia="es-MX"/>
        </w:rPr>
        <w:t xml:space="preserve"> </w:t>
      </w:r>
      <w:r w:rsidR="00DC12EC" w:rsidRPr="00145D7F">
        <w:rPr>
          <w:rFonts w:ascii="Times New Roman" w:eastAsia="Times New Roman" w:hAnsi="Times New Roman" w:cs="Times New Roman"/>
          <w:b/>
          <w:color w:val="000000"/>
          <w:sz w:val="24"/>
          <w:szCs w:val="28"/>
          <w:lang w:eastAsia="es-MX"/>
        </w:rPr>
        <w:t>4</w:t>
      </w:r>
      <w:r w:rsidR="00951F7B" w:rsidRPr="00145D7F">
        <w:rPr>
          <w:rFonts w:ascii="Times New Roman" w:eastAsia="Times New Roman" w:hAnsi="Times New Roman" w:cs="Times New Roman"/>
          <w:b/>
          <w:color w:val="000000"/>
          <w:sz w:val="24"/>
          <w:szCs w:val="28"/>
          <w:lang w:eastAsia="es-MX"/>
        </w:rPr>
        <w:t xml:space="preserve">. </w:t>
      </w:r>
      <w:r w:rsidR="005B2D21" w:rsidRPr="00145D7F">
        <w:rPr>
          <w:rFonts w:ascii="Times New Roman" w:eastAsia="Times New Roman" w:hAnsi="Times New Roman" w:cs="Times New Roman"/>
          <w:iCs/>
          <w:color w:val="000000"/>
          <w:sz w:val="24"/>
          <w:szCs w:val="28"/>
          <w:lang w:eastAsia="es-MX"/>
        </w:rPr>
        <w:t>Resultado de la prueba de significancia</w:t>
      </w:r>
      <w:r w:rsidR="002E24DD" w:rsidRPr="00145D7F">
        <w:rPr>
          <w:rFonts w:ascii="Times New Roman" w:eastAsia="Times New Roman" w:hAnsi="Times New Roman" w:cs="Times New Roman"/>
          <w:iCs/>
          <w:color w:val="000000"/>
          <w:sz w:val="24"/>
          <w:szCs w:val="28"/>
          <w:lang w:eastAsia="es-MX"/>
        </w:rPr>
        <w:t xml:space="preserve"> para la hipótesis </w:t>
      </w:r>
      <w:r w:rsidR="000D0627">
        <w:rPr>
          <w:rFonts w:ascii="Times New Roman" w:eastAsia="Times New Roman" w:hAnsi="Times New Roman" w:cs="Times New Roman"/>
          <w:iCs/>
          <w:color w:val="000000"/>
          <w:sz w:val="24"/>
          <w:szCs w:val="28"/>
          <w:lang w:eastAsia="es-MX"/>
        </w:rPr>
        <w:t>uno (H1)</w:t>
      </w:r>
    </w:p>
    <w:tbl>
      <w:tblPr>
        <w:tblStyle w:val="Tablaconcuadrcula"/>
        <w:tblW w:w="0" w:type="auto"/>
        <w:jc w:val="center"/>
        <w:tblLook w:val="0000" w:firstRow="0" w:lastRow="0" w:firstColumn="0" w:lastColumn="0" w:noHBand="0" w:noVBand="0"/>
      </w:tblPr>
      <w:tblGrid>
        <w:gridCol w:w="3035"/>
        <w:gridCol w:w="948"/>
        <w:gridCol w:w="590"/>
        <w:gridCol w:w="2456"/>
      </w:tblGrid>
      <w:tr w:rsidR="005B2D21" w:rsidRPr="00274328" w14:paraId="62099738" w14:textId="77777777" w:rsidTr="00951F7B">
        <w:trPr>
          <w:jc w:val="center"/>
        </w:trPr>
        <w:tc>
          <w:tcPr>
            <w:tcW w:w="0" w:type="auto"/>
          </w:tcPr>
          <w:p w14:paraId="5EC5D420"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p>
        </w:tc>
        <w:tc>
          <w:tcPr>
            <w:tcW w:w="0" w:type="auto"/>
          </w:tcPr>
          <w:p w14:paraId="6667B6E0"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proofErr w:type="spellStart"/>
            <w:r w:rsidRPr="00274328">
              <w:rPr>
                <w:rFonts w:ascii="Times New Roman" w:hAnsi="Times New Roman" w:cs="Times New Roman"/>
                <w:color w:val="000000"/>
                <w:sz w:val="24"/>
                <w:szCs w:val="24"/>
              </w:rPr>
              <w:t>Value</w:t>
            </w:r>
            <w:proofErr w:type="spellEnd"/>
          </w:p>
        </w:tc>
        <w:tc>
          <w:tcPr>
            <w:tcW w:w="0" w:type="auto"/>
          </w:tcPr>
          <w:p w14:paraId="33DF94C1" w14:textId="6EB30FC6" w:rsidR="005B2D21" w:rsidRPr="00274328" w:rsidRDefault="001C64B6" w:rsidP="00951F7B">
            <w:pPr>
              <w:autoSpaceDE w:val="0"/>
              <w:autoSpaceDN w:val="0"/>
              <w:adjustRightInd w:val="0"/>
              <w:spacing w:line="360" w:lineRule="auto"/>
              <w:ind w:left="60" w:right="60"/>
              <w:jc w:val="center"/>
              <w:rPr>
                <w:rFonts w:ascii="Times New Roman" w:hAnsi="Times New Roman" w:cs="Times New Roman"/>
                <w:color w:val="000000"/>
                <w:sz w:val="24"/>
                <w:szCs w:val="24"/>
              </w:rPr>
            </w:pPr>
            <w:proofErr w:type="spellStart"/>
            <w:r w:rsidRPr="00274328">
              <w:rPr>
                <w:rFonts w:ascii="Times New Roman" w:hAnsi="Times New Roman" w:cs="Times New Roman"/>
                <w:color w:val="000000"/>
                <w:sz w:val="24"/>
                <w:szCs w:val="24"/>
              </w:rPr>
              <w:t>D</w:t>
            </w:r>
            <w:r w:rsidR="005B2D21" w:rsidRPr="00274328">
              <w:rPr>
                <w:rFonts w:ascii="Times New Roman" w:hAnsi="Times New Roman" w:cs="Times New Roman"/>
                <w:color w:val="000000"/>
                <w:sz w:val="24"/>
                <w:szCs w:val="24"/>
              </w:rPr>
              <w:t>f</w:t>
            </w:r>
            <w:proofErr w:type="spellEnd"/>
          </w:p>
        </w:tc>
        <w:tc>
          <w:tcPr>
            <w:tcW w:w="0" w:type="auto"/>
          </w:tcPr>
          <w:p w14:paraId="235A80BD"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proofErr w:type="spellStart"/>
            <w:r w:rsidRPr="00274328">
              <w:rPr>
                <w:rFonts w:ascii="Times New Roman" w:hAnsi="Times New Roman" w:cs="Times New Roman"/>
                <w:color w:val="000000"/>
                <w:sz w:val="24"/>
                <w:szCs w:val="24"/>
              </w:rPr>
              <w:t>Asymp</w:t>
            </w:r>
            <w:proofErr w:type="spellEnd"/>
            <w:r w:rsidRPr="00274328">
              <w:rPr>
                <w:rFonts w:ascii="Times New Roman" w:hAnsi="Times New Roman" w:cs="Times New Roman"/>
                <w:color w:val="000000"/>
                <w:sz w:val="24"/>
                <w:szCs w:val="24"/>
              </w:rPr>
              <w:t>. Sig. (2-sided)</w:t>
            </w:r>
          </w:p>
        </w:tc>
      </w:tr>
      <w:tr w:rsidR="005B2D21" w:rsidRPr="00274328" w14:paraId="288C6E14" w14:textId="77777777" w:rsidTr="00951F7B">
        <w:trPr>
          <w:jc w:val="center"/>
        </w:trPr>
        <w:tc>
          <w:tcPr>
            <w:tcW w:w="0" w:type="auto"/>
          </w:tcPr>
          <w:p w14:paraId="24FB20E7" w14:textId="3C3CDD69"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 xml:space="preserve">Pearson </w:t>
            </w:r>
            <w:r w:rsidR="0075712A" w:rsidRPr="00274328">
              <w:rPr>
                <w:rFonts w:ascii="Times New Roman" w:hAnsi="Times New Roman" w:cs="Times New Roman"/>
                <w:color w:val="000000"/>
                <w:sz w:val="24"/>
                <w:szCs w:val="24"/>
              </w:rPr>
              <w:t>c</w:t>
            </w:r>
            <w:r w:rsidRPr="00274328">
              <w:rPr>
                <w:rFonts w:ascii="Times New Roman" w:hAnsi="Times New Roman" w:cs="Times New Roman"/>
                <w:color w:val="000000"/>
                <w:sz w:val="24"/>
                <w:szCs w:val="24"/>
              </w:rPr>
              <w:t>hi-</w:t>
            </w:r>
            <w:proofErr w:type="spellStart"/>
            <w:r w:rsidR="0075712A" w:rsidRPr="00274328">
              <w:rPr>
                <w:rFonts w:ascii="Times New Roman" w:hAnsi="Times New Roman" w:cs="Times New Roman"/>
                <w:color w:val="000000"/>
                <w:sz w:val="24"/>
                <w:szCs w:val="24"/>
              </w:rPr>
              <w:t>s</w:t>
            </w:r>
            <w:r w:rsidRPr="00274328">
              <w:rPr>
                <w:rFonts w:ascii="Times New Roman" w:hAnsi="Times New Roman" w:cs="Times New Roman"/>
                <w:color w:val="000000"/>
                <w:sz w:val="24"/>
                <w:szCs w:val="24"/>
              </w:rPr>
              <w:t>quare</w:t>
            </w:r>
            <w:proofErr w:type="spellEnd"/>
          </w:p>
        </w:tc>
        <w:tc>
          <w:tcPr>
            <w:tcW w:w="0" w:type="auto"/>
          </w:tcPr>
          <w:p w14:paraId="512A046D" w14:textId="16FE1563" w:rsidR="005B2D21" w:rsidRPr="00274328" w:rsidRDefault="00951F7B"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r w:rsidR="005B2D21" w:rsidRPr="00274328">
              <w:rPr>
                <w:rFonts w:ascii="Times New Roman" w:hAnsi="Times New Roman" w:cs="Times New Roman"/>
                <w:color w:val="000000"/>
                <w:sz w:val="24"/>
                <w:szCs w:val="24"/>
              </w:rPr>
              <w:t>.473</w:t>
            </w:r>
            <w:r w:rsidR="005B2D21" w:rsidRPr="00274328">
              <w:rPr>
                <w:rFonts w:ascii="Times New Roman" w:hAnsi="Times New Roman" w:cs="Times New Roman"/>
                <w:color w:val="000000"/>
                <w:sz w:val="24"/>
                <w:szCs w:val="24"/>
                <w:vertAlign w:val="superscript"/>
              </w:rPr>
              <w:t>a</w:t>
            </w:r>
          </w:p>
        </w:tc>
        <w:tc>
          <w:tcPr>
            <w:tcW w:w="0" w:type="auto"/>
          </w:tcPr>
          <w:p w14:paraId="53F8A083"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4</w:t>
            </w:r>
          </w:p>
        </w:tc>
        <w:tc>
          <w:tcPr>
            <w:tcW w:w="0" w:type="auto"/>
          </w:tcPr>
          <w:p w14:paraId="0432B668" w14:textId="3467A05A" w:rsidR="005B2D21" w:rsidRPr="00274328" w:rsidRDefault="00951F7B"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r w:rsidR="005B2D21" w:rsidRPr="00274328">
              <w:rPr>
                <w:rFonts w:ascii="Times New Roman" w:hAnsi="Times New Roman" w:cs="Times New Roman"/>
                <w:color w:val="000000"/>
                <w:sz w:val="24"/>
                <w:szCs w:val="24"/>
              </w:rPr>
              <w:t>.976</w:t>
            </w:r>
          </w:p>
        </w:tc>
      </w:tr>
      <w:tr w:rsidR="005B2D21" w:rsidRPr="00274328" w14:paraId="3061CD98" w14:textId="77777777" w:rsidTr="00951F7B">
        <w:trPr>
          <w:jc w:val="center"/>
        </w:trPr>
        <w:tc>
          <w:tcPr>
            <w:tcW w:w="0" w:type="auto"/>
          </w:tcPr>
          <w:p w14:paraId="2E67B4E2" w14:textId="0606CD14"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proofErr w:type="spellStart"/>
            <w:r w:rsidRPr="00274328">
              <w:rPr>
                <w:rFonts w:ascii="Times New Roman" w:hAnsi="Times New Roman" w:cs="Times New Roman"/>
                <w:color w:val="000000"/>
                <w:sz w:val="24"/>
                <w:szCs w:val="24"/>
              </w:rPr>
              <w:t>Likelihood</w:t>
            </w:r>
            <w:proofErr w:type="spellEnd"/>
            <w:r w:rsidRPr="00274328">
              <w:rPr>
                <w:rFonts w:ascii="Times New Roman" w:hAnsi="Times New Roman" w:cs="Times New Roman"/>
                <w:color w:val="000000"/>
                <w:sz w:val="24"/>
                <w:szCs w:val="24"/>
              </w:rPr>
              <w:t xml:space="preserve"> </w:t>
            </w:r>
            <w:r w:rsidR="0075712A" w:rsidRPr="00274328">
              <w:rPr>
                <w:rFonts w:ascii="Times New Roman" w:hAnsi="Times New Roman" w:cs="Times New Roman"/>
                <w:color w:val="000000"/>
                <w:sz w:val="24"/>
                <w:szCs w:val="24"/>
              </w:rPr>
              <w:t>r</w:t>
            </w:r>
            <w:r w:rsidRPr="00274328">
              <w:rPr>
                <w:rFonts w:ascii="Times New Roman" w:hAnsi="Times New Roman" w:cs="Times New Roman"/>
                <w:color w:val="000000"/>
                <w:sz w:val="24"/>
                <w:szCs w:val="24"/>
              </w:rPr>
              <w:t>atio</w:t>
            </w:r>
          </w:p>
        </w:tc>
        <w:tc>
          <w:tcPr>
            <w:tcW w:w="0" w:type="auto"/>
          </w:tcPr>
          <w:p w14:paraId="5B92FDBE" w14:textId="2C8732D6" w:rsidR="005B2D21" w:rsidRPr="00274328" w:rsidRDefault="00951F7B"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r w:rsidR="005B2D21" w:rsidRPr="00274328">
              <w:rPr>
                <w:rFonts w:ascii="Times New Roman" w:hAnsi="Times New Roman" w:cs="Times New Roman"/>
                <w:color w:val="000000"/>
                <w:sz w:val="24"/>
                <w:szCs w:val="24"/>
              </w:rPr>
              <w:t>.478</w:t>
            </w:r>
          </w:p>
        </w:tc>
        <w:tc>
          <w:tcPr>
            <w:tcW w:w="0" w:type="auto"/>
          </w:tcPr>
          <w:p w14:paraId="311D5258"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4</w:t>
            </w:r>
          </w:p>
        </w:tc>
        <w:tc>
          <w:tcPr>
            <w:tcW w:w="0" w:type="auto"/>
          </w:tcPr>
          <w:p w14:paraId="4CECB829" w14:textId="067F6E85" w:rsidR="005B2D21" w:rsidRPr="00274328" w:rsidRDefault="00951F7B"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r w:rsidR="005B2D21" w:rsidRPr="00274328">
              <w:rPr>
                <w:rFonts w:ascii="Times New Roman" w:hAnsi="Times New Roman" w:cs="Times New Roman"/>
                <w:color w:val="000000"/>
                <w:sz w:val="24"/>
                <w:szCs w:val="24"/>
              </w:rPr>
              <w:t>.976</w:t>
            </w:r>
          </w:p>
        </w:tc>
      </w:tr>
      <w:tr w:rsidR="005B2D21" w:rsidRPr="00274328" w14:paraId="30ADEE8B" w14:textId="77777777" w:rsidTr="00951F7B">
        <w:trPr>
          <w:jc w:val="center"/>
        </w:trPr>
        <w:tc>
          <w:tcPr>
            <w:tcW w:w="0" w:type="auto"/>
          </w:tcPr>
          <w:p w14:paraId="33190BBF" w14:textId="7A20D0DD"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Linear-</w:t>
            </w:r>
            <w:proofErr w:type="spellStart"/>
            <w:r w:rsidRPr="00274328">
              <w:rPr>
                <w:rFonts w:ascii="Times New Roman" w:hAnsi="Times New Roman" w:cs="Times New Roman"/>
                <w:color w:val="000000"/>
                <w:sz w:val="24"/>
                <w:szCs w:val="24"/>
              </w:rPr>
              <w:t>by</w:t>
            </w:r>
            <w:proofErr w:type="spellEnd"/>
            <w:r w:rsidRPr="00274328">
              <w:rPr>
                <w:rFonts w:ascii="Times New Roman" w:hAnsi="Times New Roman" w:cs="Times New Roman"/>
                <w:color w:val="000000"/>
                <w:sz w:val="24"/>
                <w:szCs w:val="24"/>
              </w:rPr>
              <w:t>-</w:t>
            </w:r>
            <w:r w:rsidR="0075712A" w:rsidRPr="00274328">
              <w:rPr>
                <w:rFonts w:ascii="Times New Roman" w:hAnsi="Times New Roman" w:cs="Times New Roman"/>
                <w:color w:val="000000"/>
                <w:sz w:val="24"/>
                <w:szCs w:val="24"/>
              </w:rPr>
              <w:t>l</w:t>
            </w:r>
            <w:r w:rsidRPr="00274328">
              <w:rPr>
                <w:rFonts w:ascii="Times New Roman" w:hAnsi="Times New Roman" w:cs="Times New Roman"/>
                <w:color w:val="000000"/>
                <w:sz w:val="24"/>
                <w:szCs w:val="24"/>
              </w:rPr>
              <w:t xml:space="preserve">inear </w:t>
            </w:r>
            <w:proofErr w:type="spellStart"/>
            <w:r w:rsidR="0075712A" w:rsidRPr="00274328">
              <w:rPr>
                <w:rFonts w:ascii="Times New Roman" w:hAnsi="Times New Roman" w:cs="Times New Roman"/>
                <w:color w:val="000000"/>
                <w:sz w:val="24"/>
                <w:szCs w:val="24"/>
              </w:rPr>
              <w:t>a</w:t>
            </w:r>
            <w:r w:rsidRPr="00274328">
              <w:rPr>
                <w:rFonts w:ascii="Times New Roman" w:hAnsi="Times New Roman" w:cs="Times New Roman"/>
                <w:color w:val="000000"/>
                <w:sz w:val="24"/>
                <w:szCs w:val="24"/>
              </w:rPr>
              <w:t>ssociation</w:t>
            </w:r>
            <w:proofErr w:type="spellEnd"/>
          </w:p>
        </w:tc>
        <w:tc>
          <w:tcPr>
            <w:tcW w:w="0" w:type="auto"/>
          </w:tcPr>
          <w:p w14:paraId="62E47BD2" w14:textId="59B5F43D" w:rsidR="005B2D21" w:rsidRPr="00274328" w:rsidRDefault="00951F7B"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r w:rsidR="005B2D21" w:rsidRPr="00274328">
              <w:rPr>
                <w:rFonts w:ascii="Times New Roman" w:hAnsi="Times New Roman" w:cs="Times New Roman"/>
                <w:color w:val="000000"/>
                <w:sz w:val="24"/>
                <w:szCs w:val="24"/>
              </w:rPr>
              <w:t>.085</w:t>
            </w:r>
          </w:p>
        </w:tc>
        <w:tc>
          <w:tcPr>
            <w:tcW w:w="0" w:type="auto"/>
          </w:tcPr>
          <w:p w14:paraId="726F1488"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w:t>
            </w:r>
          </w:p>
        </w:tc>
        <w:tc>
          <w:tcPr>
            <w:tcW w:w="0" w:type="auto"/>
          </w:tcPr>
          <w:p w14:paraId="2A739F2B" w14:textId="61BFA547" w:rsidR="005B2D21" w:rsidRPr="00274328" w:rsidRDefault="00951F7B"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r w:rsidR="005B2D21" w:rsidRPr="00274328">
              <w:rPr>
                <w:rFonts w:ascii="Times New Roman" w:hAnsi="Times New Roman" w:cs="Times New Roman"/>
                <w:color w:val="000000"/>
                <w:sz w:val="24"/>
                <w:szCs w:val="24"/>
              </w:rPr>
              <w:t>.770</w:t>
            </w:r>
          </w:p>
        </w:tc>
      </w:tr>
      <w:tr w:rsidR="005B2D21" w:rsidRPr="00274328" w14:paraId="1126AA1B" w14:textId="77777777" w:rsidTr="00951F7B">
        <w:trPr>
          <w:jc w:val="center"/>
        </w:trPr>
        <w:tc>
          <w:tcPr>
            <w:tcW w:w="0" w:type="auto"/>
          </w:tcPr>
          <w:p w14:paraId="1BA50DA2" w14:textId="1CFEAD52"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i/>
                <w:iCs/>
                <w:color w:val="000000"/>
                <w:sz w:val="24"/>
                <w:szCs w:val="24"/>
              </w:rPr>
              <w:t>N</w:t>
            </w:r>
            <w:r w:rsidRPr="00274328">
              <w:rPr>
                <w:rFonts w:ascii="Times New Roman" w:hAnsi="Times New Roman" w:cs="Times New Roman"/>
                <w:color w:val="000000"/>
                <w:sz w:val="24"/>
                <w:szCs w:val="24"/>
              </w:rPr>
              <w:t xml:space="preserve"> </w:t>
            </w:r>
            <w:proofErr w:type="spellStart"/>
            <w:r w:rsidRPr="00274328">
              <w:rPr>
                <w:rFonts w:ascii="Times New Roman" w:hAnsi="Times New Roman" w:cs="Times New Roman"/>
                <w:color w:val="000000"/>
                <w:sz w:val="24"/>
                <w:szCs w:val="24"/>
              </w:rPr>
              <w:t>of</w:t>
            </w:r>
            <w:proofErr w:type="spellEnd"/>
            <w:r w:rsidRPr="00274328">
              <w:rPr>
                <w:rFonts w:ascii="Times New Roman" w:hAnsi="Times New Roman" w:cs="Times New Roman"/>
                <w:color w:val="000000"/>
                <w:sz w:val="24"/>
                <w:szCs w:val="24"/>
              </w:rPr>
              <w:t xml:space="preserve"> </w:t>
            </w:r>
            <w:proofErr w:type="spellStart"/>
            <w:r w:rsidR="0075712A" w:rsidRPr="00274328">
              <w:rPr>
                <w:rFonts w:ascii="Times New Roman" w:hAnsi="Times New Roman" w:cs="Times New Roman"/>
                <w:color w:val="000000"/>
                <w:sz w:val="24"/>
                <w:szCs w:val="24"/>
              </w:rPr>
              <w:t>v</w:t>
            </w:r>
            <w:r w:rsidRPr="00274328">
              <w:rPr>
                <w:rFonts w:ascii="Times New Roman" w:hAnsi="Times New Roman" w:cs="Times New Roman"/>
                <w:color w:val="000000"/>
                <w:sz w:val="24"/>
                <w:szCs w:val="24"/>
              </w:rPr>
              <w:t>alid</w:t>
            </w:r>
            <w:proofErr w:type="spellEnd"/>
            <w:r w:rsidRPr="00274328">
              <w:rPr>
                <w:rFonts w:ascii="Times New Roman" w:hAnsi="Times New Roman" w:cs="Times New Roman"/>
                <w:color w:val="000000"/>
                <w:sz w:val="24"/>
                <w:szCs w:val="24"/>
              </w:rPr>
              <w:t xml:space="preserve"> </w:t>
            </w:r>
            <w:r w:rsidR="0075712A" w:rsidRPr="00274328">
              <w:rPr>
                <w:rFonts w:ascii="Times New Roman" w:hAnsi="Times New Roman" w:cs="Times New Roman"/>
                <w:color w:val="000000"/>
                <w:sz w:val="24"/>
                <w:szCs w:val="24"/>
              </w:rPr>
              <w:t>c</w:t>
            </w:r>
            <w:r w:rsidRPr="00274328">
              <w:rPr>
                <w:rFonts w:ascii="Times New Roman" w:hAnsi="Times New Roman" w:cs="Times New Roman"/>
                <w:color w:val="000000"/>
                <w:sz w:val="24"/>
                <w:szCs w:val="24"/>
              </w:rPr>
              <w:t>ases</w:t>
            </w:r>
          </w:p>
        </w:tc>
        <w:tc>
          <w:tcPr>
            <w:tcW w:w="0" w:type="auto"/>
          </w:tcPr>
          <w:p w14:paraId="2608D01A"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1037</w:t>
            </w:r>
          </w:p>
        </w:tc>
        <w:tc>
          <w:tcPr>
            <w:tcW w:w="0" w:type="auto"/>
          </w:tcPr>
          <w:p w14:paraId="3B243D87" w14:textId="77777777" w:rsidR="005B2D21" w:rsidRPr="00274328" w:rsidRDefault="005B2D21" w:rsidP="00951F7B">
            <w:pPr>
              <w:autoSpaceDE w:val="0"/>
              <w:autoSpaceDN w:val="0"/>
              <w:adjustRightInd w:val="0"/>
              <w:spacing w:line="360" w:lineRule="auto"/>
              <w:rPr>
                <w:rFonts w:ascii="Times New Roman" w:hAnsi="Times New Roman" w:cs="Times New Roman"/>
                <w:sz w:val="24"/>
                <w:szCs w:val="24"/>
              </w:rPr>
            </w:pPr>
          </w:p>
        </w:tc>
        <w:tc>
          <w:tcPr>
            <w:tcW w:w="0" w:type="auto"/>
          </w:tcPr>
          <w:p w14:paraId="785933D7" w14:textId="77777777" w:rsidR="005B2D21" w:rsidRPr="00274328" w:rsidRDefault="005B2D21" w:rsidP="00951F7B">
            <w:pPr>
              <w:autoSpaceDE w:val="0"/>
              <w:autoSpaceDN w:val="0"/>
              <w:adjustRightInd w:val="0"/>
              <w:spacing w:line="360" w:lineRule="auto"/>
              <w:rPr>
                <w:rFonts w:ascii="Times New Roman" w:hAnsi="Times New Roman" w:cs="Times New Roman"/>
                <w:sz w:val="24"/>
                <w:szCs w:val="24"/>
              </w:rPr>
            </w:pPr>
          </w:p>
        </w:tc>
      </w:tr>
    </w:tbl>
    <w:p w14:paraId="2777AE43" w14:textId="77777777" w:rsidR="003A1A5C" w:rsidRPr="002B2DCD" w:rsidRDefault="003A1A5C" w:rsidP="003A1A5C">
      <w:pPr>
        <w:spacing w:after="0" w:line="360" w:lineRule="auto"/>
        <w:jc w:val="center"/>
        <w:rPr>
          <w:rFonts w:ascii="Times New Roman" w:eastAsia="Times New Roman" w:hAnsi="Times New Roman" w:cs="Times New Roman"/>
          <w:iCs/>
          <w:color w:val="000000"/>
          <w:sz w:val="24"/>
          <w:szCs w:val="24"/>
          <w:lang w:eastAsia="es-MX"/>
        </w:rPr>
      </w:pPr>
      <w:r w:rsidRPr="002B2DCD">
        <w:rPr>
          <w:rFonts w:ascii="Times New Roman" w:eastAsia="Times New Roman" w:hAnsi="Times New Roman" w:cs="Times New Roman"/>
          <w:iCs/>
          <w:color w:val="000000"/>
          <w:sz w:val="24"/>
          <w:szCs w:val="24"/>
          <w:lang w:eastAsia="es-MX"/>
        </w:rPr>
        <w:t>Fuente: Elaboración propia</w:t>
      </w:r>
    </w:p>
    <w:p w14:paraId="405F1E9E" w14:textId="40FA1BBC" w:rsidR="005B2D21" w:rsidRPr="00951F7B"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En </w:t>
      </w:r>
      <w:r w:rsidR="002F78FC" w:rsidRPr="00951F7B">
        <w:rPr>
          <w:rFonts w:ascii="Times New Roman" w:hAnsi="Times New Roman" w:cs="Times New Roman"/>
          <w:sz w:val="24"/>
          <w:szCs w:val="24"/>
        </w:rPr>
        <w:t>la tabla</w:t>
      </w:r>
      <w:r w:rsidRPr="00951F7B">
        <w:rPr>
          <w:rFonts w:ascii="Times New Roman" w:hAnsi="Times New Roman" w:cs="Times New Roman"/>
          <w:sz w:val="24"/>
          <w:szCs w:val="24"/>
        </w:rPr>
        <w:t xml:space="preserve"> anterior, el coeficiente obtenido de la prueba </w:t>
      </w:r>
      <w:r w:rsidR="00DB2C9C">
        <w:rPr>
          <w:rFonts w:ascii="Times New Roman" w:hAnsi="Times New Roman" w:cs="Times New Roman"/>
          <w:sz w:val="24"/>
          <w:szCs w:val="24"/>
        </w:rPr>
        <w:t>ji</w:t>
      </w:r>
      <w:r w:rsidR="00DB2C9C"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cuadrada es un </w:t>
      </w:r>
      <w:r w:rsidRPr="00951F7B">
        <w:rPr>
          <w:rFonts w:ascii="Times New Roman" w:hAnsi="Times New Roman" w:cs="Times New Roman"/>
          <w:i/>
          <w:sz w:val="24"/>
          <w:szCs w:val="24"/>
        </w:rPr>
        <w:t>p-valor</w:t>
      </w:r>
      <w:r w:rsidR="00DB2C9C">
        <w:rPr>
          <w:rFonts w:ascii="Times New Roman" w:hAnsi="Times New Roman" w:cs="Times New Roman"/>
          <w:i/>
          <w:sz w:val="24"/>
          <w:szCs w:val="24"/>
        </w:rPr>
        <w:t> </w:t>
      </w:r>
      <w:r w:rsidRPr="00951F7B">
        <w:rPr>
          <w:rFonts w:ascii="Times New Roman" w:hAnsi="Times New Roman" w:cs="Times New Roman"/>
          <w:sz w:val="24"/>
          <w:szCs w:val="24"/>
        </w:rPr>
        <w:t>=</w:t>
      </w:r>
      <w:r w:rsidR="00DB2C9C">
        <w:rPr>
          <w:rFonts w:ascii="Times New Roman" w:hAnsi="Times New Roman" w:cs="Times New Roman"/>
          <w:sz w:val="24"/>
          <w:szCs w:val="24"/>
        </w:rPr>
        <w:t> 0</w:t>
      </w:r>
      <w:r w:rsidRPr="00951F7B">
        <w:rPr>
          <w:rFonts w:ascii="Times New Roman" w:hAnsi="Times New Roman" w:cs="Times New Roman"/>
          <w:sz w:val="24"/>
          <w:szCs w:val="24"/>
        </w:rPr>
        <w:t>.976, valor que es mayor al indicativo alfa</w:t>
      </w:r>
      <w:r w:rsidR="00DB2C9C">
        <w:rPr>
          <w:rFonts w:ascii="Times New Roman" w:hAnsi="Times New Roman" w:cs="Times New Roman"/>
          <w:sz w:val="24"/>
          <w:szCs w:val="24"/>
        </w:rPr>
        <w:t xml:space="preserve"> </w:t>
      </w:r>
      <w:r w:rsidRPr="00951F7B">
        <w:rPr>
          <w:rFonts w:ascii="Times New Roman" w:hAnsi="Times New Roman" w:cs="Times New Roman"/>
          <w:sz w:val="24"/>
          <w:szCs w:val="24"/>
        </w:rPr>
        <w:t>= 0.05</w:t>
      </w:r>
      <w:r w:rsidR="00DB2C9C">
        <w:rPr>
          <w:rFonts w:ascii="Times New Roman" w:hAnsi="Times New Roman" w:cs="Times New Roman"/>
          <w:sz w:val="24"/>
          <w:szCs w:val="24"/>
        </w:rPr>
        <w:t>,</w:t>
      </w:r>
      <w:r w:rsidRPr="00951F7B">
        <w:rPr>
          <w:rFonts w:ascii="Times New Roman" w:hAnsi="Times New Roman" w:cs="Times New Roman"/>
          <w:sz w:val="24"/>
          <w:szCs w:val="24"/>
        </w:rPr>
        <w:t xml:space="preserve"> que corresponde al valor de referencia elegido en la prueba de hipótesis. Dicho de otra manera, se puede deducir que el aumento de la inclusión de la perspectiva integral y de sustentabilidad en los programas de estudio no es significativa en el periodo comprendido de 2012-2016.</w:t>
      </w:r>
    </w:p>
    <w:p w14:paraId="1C267B40" w14:textId="77777777" w:rsidR="005B2D21" w:rsidRPr="00951F7B"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Con este resultado se pudo comprobar la primera hipótesis: la estrategia implementada por la Universidad en lo general, durante el período 2012-2016, no tuvo efecto significativo en el aumento de programas educativos que contemplen la perspectiva de la formación integral y la sustentabilidad. Este resultado confirma hallazgos similares de otras investigaciones que se resumen en un compromiso de las universidades en el proceso de ambientalización del currículo universitario continúa sólo en el discurso, sin lograr impactar eficazmente en el proceso de cambio requerido por el enfoque de la Educación para el Desarrollo Sostenible en la formación profesional.</w:t>
      </w:r>
    </w:p>
    <w:p w14:paraId="0B5316A7" w14:textId="4B9E856E" w:rsidR="005B2D21"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Por otra parte, para contestar a la segunda pregunta y</w:t>
      </w:r>
      <w:r w:rsidR="00B60C25">
        <w:rPr>
          <w:rFonts w:ascii="Times New Roman" w:hAnsi="Times New Roman" w:cs="Times New Roman"/>
          <w:sz w:val="24"/>
          <w:szCs w:val="24"/>
        </w:rPr>
        <w:t>,</w:t>
      </w:r>
      <w:r w:rsidRPr="00951F7B">
        <w:rPr>
          <w:rFonts w:ascii="Times New Roman" w:hAnsi="Times New Roman" w:cs="Times New Roman"/>
          <w:sz w:val="24"/>
          <w:szCs w:val="24"/>
        </w:rPr>
        <w:t xml:space="preserve"> en consecuencia</w:t>
      </w:r>
      <w:r w:rsidR="00B60C25">
        <w:rPr>
          <w:rFonts w:ascii="Times New Roman" w:hAnsi="Times New Roman" w:cs="Times New Roman"/>
          <w:sz w:val="24"/>
          <w:szCs w:val="24"/>
        </w:rPr>
        <w:t>, para</w:t>
      </w:r>
      <w:r w:rsidRPr="00951F7B">
        <w:rPr>
          <w:rFonts w:ascii="Times New Roman" w:hAnsi="Times New Roman" w:cs="Times New Roman"/>
          <w:sz w:val="24"/>
          <w:szCs w:val="24"/>
        </w:rPr>
        <w:t xml:space="preserve"> poner a</w:t>
      </w:r>
      <w:r w:rsidR="005D3016">
        <w:rPr>
          <w:rFonts w:ascii="Times New Roman" w:hAnsi="Times New Roman" w:cs="Times New Roman"/>
          <w:sz w:val="24"/>
          <w:szCs w:val="24"/>
        </w:rPr>
        <w:t xml:space="preserve"> </w:t>
      </w:r>
      <w:r w:rsidRPr="00951F7B">
        <w:rPr>
          <w:rFonts w:ascii="Times New Roman" w:hAnsi="Times New Roman" w:cs="Times New Roman"/>
          <w:sz w:val="24"/>
          <w:szCs w:val="24"/>
        </w:rPr>
        <w:t xml:space="preserve">prueba la segunda hipótesis planteada, se consideró </w:t>
      </w:r>
      <w:r w:rsidR="0087453E">
        <w:rPr>
          <w:rFonts w:ascii="Times New Roman" w:hAnsi="Times New Roman" w:cs="Times New Roman"/>
          <w:sz w:val="24"/>
          <w:szCs w:val="24"/>
        </w:rPr>
        <w:t xml:space="preserve">organizar </w:t>
      </w:r>
      <w:r w:rsidRPr="00951F7B">
        <w:rPr>
          <w:rFonts w:ascii="Times New Roman" w:hAnsi="Times New Roman" w:cs="Times New Roman"/>
          <w:sz w:val="24"/>
          <w:szCs w:val="24"/>
        </w:rPr>
        <w:t>en dos grupos a los programas de estudio en función de s</w:t>
      </w:r>
      <w:r w:rsidR="00627E2A">
        <w:rPr>
          <w:rFonts w:ascii="Times New Roman" w:hAnsi="Times New Roman" w:cs="Times New Roman"/>
          <w:sz w:val="24"/>
          <w:szCs w:val="24"/>
        </w:rPr>
        <w:t>i</w:t>
      </w:r>
      <w:r w:rsidRPr="00951F7B">
        <w:rPr>
          <w:rFonts w:ascii="Times New Roman" w:hAnsi="Times New Roman" w:cs="Times New Roman"/>
          <w:sz w:val="24"/>
          <w:szCs w:val="24"/>
        </w:rPr>
        <w:t xml:space="preserve"> son programas que corresponden a los centros temáticos o regionales. Para esta prueba</w:t>
      </w:r>
      <w:r w:rsidR="00627E2A">
        <w:rPr>
          <w:rFonts w:ascii="Times New Roman" w:hAnsi="Times New Roman" w:cs="Times New Roman"/>
          <w:sz w:val="24"/>
          <w:szCs w:val="24"/>
        </w:rPr>
        <w:t>,</w:t>
      </w:r>
      <w:r w:rsidRPr="00951F7B">
        <w:rPr>
          <w:rFonts w:ascii="Times New Roman" w:hAnsi="Times New Roman" w:cs="Times New Roman"/>
          <w:sz w:val="24"/>
          <w:szCs w:val="24"/>
        </w:rPr>
        <w:t xml:space="preserve"> se consideró como variable dependiente el programa de estudio cuyo valor puede presentar o no el atributo a analizar. Para este caso, se </w:t>
      </w:r>
      <w:r w:rsidR="00627E2A">
        <w:rPr>
          <w:rFonts w:ascii="Times New Roman" w:hAnsi="Times New Roman" w:cs="Times New Roman"/>
          <w:sz w:val="24"/>
          <w:szCs w:val="24"/>
        </w:rPr>
        <w:t>consideró</w:t>
      </w:r>
      <w:r w:rsidR="00627E2A"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solo la sumatoria de los programas de estudio que correspondían a </w:t>
      </w:r>
      <w:r w:rsidR="00627E2A">
        <w:rPr>
          <w:rFonts w:ascii="Times New Roman" w:hAnsi="Times New Roman" w:cs="Times New Roman"/>
          <w:sz w:val="24"/>
          <w:szCs w:val="24"/>
        </w:rPr>
        <w:t>c</w:t>
      </w:r>
      <w:r w:rsidR="00627E2A" w:rsidRPr="00951F7B">
        <w:rPr>
          <w:rFonts w:ascii="Times New Roman" w:hAnsi="Times New Roman" w:cs="Times New Roman"/>
          <w:sz w:val="24"/>
          <w:szCs w:val="24"/>
        </w:rPr>
        <w:t xml:space="preserve">entros </w:t>
      </w:r>
      <w:r w:rsidRPr="00951F7B">
        <w:rPr>
          <w:rFonts w:ascii="Times New Roman" w:hAnsi="Times New Roman" w:cs="Times New Roman"/>
          <w:sz w:val="24"/>
          <w:szCs w:val="24"/>
        </w:rPr>
        <w:t xml:space="preserve">temáticos y regionales, descartando los que corresponden al grupo tres del </w:t>
      </w:r>
      <w:r w:rsidR="009E45E8">
        <w:rPr>
          <w:rFonts w:ascii="Times New Roman" w:hAnsi="Times New Roman" w:cs="Times New Roman"/>
          <w:sz w:val="24"/>
          <w:szCs w:val="24"/>
        </w:rPr>
        <w:t>SUV</w:t>
      </w:r>
      <w:r w:rsidRPr="00951F7B">
        <w:rPr>
          <w:rFonts w:ascii="Times New Roman" w:hAnsi="Times New Roman" w:cs="Times New Roman"/>
          <w:sz w:val="24"/>
          <w:szCs w:val="24"/>
        </w:rPr>
        <w:t xml:space="preserve">. </w:t>
      </w:r>
      <w:r w:rsidR="002F78FC" w:rsidRPr="00951F7B">
        <w:rPr>
          <w:rFonts w:ascii="Times New Roman" w:hAnsi="Times New Roman" w:cs="Times New Roman"/>
          <w:sz w:val="24"/>
          <w:szCs w:val="24"/>
        </w:rPr>
        <w:t>La tabla</w:t>
      </w:r>
      <w:r w:rsidRPr="00951F7B">
        <w:rPr>
          <w:rFonts w:ascii="Times New Roman" w:hAnsi="Times New Roman" w:cs="Times New Roman"/>
          <w:sz w:val="24"/>
          <w:szCs w:val="24"/>
        </w:rPr>
        <w:t xml:space="preserve"> </w:t>
      </w:r>
      <w:r w:rsidR="00DC12EC" w:rsidRPr="00951F7B">
        <w:rPr>
          <w:rFonts w:ascii="Times New Roman" w:hAnsi="Times New Roman" w:cs="Times New Roman"/>
          <w:sz w:val="24"/>
          <w:szCs w:val="24"/>
        </w:rPr>
        <w:t>5</w:t>
      </w:r>
      <w:r w:rsidRPr="00951F7B">
        <w:rPr>
          <w:rFonts w:ascii="Times New Roman" w:hAnsi="Times New Roman" w:cs="Times New Roman"/>
          <w:sz w:val="24"/>
          <w:szCs w:val="24"/>
        </w:rPr>
        <w:t xml:space="preserve"> muestra la distribución de los casos estudiados.</w:t>
      </w:r>
    </w:p>
    <w:p w14:paraId="0D98B453" w14:textId="2E159B19" w:rsidR="005B2D21" w:rsidRPr="00951F7B" w:rsidRDefault="00DC12EC" w:rsidP="00951F7B">
      <w:pPr>
        <w:spacing w:after="0" w:line="360" w:lineRule="auto"/>
        <w:jc w:val="center"/>
        <w:rPr>
          <w:rFonts w:ascii="Times New Roman" w:eastAsia="Times New Roman" w:hAnsi="Times New Roman" w:cs="Times New Roman"/>
          <w:i/>
          <w:color w:val="000000"/>
          <w:sz w:val="24"/>
          <w:szCs w:val="24"/>
          <w:lang w:eastAsia="es-MX"/>
        </w:rPr>
      </w:pPr>
      <w:r w:rsidRPr="00951F7B">
        <w:rPr>
          <w:rFonts w:ascii="Times New Roman" w:eastAsia="Times New Roman" w:hAnsi="Times New Roman" w:cs="Times New Roman"/>
          <w:b/>
          <w:color w:val="000000"/>
          <w:sz w:val="24"/>
          <w:szCs w:val="24"/>
          <w:lang w:eastAsia="es-MX"/>
        </w:rPr>
        <w:lastRenderedPageBreak/>
        <w:t>Tabla 5</w:t>
      </w:r>
      <w:r w:rsidR="00951F7B" w:rsidRPr="00951F7B">
        <w:rPr>
          <w:rFonts w:ascii="Times New Roman" w:eastAsia="Times New Roman" w:hAnsi="Times New Roman" w:cs="Times New Roman"/>
          <w:b/>
          <w:color w:val="000000"/>
          <w:sz w:val="24"/>
          <w:szCs w:val="24"/>
          <w:lang w:eastAsia="es-MX"/>
        </w:rPr>
        <w:t xml:space="preserve">. </w:t>
      </w:r>
      <w:r w:rsidR="005B2D21" w:rsidRPr="00951F7B">
        <w:rPr>
          <w:rFonts w:ascii="Times New Roman" w:eastAsia="Times New Roman" w:hAnsi="Times New Roman" w:cs="Times New Roman"/>
          <w:iCs/>
          <w:color w:val="000000"/>
          <w:sz w:val="24"/>
          <w:szCs w:val="24"/>
          <w:lang w:eastAsia="es-MX"/>
        </w:rPr>
        <w:t xml:space="preserve">Matriz de valores observados </w:t>
      </w:r>
      <w:r w:rsidR="002E24DD" w:rsidRPr="00951F7B">
        <w:rPr>
          <w:rFonts w:ascii="Times New Roman" w:eastAsia="Times New Roman" w:hAnsi="Times New Roman" w:cs="Times New Roman"/>
          <w:iCs/>
          <w:color w:val="000000"/>
          <w:sz w:val="24"/>
          <w:szCs w:val="24"/>
          <w:lang w:eastAsia="es-MX"/>
        </w:rPr>
        <w:t>de acuerdo por entidad institucional</w:t>
      </w:r>
    </w:p>
    <w:tbl>
      <w:tblPr>
        <w:tblStyle w:val="Tablaconcuadrcula"/>
        <w:tblW w:w="0" w:type="auto"/>
        <w:tblLook w:val="0000" w:firstRow="0" w:lastRow="0" w:firstColumn="0" w:lastColumn="0" w:noHBand="0" w:noVBand="0"/>
      </w:tblPr>
      <w:tblGrid>
        <w:gridCol w:w="2270"/>
        <w:gridCol w:w="630"/>
        <w:gridCol w:w="1376"/>
        <w:gridCol w:w="1403"/>
        <w:gridCol w:w="1336"/>
        <w:gridCol w:w="817"/>
        <w:gridCol w:w="996"/>
      </w:tblGrid>
      <w:tr w:rsidR="005B2D21" w:rsidRPr="00274328" w14:paraId="692EA015" w14:textId="77777777" w:rsidTr="00951F7B">
        <w:tc>
          <w:tcPr>
            <w:tcW w:w="0" w:type="auto"/>
            <w:gridSpan w:val="3"/>
            <w:vMerge w:val="restart"/>
          </w:tcPr>
          <w:p w14:paraId="364A9BB6"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p>
        </w:tc>
        <w:tc>
          <w:tcPr>
            <w:tcW w:w="0" w:type="auto"/>
            <w:gridSpan w:val="3"/>
          </w:tcPr>
          <w:p w14:paraId="67445A80" w14:textId="0B41D375"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 xml:space="preserve">Tipo de </w:t>
            </w:r>
            <w:r w:rsidR="00951F7B" w:rsidRPr="00274328">
              <w:rPr>
                <w:rFonts w:ascii="Times New Roman" w:hAnsi="Times New Roman" w:cs="Times New Roman"/>
                <w:color w:val="000000"/>
                <w:sz w:val="24"/>
                <w:szCs w:val="24"/>
              </w:rPr>
              <w:t>e</w:t>
            </w:r>
            <w:r w:rsidRPr="00274328">
              <w:rPr>
                <w:rFonts w:ascii="Times New Roman" w:hAnsi="Times New Roman" w:cs="Times New Roman"/>
                <w:color w:val="000000"/>
                <w:sz w:val="24"/>
                <w:szCs w:val="24"/>
              </w:rPr>
              <w:t>ntidad</w:t>
            </w:r>
          </w:p>
        </w:tc>
        <w:tc>
          <w:tcPr>
            <w:tcW w:w="0" w:type="auto"/>
            <w:vMerge w:val="restart"/>
          </w:tcPr>
          <w:p w14:paraId="4450C1FB"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Total</w:t>
            </w:r>
          </w:p>
        </w:tc>
      </w:tr>
      <w:tr w:rsidR="005B2D21" w:rsidRPr="00274328" w14:paraId="60CF35C6" w14:textId="77777777" w:rsidTr="00951F7B">
        <w:tc>
          <w:tcPr>
            <w:tcW w:w="0" w:type="auto"/>
            <w:gridSpan w:val="3"/>
            <w:vMerge/>
          </w:tcPr>
          <w:p w14:paraId="3CC04708"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tcPr>
          <w:p w14:paraId="3771CBFB"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Regionales</w:t>
            </w:r>
          </w:p>
        </w:tc>
        <w:tc>
          <w:tcPr>
            <w:tcW w:w="0" w:type="auto"/>
          </w:tcPr>
          <w:p w14:paraId="23AB405D"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Temáticos</w:t>
            </w:r>
          </w:p>
        </w:tc>
        <w:tc>
          <w:tcPr>
            <w:tcW w:w="0" w:type="auto"/>
          </w:tcPr>
          <w:p w14:paraId="7BD10400"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r w:rsidRPr="00274328">
              <w:rPr>
                <w:rFonts w:ascii="Times New Roman" w:hAnsi="Times New Roman" w:cs="Times New Roman"/>
                <w:color w:val="000000"/>
                <w:sz w:val="24"/>
                <w:szCs w:val="24"/>
              </w:rPr>
              <w:t>SUV</w:t>
            </w:r>
          </w:p>
        </w:tc>
        <w:tc>
          <w:tcPr>
            <w:tcW w:w="0" w:type="auto"/>
            <w:vMerge/>
          </w:tcPr>
          <w:p w14:paraId="1C937A80"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r>
      <w:tr w:rsidR="005B2D21" w:rsidRPr="00274328" w14:paraId="48214000" w14:textId="77777777" w:rsidTr="00951F7B">
        <w:tc>
          <w:tcPr>
            <w:tcW w:w="0" w:type="auto"/>
            <w:vMerge w:val="restart"/>
          </w:tcPr>
          <w:p w14:paraId="084ECC64" w14:textId="1E5A7EE2"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 xml:space="preserve">El programa cuenta con </w:t>
            </w:r>
            <w:r w:rsidR="00951F7B" w:rsidRPr="00274328">
              <w:rPr>
                <w:rFonts w:ascii="Times New Roman" w:hAnsi="Times New Roman" w:cs="Times New Roman"/>
                <w:color w:val="000000"/>
                <w:sz w:val="24"/>
                <w:szCs w:val="24"/>
              </w:rPr>
              <w:t>formación integral o sustentabilidad</w:t>
            </w:r>
          </w:p>
        </w:tc>
        <w:tc>
          <w:tcPr>
            <w:tcW w:w="0" w:type="auto"/>
            <w:vMerge w:val="restart"/>
          </w:tcPr>
          <w:p w14:paraId="5203DB8A" w14:textId="7250C05E" w:rsidR="005B2D21" w:rsidRPr="00274328" w:rsidRDefault="00951F7B"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No</w:t>
            </w:r>
          </w:p>
        </w:tc>
        <w:tc>
          <w:tcPr>
            <w:tcW w:w="0" w:type="auto"/>
          </w:tcPr>
          <w:p w14:paraId="790A1459"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Observado</w:t>
            </w:r>
          </w:p>
        </w:tc>
        <w:tc>
          <w:tcPr>
            <w:tcW w:w="0" w:type="auto"/>
          </w:tcPr>
          <w:p w14:paraId="12BB84A9"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466</w:t>
            </w:r>
          </w:p>
        </w:tc>
        <w:tc>
          <w:tcPr>
            <w:tcW w:w="0" w:type="auto"/>
          </w:tcPr>
          <w:p w14:paraId="3EDCF148"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254</w:t>
            </w:r>
          </w:p>
        </w:tc>
        <w:tc>
          <w:tcPr>
            <w:tcW w:w="0" w:type="auto"/>
          </w:tcPr>
          <w:p w14:paraId="3D211F3D"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40</w:t>
            </w:r>
          </w:p>
        </w:tc>
        <w:tc>
          <w:tcPr>
            <w:tcW w:w="0" w:type="auto"/>
          </w:tcPr>
          <w:p w14:paraId="3AB836F6"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760</w:t>
            </w:r>
          </w:p>
        </w:tc>
      </w:tr>
      <w:tr w:rsidR="005B2D21" w:rsidRPr="00274328" w14:paraId="06A6C9B7" w14:textId="77777777" w:rsidTr="00951F7B">
        <w:tc>
          <w:tcPr>
            <w:tcW w:w="0" w:type="auto"/>
            <w:vMerge/>
          </w:tcPr>
          <w:p w14:paraId="3EA12886"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vMerge/>
          </w:tcPr>
          <w:p w14:paraId="479C856E"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tcPr>
          <w:p w14:paraId="5AB7A440"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Esperado</w:t>
            </w:r>
          </w:p>
        </w:tc>
        <w:tc>
          <w:tcPr>
            <w:tcW w:w="0" w:type="auto"/>
          </w:tcPr>
          <w:p w14:paraId="52251C8A"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506.4</w:t>
            </w:r>
          </w:p>
        </w:tc>
        <w:tc>
          <w:tcPr>
            <w:tcW w:w="0" w:type="auto"/>
          </w:tcPr>
          <w:p w14:paraId="74C4CC8C"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224.3</w:t>
            </w:r>
          </w:p>
        </w:tc>
        <w:tc>
          <w:tcPr>
            <w:tcW w:w="0" w:type="auto"/>
          </w:tcPr>
          <w:p w14:paraId="3CE7FEB6"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29.3</w:t>
            </w:r>
          </w:p>
        </w:tc>
        <w:tc>
          <w:tcPr>
            <w:tcW w:w="0" w:type="auto"/>
          </w:tcPr>
          <w:p w14:paraId="2B235CAB"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760.0</w:t>
            </w:r>
          </w:p>
        </w:tc>
      </w:tr>
      <w:tr w:rsidR="005B2D21" w:rsidRPr="00274328" w14:paraId="4AC08A5A" w14:textId="77777777" w:rsidTr="00951F7B">
        <w:tc>
          <w:tcPr>
            <w:tcW w:w="0" w:type="auto"/>
            <w:vMerge/>
          </w:tcPr>
          <w:p w14:paraId="479530CB"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vMerge w:val="restart"/>
          </w:tcPr>
          <w:p w14:paraId="417DC83E" w14:textId="79C795B5" w:rsidR="005B2D21" w:rsidRPr="00274328" w:rsidRDefault="00951F7B"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Sí</w:t>
            </w:r>
          </w:p>
        </w:tc>
        <w:tc>
          <w:tcPr>
            <w:tcW w:w="0" w:type="auto"/>
          </w:tcPr>
          <w:p w14:paraId="1177CCF7"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Observado</w:t>
            </w:r>
          </w:p>
        </w:tc>
        <w:tc>
          <w:tcPr>
            <w:tcW w:w="0" w:type="auto"/>
          </w:tcPr>
          <w:p w14:paraId="3BFEDC6C"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225</w:t>
            </w:r>
          </w:p>
        </w:tc>
        <w:tc>
          <w:tcPr>
            <w:tcW w:w="0" w:type="auto"/>
          </w:tcPr>
          <w:p w14:paraId="3B5AFA05"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52</w:t>
            </w:r>
          </w:p>
        </w:tc>
        <w:tc>
          <w:tcPr>
            <w:tcW w:w="0" w:type="auto"/>
          </w:tcPr>
          <w:p w14:paraId="2C36630A"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p>
        </w:tc>
        <w:tc>
          <w:tcPr>
            <w:tcW w:w="0" w:type="auto"/>
          </w:tcPr>
          <w:p w14:paraId="3D824C93"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277</w:t>
            </w:r>
          </w:p>
        </w:tc>
      </w:tr>
      <w:tr w:rsidR="005B2D21" w:rsidRPr="00274328" w14:paraId="0ED4EF1D" w14:textId="77777777" w:rsidTr="00951F7B">
        <w:tc>
          <w:tcPr>
            <w:tcW w:w="0" w:type="auto"/>
            <w:vMerge/>
          </w:tcPr>
          <w:p w14:paraId="57888E90"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vMerge/>
          </w:tcPr>
          <w:p w14:paraId="2CD20B6C"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tcPr>
          <w:p w14:paraId="110CF14C"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Esperado</w:t>
            </w:r>
          </w:p>
        </w:tc>
        <w:tc>
          <w:tcPr>
            <w:tcW w:w="0" w:type="auto"/>
          </w:tcPr>
          <w:p w14:paraId="3891B9E4"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184.6</w:t>
            </w:r>
          </w:p>
        </w:tc>
        <w:tc>
          <w:tcPr>
            <w:tcW w:w="0" w:type="auto"/>
          </w:tcPr>
          <w:p w14:paraId="49952C08"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81.7</w:t>
            </w:r>
          </w:p>
        </w:tc>
        <w:tc>
          <w:tcPr>
            <w:tcW w:w="0" w:type="auto"/>
          </w:tcPr>
          <w:p w14:paraId="7AC6FE54"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10.7</w:t>
            </w:r>
          </w:p>
        </w:tc>
        <w:tc>
          <w:tcPr>
            <w:tcW w:w="0" w:type="auto"/>
          </w:tcPr>
          <w:p w14:paraId="3F17CB09"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277.0</w:t>
            </w:r>
          </w:p>
        </w:tc>
      </w:tr>
      <w:tr w:rsidR="005B2D21" w:rsidRPr="00274328" w14:paraId="17ABA8C8" w14:textId="77777777" w:rsidTr="00951F7B">
        <w:tc>
          <w:tcPr>
            <w:tcW w:w="0" w:type="auto"/>
            <w:gridSpan w:val="2"/>
            <w:vMerge w:val="restart"/>
          </w:tcPr>
          <w:p w14:paraId="19E5F305"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Total</w:t>
            </w:r>
          </w:p>
        </w:tc>
        <w:tc>
          <w:tcPr>
            <w:tcW w:w="0" w:type="auto"/>
          </w:tcPr>
          <w:p w14:paraId="25A8C53C"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Observado</w:t>
            </w:r>
          </w:p>
        </w:tc>
        <w:tc>
          <w:tcPr>
            <w:tcW w:w="0" w:type="auto"/>
          </w:tcPr>
          <w:p w14:paraId="56A34E09"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691</w:t>
            </w:r>
          </w:p>
        </w:tc>
        <w:tc>
          <w:tcPr>
            <w:tcW w:w="0" w:type="auto"/>
          </w:tcPr>
          <w:p w14:paraId="51F594CC"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306</w:t>
            </w:r>
          </w:p>
        </w:tc>
        <w:tc>
          <w:tcPr>
            <w:tcW w:w="0" w:type="auto"/>
          </w:tcPr>
          <w:p w14:paraId="555A34AB"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40</w:t>
            </w:r>
          </w:p>
        </w:tc>
        <w:tc>
          <w:tcPr>
            <w:tcW w:w="0" w:type="auto"/>
          </w:tcPr>
          <w:p w14:paraId="00A366CE"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1037</w:t>
            </w:r>
          </w:p>
        </w:tc>
      </w:tr>
      <w:tr w:rsidR="005B2D21" w:rsidRPr="00274328" w14:paraId="09ABEEBA" w14:textId="77777777" w:rsidTr="00951F7B">
        <w:tc>
          <w:tcPr>
            <w:tcW w:w="0" w:type="auto"/>
            <w:gridSpan w:val="2"/>
            <w:vMerge/>
          </w:tcPr>
          <w:p w14:paraId="2F76C01F" w14:textId="77777777" w:rsidR="005B2D21" w:rsidRPr="00274328" w:rsidRDefault="005B2D21" w:rsidP="00951F7B">
            <w:pPr>
              <w:autoSpaceDE w:val="0"/>
              <w:autoSpaceDN w:val="0"/>
              <w:adjustRightInd w:val="0"/>
              <w:spacing w:line="360" w:lineRule="auto"/>
              <w:rPr>
                <w:rFonts w:ascii="Times New Roman" w:hAnsi="Times New Roman" w:cs="Times New Roman"/>
                <w:color w:val="000000"/>
                <w:sz w:val="24"/>
                <w:szCs w:val="24"/>
              </w:rPr>
            </w:pPr>
          </w:p>
        </w:tc>
        <w:tc>
          <w:tcPr>
            <w:tcW w:w="0" w:type="auto"/>
          </w:tcPr>
          <w:p w14:paraId="79B544D4"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Esperado</w:t>
            </w:r>
          </w:p>
        </w:tc>
        <w:tc>
          <w:tcPr>
            <w:tcW w:w="0" w:type="auto"/>
          </w:tcPr>
          <w:p w14:paraId="3A1E8039"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691.0</w:t>
            </w:r>
          </w:p>
        </w:tc>
        <w:tc>
          <w:tcPr>
            <w:tcW w:w="0" w:type="auto"/>
          </w:tcPr>
          <w:p w14:paraId="3F29EF09"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306.0</w:t>
            </w:r>
          </w:p>
        </w:tc>
        <w:tc>
          <w:tcPr>
            <w:tcW w:w="0" w:type="auto"/>
          </w:tcPr>
          <w:p w14:paraId="46C40E6D"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40.0</w:t>
            </w:r>
          </w:p>
        </w:tc>
        <w:tc>
          <w:tcPr>
            <w:tcW w:w="0" w:type="auto"/>
          </w:tcPr>
          <w:p w14:paraId="6A6A437C"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1037.0</w:t>
            </w:r>
          </w:p>
        </w:tc>
      </w:tr>
    </w:tbl>
    <w:p w14:paraId="23F200A8" w14:textId="145AF854" w:rsidR="005B2D21" w:rsidRPr="00145D7F" w:rsidRDefault="003A1A5C" w:rsidP="00145D7F">
      <w:pPr>
        <w:spacing w:after="0" w:line="360" w:lineRule="auto"/>
        <w:jc w:val="center"/>
        <w:rPr>
          <w:rFonts w:ascii="Times New Roman" w:eastAsia="Times New Roman" w:hAnsi="Times New Roman" w:cs="Times New Roman"/>
          <w:iCs/>
          <w:color w:val="000000"/>
          <w:sz w:val="24"/>
          <w:szCs w:val="24"/>
          <w:lang w:eastAsia="es-MX"/>
        </w:rPr>
      </w:pPr>
      <w:r w:rsidRPr="00145D7F">
        <w:rPr>
          <w:rFonts w:ascii="Times New Roman" w:eastAsia="Times New Roman" w:hAnsi="Times New Roman" w:cs="Times New Roman"/>
          <w:iCs/>
          <w:color w:val="000000"/>
          <w:sz w:val="24"/>
          <w:szCs w:val="24"/>
          <w:lang w:eastAsia="es-MX"/>
        </w:rPr>
        <w:t>Fuente: Elaboración propia</w:t>
      </w:r>
    </w:p>
    <w:p w14:paraId="160FF185" w14:textId="39433622" w:rsidR="005B2D21" w:rsidRDefault="00B60C25" w:rsidP="00951F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Tal y como se observa en</w:t>
      </w:r>
      <w:r w:rsidR="005B2D21" w:rsidRPr="00951F7B">
        <w:rPr>
          <w:rFonts w:ascii="Times New Roman" w:hAnsi="Times New Roman" w:cs="Times New Roman"/>
          <w:sz w:val="24"/>
          <w:szCs w:val="24"/>
        </w:rPr>
        <w:t xml:space="preserve"> </w:t>
      </w:r>
      <w:r w:rsidR="00912DD6">
        <w:rPr>
          <w:rFonts w:ascii="Times New Roman" w:hAnsi="Times New Roman" w:cs="Times New Roman"/>
          <w:sz w:val="24"/>
          <w:szCs w:val="24"/>
        </w:rPr>
        <w:t>la tabla 5</w:t>
      </w:r>
      <w:r w:rsidR="005B2D21" w:rsidRPr="00951F7B">
        <w:rPr>
          <w:rFonts w:ascii="Times New Roman" w:hAnsi="Times New Roman" w:cs="Times New Roman"/>
          <w:sz w:val="24"/>
          <w:szCs w:val="24"/>
        </w:rPr>
        <w:t xml:space="preserve">, la variable dependiente corresponde al programa de estudio que presenta o no la característica referida. Como se puede observar en los casilleros de </w:t>
      </w:r>
      <w:r>
        <w:rPr>
          <w:rFonts w:ascii="Times New Roman" w:hAnsi="Times New Roman" w:cs="Times New Roman"/>
          <w:sz w:val="24"/>
          <w:szCs w:val="24"/>
        </w:rPr>
        <w:t>“</w:t>
      </w:r>
      <w:r w:rsidRPr="00145D7F">
        <w:rPr>
          <w:rFonts w:ascii="Times New Roman" w:hAnsi="Times New Roman" w:cs="Times New Roman"/>
          <w:iCs/>
          <w:sz w:val="24"/>
          <w:szCs w:val="24"/>
        </w:rPr>
        <w:t>Observado</w:t>
      </w:r>
      <w:r>
        <w:rPr>
          <w:rFonts w:ascii="Times New Roman" w:hAnsi="Times New Roman" w:cs="Times New Roman"/>
          <w:iCs/>
          <w:sz w:val="24"/>
          <w:szCs w:val="24"/>
        </w:rPr>
        <w:t>”</w:t>
      </w:r>
      <w:r w:rsidR="005B2D21" w:rsidRPr="00951F7B">
        <w:rPr>
          <w:rFonts w:ascii="Times New Roman" w:hAnsi="Times New Roman" w:cs="Times New Roman"/>
          <w:sz w:val="24"/>
          <w:szCs w:val="24"/>
        </w:rPr>
        <w:t xml:space="preserve">, </w:t>
      </w:r>
      <w:r>
        <w:rPr>
          <w:rFonts w:ascii="Times New Roman" w:hAnsi="Times New Roman" w:cs="Times New Roman"/>
          <w:sz w:val="24"/>
          <w:szCs w:val="24"/>
        </w:rPr>
        <w:t>existe</w:t>
      </w:r>
      <w:r w:rsidR="005B2D21" w:rsidRPr="00951F7B">
        <w:rPr>
          <w:rFonts w:ascii="Times New Roman" w:hAnsi="Times New Roman" w:cs="Times New Roman"/>
          <w:sz w:val="24"/>
          <w:szCs w:val="24"/>
        </w:rPr>
        <w:t xml:space="preserve"> un alto número de programas que integraron la perspectiva de la formación integral y la sustentabilidad en el contexto de </w:t>
      </w:r>
      <w:r>
        <w:rPr>
          <w:rFonts w:ascii="Times New Roman" w:hAnsi="Times New Roman" w:cs="Times New Roman"/>
          <w:sz w:val="24"/>
          <w:szCs w:val="24"/>
        </w:rPr>
        <w:t>c</w:t>
      </w:r>
      <w:r w:rsidRPr="00951F7B">
        <w:rPr>
          <w:rFonts w:ascii="Times New Roman" w:hAnsi="Times New Roman" w:cs="Times New Roman"/>
          <w:sz w:val="24"/>
          <w:szCs w:val="24"/>
        </w:rPr>
        <w:t>entro</w:t>
      </w:r>
      <w:r w:rsidR="00374337">
        <w:rPr>
          <w:rFonts w:ascii="Times New Roman" w:hAnsi="Times New Roman" w:cs="Times New Roman"/>
          <w:sz w:val="24"/>
          <w:szCs w:val="24"/>
        </w:rPr>
        <w:t>s</w:t>
      </w:r>
      <w:r w:rsidRPr="00951F7B">
        <w:rPr>
          <w:rFonts w:ascii="Times New Roman" w:hAnsi="Times New Roman" w:cs="Times New Roman"/>
          <w:sz w:val="24"/>
          <w:szCs w:val="24"/>
        </w:rPr>
        <w:t xml:space="preserve"> </w:t>
      </w:r>
      <w:r w:rsidR="005B2D21" w:rsidRPr="00951F7B">
        <w:rPr>
          <w:rFonts w:ascii="Times New Roman" w:hAnsi="Times New Roman" w:cs="Times New Roman"/>
          <w:sz w:val="24"/>
          <w:szCs w:val="24"/>
        </w:rPr>
        <w:t>universitario</w:t>
      </w:r>
      <w:r w:rsidR="00374337">
        <w:rPr>
          <w:rFonts w:ascii="Times New Roman" w:hAnsi="Times New Roman" w:cs="Times New Roman"/>
          <w:sz w:val="24"/>
          <w:szCs w:val="24"/>
        </w:rPr>
        <w:t>s</w:t>
      </w:r>
      <w:r w:rsidR="005B2D21" w:rsidRPr="00951F7B">
        <w:rPr>
          <w:rFonts w:ascii="Times New Roman" w:hAnsi="Times New Roman" w:cs="Times New Roman"/>
          <w:sz w:val="24"/>
          <w:szCs w:val="24"/>
        </w:rPr>
        <w:t xml:space="preserve"> regionales. No obstante, a efecto de determinar si esta diferencia es estadísticamente significativa, se analizó el coeficiente obtenido de </w:t>
      </w:r>
      <w:r w:rsidR="00DB2C9C">
        <w:rPr>
          <w:rFonts w:ascii="Times New Roman" w:hAnsi="Times New Roman" w:cs="Times New Roman"/>
          <w:sz w:val="24"/>
          <w:szCs w:val="24"/>
        </w:rPr>
        <w:t>ji</w:t>
      </w:r>
      <w:r w:rsidR="00DB2C9C" w:rsidRPr="00951F7B">
        <w:rPr>
          <w:rFonts w:ascii="Times New Roman" w:hAnsi="Times New Roman" w:cs="Times New Roman"/>
          <w:sz w:val="24"/>
          <w:szCs w:val="24"/>
        </w:rPr>
        <w:t xml:space="preserve"> cuadrad</w:t>
      </w:r>
      <w:r w:rsidR="00DB2C9C">
        <w:rPr>
          <w:rFonts w:ascii="Times New Roman" w:hAnsi="Times New Roman" w:cs="Times New Roman"/>
          <w:sz w:val="24"/>
          <w:szCs w:val="24"/>
        </w:rPr>
        <w:t>a</w:t>
      </w:r>
      <w:r w:rsidR="005B2D21" w:rsidRPr="00951F7B">
        <w:rPr>
          <w:rFonts w:ascii="Times New Roman" w:hAnsi="Times New Roman" w:cs="Times New Roman"/>
          <w:sz w:val="24"/>
          <w:szCs w:val="24"/>
        </w:rPr>
        <w:t xml:space="preserve">. En </w:t>
      </w:r>
      <w:r w:rsidR="00DC12EC" w:rsidRPr="00951F7B">
        <w:rPr>
          <w:rFonts w:ascii="Times New Roman" w:hAnsi="Times New Roman" w:cs="Times New Roman"/>
          <w:sz w:val="24"/>
          <w:szCs w:val="24"/>
        </w:rPr>
        <w:t>la tabla 6</w:t>
      </w:r>
      <w:r w:rsidR="005B2D21" w:rsidRPr="00951F7B">
        <w:rPr>
          <w:rFonts w:ascii="Times New Roman" w:hAnsi="Times New Roman" w:cs="Times New Roman"/>
          <w:sz w:val="24"/>
          <w:szCs w:val="24"/>
        </w:rPr>
        <w:t xml:space="preserve"> se puede observar los valores de significancia obtenidos de la prueba estadística.</w:t>
      </w:r>
    </w:p>
    <w:p w14:paraId="3C496D21" w14:textId="77777777" w:rsidR="00951F7B" w:rsidRPr="00951F7B" w:rsidRDefault="00951F7B" w:rsidP="00951F7B">
      <w:pPr>
        <w:spacing w:after="0" w:line="360" w:lineRule="auto"/>
        <w:ind w:firstLine="709"/>
        <w:jc w:val="both"/>
        <w:rPr>
          <w:rFonts w:ascii="Times New Roman" w:hAnsi="Times New Roman" w:cs="Times New Roman"/>
          <w:sz w:val="24"/>
          <w:szCs w:val="24"/>
        </w:rPr>
      </w:pPr>
    </w:p>
    <w:p w14:paraId="3479B220" w14:textId="210D55CB" w:rsidR="005B2D21" w:rsidRPr="00951F7B" w:rsidRDefault="002F78FC" w:rsidP="00951F7B">
      <w:pPr>
        <w:spacing w:after="0" w:line="360" w:lineRule="auto"/>
        <w:jc w:val="center"/>
        <w:rPr>
          <w:rFonts w:ascii="Times New Roman" w:eastAsia="Times New Roman" w:hAnsi="Times New Roman" w:cs="Times New Roman"/>
          <w:b/>
          <w:color w:val="000000"/>
          <w:sz w:val="24"/>
          <w:szCs w:val="28"/>
          <w:lang w:eastAsia="es-MX"/>
        </w:rPr>
      </w:pPr>
      <w:r w:rsidRPr="00951F7B">
        <w:rPr>
          <w:rFonts w:ascii="Times New Roman" w:eastAsia="Times New Roman" w:hAnsi="Times New Roman" w:cs="Times New Roman"/>
          <w:b/>
          <w:color w:val="000000"/>
          <w:sz w:val="24"/>
          <w:szCs w:val="28"/>
          <w:lang w:eastAsia="es-MX"/>
        </w:rPr>
        <w:t>Tabla</w:t>
      </w:r>
      <w:r w:rsidR="005B2D21" w:rsidRPr="00951F7B">
        <w:rPr>
          <w:rFonts w:ascii="Times New Roman" w:eastAsia="Times New Roman" w:hAnsi="Times New Roman" w:cs="Times New Roman"/>
          <w:b/>
          <w:color w:val="000000"/>
          <w:sz w:val="24"/>
          <w:szCs w:val="28"/>
          <w:lang w:eastAsia="es-MX"/>
        </w:rPr>
        <w:t xml:space="preserve"> </w:t>
      </w:r>
      <w:r w:rsidR="00DC12EC" w:rsidRPr="00951F7B">
        <w:rPr>
          <w:rFonts w:ascii="Times New Roman" w:eastAsia="Times New Roman" w:hAnsi="Times New Roman" w:cs="Times New Roman"/>
          <w:b/>
          <w:color w:val="000000"/>
          <w:sz w:val="24"/>
          <w:szCs w:val="28"/>
          <w:lang w:eastAsia="es-MX"/>
        </w:rPr>
        <w:t>6</w:t>
      </w:r>
      <w:r w:rsidR="00951F7B" w:rsidRPr="00951F7B">
        <w:rPr>
          <w:rFonts w:ascii="Times New Roman" w:eastAsia="Times New Roman" w:hAnsi="Times New Roman" w:cs="Times New Roman"/>
          <w:b/>
          <w:color w:val="000000"/>
          <w:sz w:val="24"/>
          <w:szCs w:val="28"/>
          <w:lang w:eastAsia="es-MX"/>
        </w:rPr>
        <w:t xml:space="preserve">. </w:t>
      </w:r>
      <w:r w:rsidR="005B2D21" w:rsidRPr="00951F7B">
        <w:rPr>
          <w:rFonts w:ascii="Times New Roman" w:eastAsia="Times New Roman" w:hAnsi="Times New Roman" w:cs="Times New Roman"/>
          <w:iCs/>
          <w:color w:val="000000"/>
          <w:sz w:val="24"/>
          <w:szCs w:val="28"/>
          <w:lang w:eastAsia="es-MX"/>
        </w:rPr>
        <w:t>Resultado de la prueba de significancia</w:t>
      </w:r>
      <w:r w:rsidR="002E24DD" w:rsidRPr="00951F7B">
        <w:rPr>
          <w:rFonts w:ascii="Times New Roman" w:eastAsia="Times New Roman" w:hAnsi="Times New Roman" w:cs="Times New Roman"/>
          <w:iCs/>
          <w:color w:val="000000"/>
          <w:sz w:val="24"/>
          <w:szCs w:val="28"/>
          <w:lang w:eastAsia="es-MX"/>
        </w:rPr>
        <w:t xml:space="preserve"> </w:t>
      </w:r>
      <w:r w:rsidR="00B64E7A" w:rsidRPr="00951F7B">
        <w:rPr>
          <w:rFonts w:ascii="Times New Roman" w:eastAsia="Times New Roman" w:hAnsi="Times New Roman" w:cs="Times New Roman"/>
          <w:iCs/>
          <w:color w:val="000000"/>
          <w:sz w:val="24"/>
          <w:szCs w:val="28"/>
          <w:lang w:eastAsia="es-MX"/>
        </w:rPr>
        <w:t xml:space="preserve">con </w:t>
      </w:r>
      <w:r w:rsidR="00C12C7D">
        <w:rPr>
          <w:rFonts w:ascii="Times New Roman" w:eastAsia="Times New Roman" w:hAnsi="Times New Roman" w:cs="Times New Roman"/>
          <w:iCs/>
          <w:color w:val="000000"/>
          <w:sz w:val="24"/>
          <w:szCs w:val="28"/>
          <w:lang w:eastAsia="es-MX"/>
        </w:rPr>
        <w:t xml:space="preserve">ji </w:t>
      </w:r>
      <w:r w:rsidR="00B64E7A" w:rsidRPr="00951F7B">
        <w:rPr>
          <w:rFonts w:ascii="Times New Roman" w:eastAsia="Times New Roman" w:hAnsi="Times New Roman" w:cs="Times New Roman"/>
          <w:iCs/>
          <w:color w:val="000000"/>
          <w:sz w:val="24"/>
          <w:szCs w:val="28"/>
          <w:lang w:eastAsia="es-MX"/>
        </w:rPr>
        <w:t>cuadrad</w:t>
      </w:r>
      <w:r w:rsidR="00DB2C9C">
        <w:rPr>
          <w:rFonts w:ascii="Times New Roman" w:eastAsia="Times New Roman" w:hAnsi="Times New Roman" w:cs="Times New Roman"/>
          <w:iCs/>
          <w:color w:val="000000"/>
          <w:sz w:val="24"/>
          <w:szCs w:val="28"/>
          <w:lang w:eastAsia="es-MX"/>
        </w:rPr>
        <w:t>a</w:t>
      </w:r>
      <w:r w:rsidR="00B64E7A" w:rsidRPr="00951F7B">
        <w:rPr>
          <w:rFonts w:ascii="Times New Roman" w:eastAsia="Times New Roman" w:hAnsi="Times New Roman" w:cs="Times New Roman"/>
          <w:iCs/>
          <w:color w:val="000000"/>
          <w:sz w:val="24"/>
          <w:szCs w:val="28"/>
          <w:lang w:eastAsia="es-MX"/>
        </w:rPr>
        <w:t xml:space="preserve"> </w:t>
      </w:r>
      <w:r w:rsidR="002E24DD" w:rsidRPr="00951F7B">
        <w:rPr>
          <w:rFonts w:ascii="Times New Roman" w:eastAsia="Times New Roman" w:hAnsi="Times New Roman" w:cs="Times New Roman"/>
          <w:iCs/>
          <w:color w:val="000000"/>
          <w:sz w:val="24"/>
          <w:szCs w:val="28"/>
          <w:lang w:eastAsia="es-MX"/>
        </w:rPr>
        <w:t xml:space="preserve">para la hipótesis </w:t>
      </w:r>
      <w:r w:rsidR="00C12C7D">
        <w:rPr>
          <w:rFonts w:ascii="Times New Roman" w:eastAsia="Times New Roman" w:hAnsi="Times New Roman" w:cs="Times New Roman"/>
          <w:iCs/>
          <w:color w:val="000000"/>
          <w:sz w:val="24"/>
          <w:szCs w:val="28"/>
          <w:lang w:eastAsia="es-MX"/>
        </w:rPr>
        <w:t>dos</w:t>
      </w:r>
      <w:r w:rsidR="000D0627">
        <w:rPr>
          <w:rFonts w:ascii="Times New Roman" w:eastAsia="Times New Roman" w:hAnsi="Times New Roman" w:cs="Times New Roman"/>
          <w:iCs/>
          <w:color w:val="000000"/>
          <w:sz w:val="24"/>
          <w:szCs w:val="28"/>
          <w:lang w:eastAsia="es-MX"/>
        </w:rPr>
        <w:t xml:space="preserve"> (H</w:t>
      </w:r>
      <w:r w:rsidR="00E9580A">
        <w:rPr>
          <w:rFonts w:ascii="Times New Roman" w:eastAsia="Times New Roman" w:hAnsi="Times New Roman" w:cs="Times New Roman"/>
          <w:iCs/>
          <w:color w:val="000000"/>
          <w:sz w:val="24"/>
          <w:szCs w:val="28"/>
          <w:lang w:eastAsia="es-MX"/>
        </w:rPr>
        <w:t>0</w:t>
      </w:r>
      <w:r w:rsidR="000D0627">
        <w:rPr>
          <w:rFonts w:ascii="Times New Roman" w:eastAsia="Times New Roman" w:hAnsi="Times New Roman" w:cs="Times New Roman"/>
          <w:iCs/>
          <w:color w:val="000000"/>
          <w:sz w:val="24"/>
          <w:szCs w:val="28"/>
          <w:lang w:eastAsia="es-MX"/>
        </w:rPr>
        <w:t>)</w:t>
      </w:r>
    </w:p>
    <w:tbl>
      <w:tblPr>
        <w:tblStyle w:val="Tablaconcuadrcula"/>
        <w:tblW w:w="0" w:type="auto"/>
        <w:jc w:val="center"/>
        <w:tblLook w:val="0000" w:firstRow="0" w:lastRow="0" w:firstColumn="0" w:lastColumn="0" w:noHBand="0" w:noVBand="0"/>
      </w:tblPr>
      <w:tblGrid>
        <w:gridCol w:w="3035"/>
        <w:gridCol w:w="1068"/>
        <w:gridCol w:w="536"/>
        <w:gridCol w:w="2456"/>
      </w:tblGrid>
      <w:tr w:rsidR="005B2D21" w:rsidRPr="00274328" w14:paraId="26287413" w14:textId="77777777" w:rsidTr="00951F7B">
        <w:trPr>
          <w:jc w:val="center"/>
        </w:trPr>
        <w:tc>
          <w:tcPr>
            <w:tcW w:w="0" w:type="auto"/>
          </w:tcPr>
          <w:p w14:paraId="3FF7991E" w14:textId="77777777"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p>
        </w:tc>
        <w:tc>
          <w:tcPr>
            <w:tcW w:w="0" w:type="auto"/>
          </w:tcPr>
          <w:p w14:paraId="18B9F801"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proofErr w:type="spellStart"/>
            <w:r w:rsidRPr="00274328">
              <w:rPr>
                <w:rFonts w:ascii="Times New Roman" w:hAnsi="Times New Roman" w:cs="Times New Roman"/>
                <w:color w:val="000000"/>
                <w:sz w:val="24"/>
                <w:szCs w:val="24"/>
              </w:rPr>
              <w:t>Value</w:t>
            </w:r>
            <w:proofErr w:type="spellEnd"/>
          </w:p>
        </w:tc>
        <w:tc>
          <w:tcPr>
            <w:tcW w:w="0" w:type="auto"/>
          </w:tcPr>
          <w:p w14:paraId="316C0B9E"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proofErr w:type="spellStart"/>
            <w:r w:rsidRPr="00274328">
              <w:rPr>
                <w:rFonts w:ascii="Times New Roman" w:hAnsi="Times New Roman" w:cs="Times New Roman"/>
                <w:color w:val="000000"/>
                <w:sz w:val="24"/>
                <w:szCs w:val="24"/>
              </w:rPr>
              <w:t>df</w:t>
            </w:r>
            <w:proofErr w:type="spellEnd"/>
          </w:p>
        </w:tc>
        <w:tc>
          <w:tcPr>
            <w:tcW w:w="0" w:type="auto"/>
          </w:tcPr>
          <w:p w14:paraId="19066A4B" w14:textId="77777777" w:rsidR="005B2D21" w:rsidRPr="00274328" w:rsidRDefault="005B2D21" w:rsidP="00951F7B">
            <w:pPr>
              <w:autoSpaceDE w:val="0"/>
              <w:autoSpaceDN w:val="0"/>
              <w:adjustRightInd w:val="0"/>
              <w:spacing w:line="360" w:lineRule="auto"/>
              <w:ind w:left="60" w:right="60"/>
              <w:jc w:val="center"/>
              <w:rPr>
                <w:rFonts w:ascii="Times New Roman" w:hAnsi="Times New Roman" w:cs="Times New Roman"/>
                <w:color w:val="000000"/>
                <w:sz w:val="24"/>
                <w:szCs w:val="24"/>
              </w:rPr>
            </w:pPr>
            <w:proofErr w:type="spellStart"/>
            <w:r w:rsidRPr="00274328">
              <w:rPr>
                <w:rFonts w:ascii="Times New Roman" w:hAnsi="Times New Roman" w:cs="Times New Roman"/>
                <w:color w:val="000000"/>
                <w:sz w:val="24"/>
                <w:szCs w:val="24"/>
              </w:rPr>
              <w:t>Asymp</w:t>
            </w:r>
            <w:proofErr w:type="spellEnd"/>
            <w:r w:rsidRPr="00274328">
              <w:rPr>
                <w:rFonts w:ascii="Times New Roman" w:hAnsi="Times New Roman" w:cs="Times New Roman"/>
                <w:color w:val="000000"/>
                <w:sz w:val="24"/>
                <w:szCs w:val="24"/>
              </w:rPr>
              <w:t>. Sig. (2-sided)</w:t>
            </w:r>
          </w:p>
        </w:tc>
      </w:tr>
      <w:tr w:rsidR="005B2D21" w:rsidRPr="00274328" w14:paraId="5D43247B" w14:textId="77777777" w:rsidTr="00951F7B">
        <w:trPr>
          <w:jc w:val="center"/>
        </w:trPr>
        <w:tc>
          <w:tcPr>
            <w:tcW w:w="0" w:type="auto"/>
          </w:tcPr>
          <w:p w14:paraId="78F9B28C" w14:textId="16F417FC"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 xml:space="preserve">Pearson </w:t>
            </w:r>
            <w:r w:rsidR="00717DD4" w:rsidRPr="00274328">
              <w:rPr>
                <w:rFonts w:ascii="Times New Roman" w:hAnsi="Times New Roman" w:cs="Times New Roman"/>
                <w:color w:val="000000"/>
                <w:sz w:val="24"/>
                <w:szCs w:val="24"/>
              </w:rPr>
              <w:t>c</w:t>
            </w:r>
            <w:r w:rsidRPr="00274328">
              <w:rPr>
                <w:rFonts w:ascii="Times New Roman" w:hAnsi="Times New Roman" w:cs="Times New Roman"/>
                <w:color w:val="000000"/>
                <w:sz w:val="24"/>
                <w:szCs w:val="24"/>
              </w:rPr>
              <w:t>hi-</w:t>
            </w:r>
            <w:proofErr w:type="spellStart"/>
            <w:r w:rsidR="00717DD4" w:rsidRPr="00274328">
              <w:rPr>
                <w:rFonts w:ascii="Times New Roman" w:hAnsi="Times New Roman" w:cs="Times New Roman"/>
                <w:color w:val="000000"/>
                <w:sz w:val="24"/>
                <w:szCs w:val="24"/>
              </w:rPr>
              <w:t>s</w:t>
            </w:r>
            <w:r w:rsidRPr="00274328">
              <w:rPr>
                <w:rFonts w:ascii="Times New Roman" w:hAnsi="Times New Roman" w:cs="Times New Roman"/>
                <w:color w:val="000000"/>
                <w:sz w:val="24"/>
                <w:szCs w:val="24"/>
              </w:rPr>
              <w:t>quare</w:t>
            </w:r>
            <w:proofErr w:type="spellEnd"/>
          </w:p>
        </w:tc>
        <w:tc>
          <w:tcPr>
            <w:tcW w:w="0" w:type="auto"/>
          </w:tcPr>
          <w:p w14:paraId="1E43A729"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41.420</w:t>
            </w:r>
            <w:r w:rsidRPr="00274328">
              <w:rPr>
                <w:rFonts w:ascii="Times New Roman" w:hAnsi="Times New Roman" w:cs="Times New Roman"/>
                <w:color w:val="000000"/>
                <w:sz w:val="24"/>
                <w:szCs w:val="24"/>
                <w:vertAlign w:val="superscript"/>
              </w:rPr>
              <w:t>a</w:t>
            </w:r>
          </w:p>
        </w:tc>
        <w:tc>
          <w:tcPr>
            <w:tcW w:w="0" w:type="auto"/>
          </w:tcPr>
          <w:p w14:paraId="2470A4F1"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w:t>
            </w:r>
          </w:p>
        </w:tc>
        <w:tc>
          <w:tcPr>
            <w:tcW w:w="0" w:type="auto"/>
          </w:tcPr>
          <w:p w14:paraId="10746B40" w14:textId="1BF58DDB" w:rsidR="005B2D21" w:rsidRPr="00274328" w:rsidRDefault="00033BF0"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r w:rsidR="005B2D21" w:rsidRPr="00274328">
              <w:rPr>
                <w:rFonts w:ascii="Times New Roman" w:hAnsi="Times New Roman" w:cs="Times New Roman"/>
                <w:color w:val="000000"/>
                <w:sz w:val="24"/>
                <w:szCs w:val="24"/>
              </w:rPr>
              <w:t>.000</w:t>
            </w:r>
          </w:p>
        </w:tc>
      </w:tr>
      <w:tr w:rsidR="005B2D21" w:rsidRPr="00274328" w14:paraId="3FEA4CA4" w14:textId="77777777" w:rsidTr="00951F7B">
        <w:trPr>
          <w:jc w:val="center"/>
        </w:trPr>
        <w:tc>
          <w:tcPr>
            <w:tcW w:w="0" w:type="auto"/>
          </w:tcPr>
          <w:p w14:paraId="73DB5F4B" w14:textId="2D48DEE9"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proofErr w:type="spellStart"/>
            <w:r w:rsidRPr="00274328">
              <w:rPr>
                <w:rFonts w:ascii="Times New Roman" w:hAnsi="Times New Roman" w:cs="Times New Roman"/>
                <w:color w:val="000000"/>
                <w:sz w:val="24"/>
                <w:szCs w:val="24"/>
              </w:rPr>
              <w:t>Likelihood</w:t>
            </w:r>
            <w:proofErr w:type="spellEnd"/>
            <w:r w:rsidRPr="00274328">
              <w:rPr>
                <w:rFonts w:ascii="Times New Roman" w:hAnsi="Times New Roman" w:cs="Times New Roman"/>
                <w:color w:val="000000"/>
                <w:sz w:val="24"/>
                <w:szCs w:val="24"/>
              </w:rPr>
              <w:t xml:space="preserve"> </w:t>
            </w:r>
            <w:r w:rsidR="00033BF0" w:rsidRPr="00274328">
              <w:rPr>
                <w:rFonts w:ascii="Times New Roman" w:hAnsi="Times New Roman" w:cs="Times New Roman"/>
                <w:color w:val="000000"/>
                <w:sz w:val="24"/>
                <w:szCs w:val="24"/>
              </w:rPr>
              <w:t>r</w:t>
            </w:r>
            <w:r w:rsidRPr="00274328">
              <w:rPr>
                <w:rFonts w:ascii="Times New Roman" w:hAnsi="Times New Roman" w:cs="Times New Roman"/>
                <w:color w:val="000000"/>
                <w:sz w:val="24"/>
                <w:szCs w:val="24"/>
              </w:rPr>
              <w:t>atio</w:t>
            </w:r>
          </w:p>
        </w:tc>
        <w:tc>
          <w:tcPr>
            <w:tcW w:w="0" w:type="auto"/>
          </w:tcPr>
          <w:p w14:paraId="41E3AD91"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52.665</w:t>
            </w:r>
          </w:p>
        </w:tc>
        <w:tc>
          <w:tcPr>
            <w:tcW w:w="0" w:type="auto"/>
          </w:tcPr>
          <w:p w14:paraId="56866E1D"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2</w:t>
            </w:r>
          </w:p>
        </w:tc>
        <w:tc>
          <w:tcPr>
            <w:tcW w:w="0" w:type="auto"/>
          </w:tcPr>
          <w:p w14:paraId="7E3B3196" w14:textId="7CC6F9C9" w:rsidR="005B2D21" w:rsidRPr="00274328" w:rsidRDefault="00033BF0"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r w:rsidR="005B2D21" w:rsidRPr="00274328">
              <w:rPr>
                <w:rFonts w:ascii="Times New Roman" w:hAnsi="Times New Roman" w:cs="Times New Roman"/>
                <w:color w:val="000000"/>
                <w:sz w:val="24"/>
                <w:szCs w:val="24"/>
              </w:rPr>
              <w:t>.000</w:t>
            </w:r>
          </w:p>
        </w:tc>
      </w:tr>
      <w:tr w:rsidR="005B2D21" w:rsidRPr="00274328" w14:paraId="33E123FD" w14:textId="77777777" w:rsidTr="00951F7B">
        <w:trPr>
          <w:jc w:val="center"/>
        </w:trPr>
        <w:tc>
          <w:tcPr>
            <w:tcW w:w="0" w:type="auto"/>
          </w:tcPr>
          <w:p w14:paraId="1A8B00E1" w14:textId="0ED906C8"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Linear-</w:t>
            </w:r>
            <w:proofErr w:type="spellStart"/>
            <w:r w:rsidRPr="00274328">
              <w:rPr>
                <w:rFonts w:ascii="Times New Roman" w:hAnsi="Times New Roman" w:cs="Times New Roman"/>
                <w:color w:val="000000"/>
                <w:sz w:val="24"/>
                <w:szCs w:val="24"/>
              </w:rPr>
              <w:t>by</w:t>
            </w:r>
            <w:proofErr w:type="spellEnd"/>
            <w:r w:rsidRPr="00274328">
              <w:rPr>
                <w:rFonts w:ascii="Times New Roman" w:hAnsi="Times New Roman" w:cs="Times New Roman"/>
                <w:color w:val="000000"/>
                <w:sz w:val="24"/>
                <w:szCs w:val="24"/>
              </w:rPr>
              <w:t>-</w:t>
            </w:r>
            <w:r w:rsidR="00717DD4" w:rsidRPr="00274328">
              <w:rPr>
                <w:rFonts w:ascii="Times New Roman" w:hAnsi="Times New Roman" w:cs="Times New Roman"/>
                <w:color w:val="000000"/>
                <w:sz w:val="24"/>
                <w:szCs w:val="24"/>
              </w:rPr>
              <w:t>l</w:t>
            </w:r>
            <w:r w:rsidRPr="00274328">
              <w:rPr>
                <w:rFonts w:ascii="Times New Roman" w:hAnsi="Times New Roman" w:cs="Times New Roman"/>
                <w:color w:val="000000"/>
                <w:sz w:val="24"/>
                <w:szCs w:val="24"/>
              </w:rPr>
              <w:t xml:space="preserve">inear </w:t>
            </w:r>
            <w:proofErr w:type="spellStart"/>
            <w:r w:rsidR="00033BF0" w:rsidRPr="00274328">
              <w:rPr>
                <w:rFonts w:ascii="Times New Roman" w:hAnsi="Times New Roman" w:cs="Times New Roman"/>
                <w:color w:val="000000"/>
                <w:sz w:val="24"/>
                <w:szCs w:val="24"/>
              </w:rPr>
              <w:t>association</w:t>
            </w:r>
            <w:proofErr w:type="spellEnd"/>
          </w:p>
        </w:tc>
        <w:tc>
          <w:tcPr>
            <w:tcW w:w="0" w:type="auto"/>
          </w:tcPr>
          <w:p w14:paraId="61AD6E49"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41.354</w:t>
            </w:r>
          </w:p>
        </w:tc>
        <w:tc>
          <w:tcPr>
            <w:tcW w:w="0" w:type="auto"/>
          </w:tcPr>
          <w:p w14:paraId="556CC959"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w:t>
            </w:r>
          </w:p>
        </w:tc>
        <w:tc>
          <w:tcPr>
            <w:tcW w:w="0" w:type="auto"/>
          </w:tcPr>
          <w:p w14:paraId="49754B93" w14:textId="1240F0B6" w:rsidR="005B2D21" w:rsidRPr="00274328" w:rsidRDefault="00033BF0"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0</w:t>
            </w:r>
            <w:r w:rsidR="005B2D21" w:rsidRPr="00274328">
              <w:rPr>
                <w:rFonts w:ascii="Times New Roman" w:hAnsi="Times New Roman" w:cs="Times New Roman"/>
                <w:color w:val="000000"/>
                <w:sz w:val="24"/>
                <w:szCs w:val="24"/>
              </w:rPr>
              <w:t>.000</w:t>
            </w:r>
          </w:p>
        </w:tc>
      </w:tr>
      <w:tr w:rsidR="005B2D21" w:rsidRPr="00274328" w14:paraId="049167BB" w14:textId="77777777" w:rsidTr="00951F7B">
        <w:trPr>
          <w:jc w:val="center"/>
        </w:trPr>
        <w:tc>
          <w:tcPr>
            <w:tcW w:w="0" w:type="auto"/>
          </w:tcPr>
          <w:p w14:paraId="5F2E75BA" w14:textId="2D18E311" w:rsidR="005B2D21" w:rsidRPr="00274328" w:rsidRDefault="005B2D21" w:rsidP="00951F7B">
            <w:pPr>
              <w:autoSpaceDE w:val="0"/>
              <w:autoSpaceDN w:val="0"/>
              <w:adjustRightInd w:val="0"/>
              <w:spacing w:line="360" w:lineRule="auto"/>
              <w:ind w:left="60" w:right="60"/>
              <w:rPr>
                <w:rFonts w:ascii="Times New Roman" w:hAnsi="Times New Roman" w:cs="Times New Roman"/>
                <w:color w:val="000000"/>
                <w:sz w:val="24"/>
                <w:szCs w:val="24"/>
              </w:rPr>
            </w:pPr>
            <w:r w:rsidRPr="00274328">
              <w:rPr>
                <w:rFonts w:ascii="Times New Roman" w:hAnsi="Times New Roman" w:cs="Times New Roman"/>
                <w:color w:val="000000"/>
                <w:sz w:val="24"/>
                <w:szCs w:val="24"/>
              </w:rPr>
              <w:t xml:space="preserve">N </w:t>
            </w:r>
            <w:proofErr w:type="spellStart"/>
            <w:r w:rsidRPr="00274328">
              <w:rPr>
                <w:rFonts w:ascii="Times New Roman" w:hAnsi="Times New Roman" w:cs="Times New Roman"/>
                <w:color w:val="000000"/>
                <w:sz w:val="24"/>
                <w:szCs w:val="24"/>
              </w:rPr>
              <w:t>of</w:t>
            </w:r>
            <w:proofErr w:type="spellEnd"/>
            <w:r w:rsidRPr="00274328">
              <w:rPr>
                <w:rFonts w:ascii="Times New Roman" w:hAnsi="Times New Roman" w:cs="Times New Roman"/>
                <w:color w:val="000000"/>
                <w:sz w:val="24"/>
                <w:szCs w:val="24"/>
              </w:rPr>
              <w:t xml:space="preserve"> </w:t>
            </w:r>
            <w:proofErr w:type="spellStart"/>
            <w:r w:rsidR="00033BF0" w:rsidRPr="00274328">
              <w:rPr>
                <w:rFonts w:ascii="Times New Roman" w:hAnsi="Times New Roman" w:cs="Times New Roman"/>
                <w:color w:val="000000"/>
                <w:sz w:val="24"/>
                <w:szCs w:val="24"/>
              </w:rPr>
              <w:t>valid</w:t>
            </w:r>
            <w:proofErr w:type="spellEnd"/>
            <w:r w:rsidR="00033BF0" w:rsidRPr="00274328">
              <w:rPr>
                <w:rFonts w:ascii="Times New Roman" w:hAnsi="Times New Roman" w:cs="Times New Roman"/>
                <w:color w:val="000000"/>
                <w:sz w:val="24"/>
                <w:szCs w:val="24"/>
              </w:rPr>
              <w:t xml:space="preserve"> cases</w:t>
            </w:r>
          </w:p>
        </w:tc>
        <w:tc>
          <w:tcPr>
            <w:tcW w:w="0" w:type="auto"/>
          </w:tcPr>
          <w:p w14:paraId="14675217" w14:textId="77777777" w:rsidR="005B2D21" w:rsidRPr="00274328" w:rsidRDefault="005B2D21" w:rsidP="00951F7B">
            <w:pPr>
              <w:autoSpaceDE w:val="0"/>
              <w:autoSpaceDN w:val="0"/>
              <w:adjustRightInd w:val="0"/>
              <w:spacing w:line="360" w:lineRule="auto"/>
              <w:ind w:left="60" w:right="60"/>
              <w:jc w:val="right"/>
              <w:rPr>
                <w:rFonts w:ascii="Times New Roman" w:hAnsi="Times New Roman" w:cs="Times New Roman"/>
                <w:color w:val="000000"/>
                <w:sz w:val="24"/>
                <w:szCs w:val="24"/>
              </w:rPr>
            </w:pPr>
            <w:r w:rsidRPr="00274328">
              <w:rPr>
                <w:rFonts w:ascii="Times New Roman" w:hAnsi="Times New Roman" w:cs="Times New Roman"/>
                <w:color w:val="000000"/>
                <w:sz w:val="24"/>
                <w:szCs w:val="24"/>
              </w:rPr>
              <w:t>1037</w:t>
            </w:r>
          </w:p>
        </w:tc>
        <w:tc>
          <w:tcPr>
            <w:tcW w:w="0" w:type="auto"/>
          </w:tcPr>
          <w:p w14:paraId="5AC4F6F3" w14:textId="77777777" w:rsidR="005B2D21" w:rsidRPr="00274328" w:rsidRDefault="005B2D21" w:rsidP="00951F7B">
            <w:pPr>
              <w:autoSpaceDE w:val="0"/>
              <w:autoSpaceDN w:val="0"/>
              <w:adjustRightInd w:val="0"/>
              <w:spacing w:line="360" w:lineRule="auto"/>
              <w:rPr>
                <w:rFonts w:ascii="Times New Roman" w:hAnsi="Times New Roman" w:cs="Times New Roman"/>
                <w:sz w:val="24"/>
                <w:szCs w:val="24"/>
              </w:rPr>
            </w:pPr>
          </w:p>
        </w:tc>
        <w:tc>
          <w:tcPr>
            <w:tcW w:w="0" w:type="auto"/>
          </w:tcPr>
          <w:p w14:paraId="5142A3C4" w14:textId="77777777" w:rsidR="005B2D21" w:rsidRPr="00274328" w:rsidRDefault="005B2D21" w:rsidP="00951F7B">
            <w:pPr>
              <w:autoSpaceDE w:val="0"/>
              <w:autoSpaceDN w:val="0"/>
              <w:adjustRightInd w:val="0"/>
              <w:spacing w:line="360" w:lineRule="auto"/>
              <w:rPr>
                <w:rFonts w:ascii="Times New Roman" w:hAnsi="Times New Roman" w:cs="Times New Roman"/>
                <w:sz w:val="24"/>
                <w:szCs w:val="24"/>
              </w:rPr>
            </w:pPr>
          </w:p>
        </w:tc>
      </w:tr>
    </w:tbl>
    <w:p w14:paraId="649DEDFF" w14:textId="2ECBC078" w:rsidR="00C12C7D" w:rsidRDefault="00C12C7D" w:rsidP="00C12C7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46BC092" w14:textId="3260A4ED" w:rsidR="005B2D21" w:rsidRDefault="00033BF0" w:rsidP="00951F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5B2D21" w:rsidRPr="00951F7B">
        <w:rPr>
          <w:rFonts w:ascii="Times New Roman" w:hAnsi="Times New Roman" w:cs="Times New Roman"/>
          <w:sz w:val="24"/>
          <w:szCs w:val="24"/>
        </w:rPr>
        <w:t>l valor</w:t>
      </w:r>
      <w:r>
        <w:rPr>
          <w:rFonts w:ascii="Times New Roman" w:hAnsi="Times New Roman" w:cs="Times New Roman"/>
          <w:sz w:val="24"/>
          <w:szCs w:val="24"/>
        </w:rPr>
        <w:t xml:space="preserve"> </w:t>
      </w:r>
      <w:r w:rsidR="009F4F20">
        <w:rPr>
          <w:rFonts w:ascii="Times New Roman" w:hAnsi="Times New Roman" w:cs="Times New Roman"/>
          <w:sz w:val="24"/>
          <w:szCs w:val="24"/>
        </w:rPr>
        <w:t xml:space="preserve">de </w:t>
      </w:r>
      <w:r w:rsidR="009F4F20">
        <w:rPr>
          <w:rFonts w:ascii="Times New Roman" w:hAnsi="Times New Roman" w:cs="Times New Roman"/>
          <w:i/>
          <w:iCs/>
          <w:sz w:val="24"/>
          <w:szCs w:val="24"/>
        </w:rPr>
        <w:t xml:space="preserve">p </w:t>
      </w:r>
      <w:r w:rsidR="009F4F20">
        <w:rPr>
          <w:rFonts w:ascii="Times New Roman" w:hAnsi="Times New Roman" w:cs="Times New Roman"/>
          <w:sz w:val="24"/>
          <w:szCs w:val="24"/>
        </w:rPr>
        <w:t>obtenido (0.000) es</w:t>
      </w:r>
      <w:r w:rsidR="005B2D21" w:rsidRPr="00951F7B">
        <w:rPr>
          <w:rFonts w:ascii="Times New Roman" w:hAnsi="Times New Roman" w:cs="Times New Roman"/>
          <w:sz w:val="24"/>
          <w:szCs w:val="24"/>
        </w:rPr>
        <w:t xml:space="preserve"> menor al parámetro de la prueba elegido </w:t>
      </w:r>
      <w:r>
        <w:rPr>
          <w:rFonts w:ascii="Times New Roman" w:hAnsi="Times New Roman" w:cs="Times New Roman"/>
          <w:sz w:val="24"/>
          <w:szCs w:val="24"/>
        </w:rPr>
        <w:t>(</w:t>
      </w:r>
      <w:r w:rsidR="005B2D21" w:rsidRPr="00951F7B">
        <w:rPr>
          <w:rFonts w:ascii="Times New Roman" w:hAnsi="Times New Roman" w:cs="Times New Roman"/>
          <w:sz w:val="24"/>
          <w:szCs w:val="24"/>
        </w:rPr>
        <w:t>alfa</w:t>
      </w:r>
      <w:r>
        <w:rPr>
          <w:rFonts w:ascii="Times New Roman" w:hAnsi="Times New Roman" w:cs="Times New Roman"/>
          <w:sz w:val="24"/>
          <w:szCs w:val="24"/>
        </w:rPr>
        <w:t xml:space="preserve"> </w:t>
      </w:r>
      <w:r w:rsidR="005B2D21" w:rsidRPr="00951F7B">
        <w:rPr>
          <w:rFonts w:ascii="Times New Roman" w:hAnsi="Times New Roman" w:cs="Times New Roman"/>
          <w:sz w:val="24"/>
          <w:szCs w:val="24"/>
        </w:rPr>
        <w:t>=</w:t>
      </w:r>
      <w:r>
        <w:rPr>
          <w:rFonts w:ascii="Times New Roman" w:hAnsi="Times New Roman" w:cs="Times New Roman"/>
          <w:sz w:val="24"/>
          <w:szCs w:val="24"/>
        </w:rPr>
        <w:t xml:space="preserve"> </w:t>
      </w:r>
      <w:r w:rsidR="005B2D21" w:rsidRPr="00951F7B">
        <w:rPr>
          <w:rFonts w:ascii="Times New Roman" w:hAnsi="Times New Roman" w:cs="Times New Roman"/>
          <w:sz w:val="24"/>
          <w:szCs w:val="24"/>
        </w:rPr>
        <w:t>0.05</w:t>
      </w:r>
      <w:r>
        <w:rPr>
          <w:rFonts w:ascii="Times New Roman" w:hAnsi="Times New Roman" w:cs="Times New Roman"/>
          <w:sz w:val="24"/>
          <w:szCs w:val="24"/>
        </w:rPr>
        <w:t>)</w:t>
      </w:r>
      <w:r w:rsidR="005B2D21" w:rsidRPr="00951F7B">
        <w:rPr>
          <w:rFonts w:ascii="Times New Roman" w:hAnsi="Times New Roman" w:cs="Times New Roman"/>
          <w:sz w:val="24"/>
          <w:szCs w:val="24"/>
        </w:rPr>
        <w:t>, lo que significa que existe una correlación en ambas variables estudiadas. Dicho en otras palabras, se confirma la segunda hipótesis planteada</w:t>
      </w:r>
      <w:r w:rsidR="009F4F20">
        <w:rPr>
          <w:rFonts w:ascii="Times New Roman" w:hAnsi="Times New Roman" w:cs="Times New Roman"/>
          <w:sz w:val="24"/>
          <w:szCs w:val="24"/>
        </w:rPr>
        <w:t>, la cual</w:t>
      </w:r>
      <w:r w:rsidR="005B2D21" w:rsidRPr="00951F7B">
        <w:rPr>
          <w:rFonts w:ascii="Times New Roman" w:hAnsi="Times New Roman" w:cs="Times New Roman"/>
          <w:sz w:val="24"/>
          <w:szCs w:val="24"/>
        </w:rPr>
        <w:t xml:space="preserve"> argumenta que la estructura de los centros universitarios tiene un efecto en el esfuerzo que la universidad realiza para incorporar la perspectiva de la sustentabilidad en el currículo universitario. Más aún, la estructura multidisciplinar que caracteriza a los </w:t>
      </w:r>
      <w:r w:rsidR="004F6C84" w:rsidRPr="00951F7B">
        <w:rPr>
          <w:rFonts w:ascii="Times New Roman" w:hAnsi="Times New Roman" w:cs="Times New Roman"/>
          <w:sz w:val="24"/>
          <w:szCs w:val="24"/>
        </w:rPr>
        <w:t>centro</w:t>
      </w:r>
      <w:r w:rsidR="00374337">
        <w:rPr>
          <w:rFonts w:ascii="Times New Roman" w:hAnsi="Times New Roman" w:cs="Times New Roman"/>
          <w:sz w:val="24"/>
          <w:szCs w:val="24"/>
        </w:rPr>
        <w:t>s</w:t>
      </w:r>
      <w:r w:rsidR="004F6C84" w:rsidRPr="00951F7B">
        <w:rPr>
          <w:rFonts w:ascii="Times New Roman" w:hAnsi="Times New Roman" w:cs="Times New Roman"/>
          <w:sz w:val="24"/>
          <w:szCs w:val="24"/>
        </w:rPr>
        <w:t xml:space="preserve"> universitarios regionales </w:t>
      </w:r>
      <w:r w:rsidR="005B2D21" w:rsidRPr="00951F7B">
        <w:rPr>
          <w:rFonts w:ascii="Times New Roman" w:hAnsi="Times New Roman" w:cs="Times New Roman"/>
          <w:sz w:val="24"/>
          <w:szCs w:val="24"/>
        </w:rPr>
        <w:t xml:space="preserve">favorece a </w:t>
      </w:r>
      <w:r w:rsidR="005B2D21" w:rsidRPr="00951F7B">
        <w:rPr>
          <w:rFonts w:ascii="Times New Roman" w:hAnsi="Times New Roman" w:cs="Times New Roman"/>
          <w:sz w:val="24"/>
          <w:szCs w:val="24"/>
        </w:rPr>
        <w:lastRenderedPageBreak/>
        <w:t xml:space="preserve">la actualización de los programas educativos para contemplar la formación integral y temáticas sustentables. </w:t>
      </w:r>
    </w:p>
    <w:p w14:paraId="71FEF508" w14:textId="77777777" w:rsidR="00951F7B" w:rsidRPr="00951F7B" w:rsidRDefault="00951F7B" w:rsidP="00951F7B">
      <w:pPr>
        <w:spacing w:after="0" w:line="360" w:lineRule="auto"/>
        <w:ind w:firstLine="709"/>
        <w:jc w:val="both"/>
        <w:rPr>
          <w:rFonts w:ascii="Times New Roman" w:hAnsi="Times New Roman" w:cs="Times New Roman"/>
          <w:sz w:val="24"/>
          <w:szCs w:val="24"/>
        </w:rPr>
      </w:pPr>
    </w:p>
    <w:p w14:paraId="64C7982C" w14:textId="77777777" w:rsidR="005B2D21" w:rsidRPr="00951F7B" w:rsidRDefault="005B2D21" w:rsidP="00274328">
      <w:pPr>
        <w:spacing w:after="0" w:line="360" w:lineRule="auto"/>
        <w:jc w:val="center"/>
        <w:rPr>
          <w:rFonts w:ascii="Arial" w:eastAsia="Times New Roman" w:hAnsi="Arial" w:cs="Arial"/>
          <w:b/>
          <w:color w:val="000000"/>
          <w:sz w:val="28"/>
          <w:szCs w:val="28"/>
          <w:lang w:eastAsia="es-MX"/>
        </w:rPr>
      </w:pPr>
      <w:r w:rsidRPr="00951F7B">
        <w:rPr>
          <w:rFonts w:ascii="Times New Roman" w:eastAsiaTheme="majorEastAsia" w:hAnsi="Times New Roman" w:cs="Times New Roman"/>
          <w:b/>
          <w:sz w:val="32"/>
          <w:szCs w:val="28"/>
        </w:rPr>
        <w:t>Discusión</w:t>
      </w:r>
    </w:p>
    <w:p w14:paraId="5825C8FE" w14:textId="020B9C60" w:rsidR="005B2D21" w:rsidRPr="00951F7B"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Las universidades públicas juegan un papel importante en la formación de profesionales, no </w:t>
      </w:r>
      <w:r w:rsidR="000D737A" w:rsidRPr="00951F7B">
        <w:rPr>
          <w:rFonts w:ascii="Times New Roman" w:hAnsi="Times New Roman" w:cs="Times New Roman"/>
          <w:sz w:val="24"/>
          <w:szCs w:val="24"/>
        </w:rPr>
        <w:t>s</w:t>
      </w:r>
      <w:r w:rsidR="000D737A">
        <w:rPr>
          <w:rFonts w:ascii="Times New Roman" w:hAnsi="Times New Roman" w:cs="Times New Roman"/>
          <w:sz w:val="24"/>
          <w:szCs w:val="24"/>
        </w:rPr>
        <w:t>o</w:t>
      </w:r>
      <w:r w:rsidR="000D737A" w:rsidRPr="00951F7B">
        <w:rPr>
          <w:rFonts w:ascii="Times New Roman" w:hAnsi="Times New Roman" w:cs="Times New Roman"/>
          <w:sz w:val="24"/>
          <w:szCs w:val="24"/>
        </w:rPr>
        <w:t xml:space="preserve">lo </w:t>
      </w:r>
      <w:r w:rsidR="00B23285">
        <w:rPr>
          <w:rFonts w:ascii="Times New Roman" w:hAnsi="Times New Roman" w:cs="Times New Roman"/>
          <w:sz w:val="24"/>
          <w:szCs w:val="24"/>
        </w:rPr>
        <w:t>por la transmisión de</w:t>
      </w:r>
      <w:r w:rsidRPr="00951F7B">
        <w:rPr>
          <w:rFonts w:ascii="Times New Roman" w:hAnsi="Times New Roman" w:cs="Times New Roman"/>
          <w:sz w:val="24"/>
          <w:szCs w:val="24"/>
        </w:rPr>
        <w:t xml:space="preserve"> conocimientos técnicos y profesionales, sino también</w:t>
      </w:r>
      <w:r w:rsidR="00B23285">
        <w:rPr>
          <w:rFonts w:ascii="Times New Roman" w:hAnsi="Times New Roman" w:cs="Times New Roman"/>
          <w:sz w:val="24"/>
          <w:szCs w:val="24"/>
        </w:rPr>
        <w:t xml:space="preserve"> por</w:t>
      </w:r>
      <w:r w:rsidRPr="00951F7B">
        <w:rPr>
          <w:rFonts w:ascii="Times New Roman" w:hAnsi="Times New Roman" w:cs="Times New Roman"/>
          <w:sz w:val="24"/>
          <w:szCs w:val="24"/>
        </w:rPr>
        <w:t xml:space="preserve"> las competencias sustentables que demanda el enfoque de la </w:t>
      </w:r>
      <w:r w:rsidR="005648DD">
        <w:rPr>
          <w:rFonts w:ascii="Times New Roman" w:hAnsi="Times New Roman" w:cs="Times New Roman"/>
          <w:sz w:val="24"/>
          <w:szCs w:val="24"/>
        </w:rPr>
        <w:t>educación para el desarrollo sostenible</w:t>
      </w:r>
      <w:r w:rsidRPr="00951F7B">
        <w:rPr>
          <w:rFonts w:ascii="Times New Roman" w:hAnsi="Times New Roman" w:cs="Times New Roman"/>
          <w:sz w:val="24"/>
          <w:szCs w:val="24"/>
        </w:rPr>
        <w:t xml:space="preserve"> para contribuir al desarrollo de la Agenda 2030. No obstante, esta tarea implica una genuina voluntad por gestores y tomadores de decisión universitarios para dirigir un proceso de cambio organizacional efectivo en todas las áreas del conocimiento. De acuerdo con los resultados obtenidos, la estrategia implementada por la </w:t>
      </w:r>
      <w:r w:rsidR="00620A47">
        <w:rPr>
          <w:rFonts w:ascii="Times New Roman" w:hAnsi="Times New Roman" w:cs="Times New Roman"/>
          <w:sz w:val="24"/>
          <w:szCs w:val="24"/>
        </w:rPr>
        <w:t>UdeG</w:t>
      </w:r>
      <w:r w:rsidR="004F6C84">
        <w:rPr>
          <w:rFonts w:ascii="Times New Roman" w:hAnsi="Times New Roman" w:cs="Times New Roman"/>
          <w:sz w:val="24"/>
          <w:szCs w:val="24"/>
        </w:rPr>
        <w:t xml:space="preserve"> es insuficiente</w:t>
      </w:r>
      <w:r w:rsidRPr="00951F7B">
        <w:rPr>
          <w:rFonts w:ascii="Times New Roman" w:hAnsi="Times New Roman" w:cs="Times New Roman"/>
          <w:sz w:val="24"/>
          <w:szCs w:val="24"/>
        </w:rPr>
        <w:t>.</w:t>
      </w:r>
    </w:p>
    <w:p w14:paraId="3C9C9F86" w14:textId="42113F39" w:rsidR="000E1FA4" w:rsidRPr="00951F7B" w:rsidRDefault="000E1FA4"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Como se pu</w:t>
      </w:r>
      <w:r w:rsidR="00460783" w:rsidRPr="00951F7B">
        <w:rPr>
          <w:rFonts w:ascii="Times New Roman" w:hAnsi="Times New Roman" w:cs="Times New Roman"/>
          <w:sz w:val="24"/>
          <w:szCs w:val="24"/>
        </w:rPr>
        <w:t>d</w:t>
      </w:r>
      <w:r w:rsidRPr="00951F7B">
        <w:rPr>
          <w:rFonts w:ascii="Times New Roman" w:hAnsi="Times New Roman" w:cs="Times New Roman"/>
          <w:sz w:val="24"/>
          <w:szCs w:val="24"/>
        </w:rPr>
        <w:t>o constatar con los datos analizados en esta investigación, los modelos estructurales que caracteriza</w:t>
      </w:r>
      <w:r w:rsidR="004F6C84">
        <w:rPr>
          <w:rFonts w:ascii="Times New Roman" w:hAnsi="Times New Roman" w:cs="Times New Roman"/>
          <w:sz w:val="24"/>
          <w:szCs w:val="24"/>
        </w:rPr>
        <w:t>n</w:t>
      </w:r>
      <w:r w:rsidRPr="00951F7B">
        <w:rPr>
          <w:rFonts w:ascii="Times New Roman" w:hAnsi="Times New Roman" w:cs="Times New Roman"/>
          <w:sz w:val="24"/>
          <w:szCs w:val="24"/>
        </w:rPr>
        <w:t xml:space="preserve"> a la </w:t>
      </w:r>
      <w:r w:rsidR="00620A47">
        <w:rPr>
          <w:rFonts w:ascii="Times New Roman" w:hAnsi="Times New Roman" w:cs="Times New Roman"/>
          <w:sz w:val="24"/>
          <w:szCs w:val="24"/>
        </w:rPr>
        <w:t>UdeG</w:t>
      </w:r>
      <w:r w:rsidR="004F6C84">
        <w:rPr>
          <w:rFonts w:ascii="Times New Roman" w:hAnsi="Times New Roman" w:cs="Times New Roman"/>
          <w:sz w:val="24"/>
          <w:szCs w:val="24"/>
        </w:rPr>
        <w:t xml:space="preserve"> </w:t>
      </w:r>
      <w:r w:rsidRPr="00951F7B">
        <w:rPr>
          <w:rFonts w:ascii="Times New Roman" w:hAnsi="Times New Roman" w:cs="Times New Roman"/>
          <w:sz w:val="24"/>
          <w:szCs w:val="24"/>
        </w:rPr>
        <w:t>tiene</w:t>
      </w:r>
      <w:r w:rsidR="00033BF0">
        <w:rPr>
          <w:rFonts w:ascii="Times New Roman" w:hAnsi="Times New Roman" w:cs="Times New Roman"/>
          <w:sz w:val="24"/>
          <w:szCs w:val="24"/>
        </w:rPr>
        <w:t>n</w:t>
      </w:r>
      <w:r w:rsidRPr="00951F7B">
        <w:rPr>
          <w:rFonts w:ascii="Times New Roman" w:hAnsi="Times New Roman" w:cs="Times New Roman"/>
          <w:sz w:val="24"/>
          <w:szCs w:val="24"/>
        </w:rPr>
        <w:t xml:space="preserve"> un efecto en la estrategia implementada para incorporar la perspectiva de la sustentabilidad en los programas de estudio. </w:t>
      </w:r>
      <w:r w:rsidR="00033BF0">
        <w:rPr>
          <w:rFonts w:ascii="Times New Roman" w:hAnsi="Times New Roman" w:cs="Times New Roman"/>
          <w:sz w:val="24"/>
          <w:szCs w:val="24"/>
        </w:rPr>
        <w:t>Así</w:t>
      </w:r>
      <w:r w:rsidR="006A4D23" w:rsidRPr="00951F7B">
        <w:rPr>
          <w:rFonts w:ascii="Times New Roman" w:hAnsi="Times New Roman" w:cs="Times New Roman"/>
          <w:sz w:val="24"/>
          <w:szCs w:val="24"/>
        </w:rPr>
        <w:t xml:space="preserve">, aunque el modelo multidisciplinar que caracteriza a los </w:t>
      </w:r>
      <w:r w:rsidR="00033BF0">
        <w:rPr>
          <w:rFonts w:ascii="Times New Roman" w:hAnsi="Times New Roman" w:cs="Times New Roman"/>
          <w:sz w:val="24"/>
          <w:szCs w:val="24"/>
        </w:rPr>
        <w:t>c</w:t>
      </w:r>
      <w:r w:rsidR="006A4D23" w:rsidRPr="00951F7B">
        <w:rPr>
          <w:rFonts w:ascii="Times New Roman" w:hAnsi="Times New Roman" w:cs="Times New Roman"/>
          <w:sz w:val="24"/>
          <w:szCs w:val="24"/>
        </w:rPr>
        <w:t>entro</w:t>
      </w:r>
      <w:r w:rsidR="00374337">
        <w:rPr>
          <w:rFonts w:ascii="Times New Roman" w:hAnsi="Times New Roman" w:cs="Times New Roman"/>
          <w:sz w:val="24"/>
          <w:szCs w:val="24"/>
        </w:rPr>
        <w:t>s</w:t>
      </w:r>
      <w:r w:rsidR="006A4D23" w:rsidRPr="00951F7B">
        <w:rPr>
          <w:rFonts w:ascii="Times New Roman" w:hAnsi="Times New Roman" w:cs="Times New Roman"/>
          <w:sz w:val="24"/>
          <w:szCs w:val="24"/>
        </w:rPr>
        <w:t xml:space="preserve"> universitarios regionales presentó aparentemente un valor más alto en la incorporación de la sustentabilidad en los programas con respecto de los </w:t>
      </w:r>
      <w:r w:rsidR="00033BF0">
        <w:rPr>
          <w:rFonts w:ascii="Times New Roman" w:hAnsi="Times New Roman" w:cs="Times New Roman"/>
          <w:sz w:val="24"/>
          <w:szCs w:val="24"/>
        </w:rPr>
        <w:t>c</w:t>
      </w:r>
      <w:r w:rsidR="006A4D23" w:rsidRPr="00951F7B">
        <w:rPr>
          <w:rFonts w:ascii="Times New Roman" w:hAnsi="Times New Roman" w:cs="Times New Roman"/>
          <w:sz w:val="24"/>
          <w:szCs w:val="24"/>
        </w:rPr>
        <w:t>entro</w:t>
      </w:r>
      <w:r w:rsidR="00374337">
        <w:rPr>
          <w:rFonts w:ascii="Times New Roman" w:hAnsi="Times New Roman" w:cs="Times New Roman"/>
          <w:sz w:val="24"/>
          <w:szCs w:val="24"/>
        </w:rPr>
        <w:t>s</w:t>
      </w:r>
      <w:r w:rsidR="006A4D23" w:rsidRPr="00951F7B">
        <w:rPr>
          <w:rFonts w:ascii="Times New Roman" w:hAnsi="Times New Roman" w:cs="Times New Roman"/>
          <w:sz w:val="24"/>
          <w:szCs w:val="24"/>
        </w:rPr>
        <w:t xml:space="preserve"> universitarios temáticos</w:t>
      </w:r>
      <w:r w:rsidR="00033BF0">
        <w:rPr>
          <w:rFonts w:ascii="Times New Roman" w:hAnsi="Times New Roman" w:cs="Times New Roman"/>
          <w:sz w:val="24"/>
          <w:szCs w:val="24"/>
        </w:rPr>
        <w:t>,</w:t>
      </w:r>
      <w:r w:rsidR="006A4D23" w:rsidRPr="00951F7B">
        <w:rPr>
          <w:rFonts w:ascii="Times New Roman" w:hAnsi="Times New Roman" w:cs="Times New Roman"/>
          <w:sz w:val="24"/>
          <w:szCs w:val="24"/>
        </w:rPr>
        <w:t xml:space="preserve"> este aumento no fue significativo.</w:t>
      </w:r>
    </w:p>
    <w:p w14:paraId="5FA0BD0E" w14:textId="63B1B38B" w:rsidR="005B2D21" w:rsidRPr="00951F7B" w:rsidRDefault="00103B9F"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Este resultado también encuentra coincidencia con los argumentos sostenidos por Gómez (2021)</w:t>
      </w:r>
      <w:r w:rsidR="004F6C84">
        <w:rPr>
          <w:rFonts w:ascii="Times New Roman" w:hAnsi="Times New Roman" w:cs="Times New Roman"/>
          <w:sz w:val="24"/>
          <w:szCs w:val="24"/>
        </w:rPr>
        <w:t>,</w:t>
      </w:r>
      <w:r w:rsidRPr="00951F7B">
        <w:rPr>
          <w:rFonts w:ascii="Times New Roman" w:hAnsi="Times New Roman" w:cs="Times New Roman"/>
          <w:sz w:val="24"/>
          <w:szCs w:val="24"/>
        </w:rPr>
        <w:t xml:space="preserve"> quien afirma que el cambio organizacional debería ser comprendido de la mejor forma por personas y el acompañamiento de una adaptabilidad a efecto de alcanzar un cambio efectivo</w:t>
      </w:r>
      <w:r w:rsidR="004F6C84">
        <w:rPr>
          <w:rFonts w:ascii="Times New Roman" w:hAnsi="Times New Roman" w:cs="Times New Roman"/>
          <w:sz w:val="24"/>
          <w:szCs w:val="24"/>
        </w:rPr>
        <w:t>.</w:t>
      </w:r>
      <w:r w:rsidRPr="00951F7B">
        <w:rPr>
          <w:rFonts w:ascii="Times New Roman" w:hAnsi="Times New Roman" w:cs="Times New Roman"/>
          <w:sz w:val="24"/>
          <w:szCs w:val="24"/>
        </w:rPr>
        <w:t xml:space="preserve"> </w:t>
      </w:r>
      <w:r w:rsidR="005B2D21" w:rsidRPr="00951F7B">
        <w:rPr>
          <w:rFonts w:ascii="Times New Roman" w:hAnsi="Times New Roman" w:cs="Times New Roman"/>
          <w:sz w:val="24"/>
          <w:szCs w:val="24"/>
        </w:rPr>
        <w:t xml:space="preserve">El proceso de cambio </w:t>
      </w:r>
      <w:r w:rsidR="00301826" w:rsidRPr="00951F7B">
        <w:rPr>
          <w:rFonts w:ascii="Times New Roman" w:hAnsi="Times New Roman" w:cs="Times New Roman"/>
          <w:sz w:val="24"/>
          <w:szCs w:val="24"/>
        </w:rPr>
        <w:t>implica considerar también la</w:t>
      </w:r>
      <w:r w:rsidR="005B2D21" w:rsidRPr="00951F7B">
        <w:rPr>
          <w:rFonts w:ascii="Times New Roman" w:hAnsi="Times New Roman" w:cs="Times New Roman"/>
          <w:sz w:val="24"/>
          <w:szCs w:val="24"/>
        </w:rPr>
        <w:t xml:space="preserve"> cultura </w:t>
      </w:r>
      <w:r w:rsidR="00301826" w:rsidRPr="00951F7B">
        <w:rPr>
          <w:rFonts w:ascii="Times New Roman" w:hAnsi="Times New Roman" w:cs="Times New Roman"/>
          <w:sz w:val="24"/>
          <w:szCs w:val="24"/>
        </w:rPr>
        <w:t xml:space="preserve">que caracteriza a la universidad, es decir, </w:t>
      </w:r>
      <w:r w:rsidR="005B2D21" w:rsidRPr="00951F7B">
        <w:rPr>
          <w:rFonts w:ascii="Times New Roman" w:hAnsi="Times New Roman" w:cs="Times New Roman"/>
          <w:sz w:val="24"/>
          <w:szCs w:val="24"/>
        </w:rPr>
        <w:t xml:space="preserve">cómo las actividades sustantivas son </w:t>
      </w:r>
      <w:r w:rsidR="00331D1D" w:rsidRPr="00951F7B">
        <w:rPr>
          <w:rFonts w:ascii="Times New Roman" w:hAnsi="Times New Roman" w:cs="Times New Roman"/>
          <w:sz w:val="24"/>
          <w:szCs w:val="24"/>
        </w:rPr>
        <w:t>realizadas</w:t>
      </w:r>
      <w:r w:rsidR="005B2D21" w:rsidRPr="00951F7B">
        <w:rPr>
          <w:rFonts w:ascii="Times New Roman" w:hAnsi="Times New Roman" w:cs="Times New Roman"/>
          <w:sz w:val="24"/>
          <w:szCs w:val="24"/>
        </w:rPr>
        <w:t xml:space="preserve"> </w:t>
      </w:r>
      <w:r w:rsidR="00301826" w:rsidRPr="00951F7B">
        <w:rPr>
          <w:rFonts w:ascii="Times New Roman" w:hAnsi="Times New Roman" w:cs="Times New Roman"/>
          <w:sz w:val="24"/>
          <w:szCs w:val="24"/>
        </w:rPr>
        <w:t xml:space="preserve">y </w:t>
      </w:r>
      <w:r w:rsidR="00331D1D" w:rsidRPr="00951F7B">
        <w:rPr>
          <w:rFonts w:ascii="Times New Roman" w:hAnsi="Times New Roman" w:cs="Times New Roman"/>
          <w:sz w:val="24"/>
          <w:szCs w:val="24"/>
        </w:rPr>
        <w:t>cuál</w:t>
      </w:r>
      <w:r w:rsidR="00301826" w:rsidRPr="00951F7B">
        <w:rPr>
          <w:rFonts w:ascii="Times New Roman" w:hAnsi="Times New Roman" w:cs="Times New Roman"/>
          <w:sz w:val="24"/>
          <w:szCs w:val="24"/>
        </w:rPr>
        <w:t xml:space="preserve"> es el compartimento de los actores </w:t>
      </w:r>
      <w:r w:rsidR="00331D1D" w:rsidRPr="00951F7B">
        <w:rPr>
          <w:rFonts w:ascii="Times New Roman" w:hAnsi="Times New Roman" w:cs="Times New Roman"/>
          <w:sz w:val="24"/>
          <w:szCs w:val="24"/>
        </w:rPr>
        <w:t>que las ejecutan,</w:t>
      </w:r>
      <w:r w:rsidR="00301826" w:rsidRPr="00951F7B">
        <w:rPr>
          <w:rFonts w:ascii="Times New Roman" w:hAnsi="Times New Roman" w:cs="Times New Roman"/>
          <w:sz w:val="24"/>
          <w:szCs w:val="24"/>
        </w:rPr>
        <w:t xml:space="preserve"> as</w:t>
      </w:r>
      <w:r w:rsidR="005B2D21" w:rsidRPr="00951F7B">
        <w:rPr>
          <w:rFonts w:ascii="Times New Roman" w:hAnsi="Times New Roman" w:cs="Times New Roman"/>
          <w:sz w:val="24"/>
          <w:szCs w:val="24"/>
        </w:rPr>
        <w:t xml:space="preserve">pectos </w:t>
      </w:r>
      <w:r w:rsidR="00331D1D" w:rsidRPr="00951F7B">
        <w:rPr>
          <w:rFonts w:ascii="Times New Roman" w:hAnsi="Times New Roman" w:cs="Times New Roman"/>
          <w:sz w:val="24"/>
          <w:szCs w:val="24"/>
        </w:rPr>
        <w:t xml:space="preserve">que </w:t>
      </w:r>
      <w:r w:rsidR="005B2D21" w:rsidRPr="00951F7B">
        <w:rPr>
          <w:rFonts w:ascii="Times New Roman" w:hAnsi="Times New Roman" w:cs="Times New Roman"/>
          <w:sz w:val="24"/>
          <w:szCs w:val="24"/>
        </w:rPr>
        <w:t>deben considerarse a efecto de lograr un efectivo proceso de transición. El campo de conocimiento de la</w:t>
      </w:r>
      <w:r w:rsidR="00331D1D" w:rsidRPr="00951F7B">
        <w:rPr>
          <w:rFonts w:ascii="Times New Roman" w:hAnsi="Times New Roman" w:cs="Times New Roman"/>
          <w:sz w:val="24"/>
          <w:szCs w:val="24"/>
        </w:rPr>
        <w:t xml:space="preserve"> gestión es de carácter</w:t>
      </w:r>
      <w:r w:rsidR="00301826" w:rsidRPr="00951F7B">
        <w:rPr>
          <w:rFonts w:ascii="Times New Roman" w:hAnsi="Times New Roman" w:cs="Times New Roman"/>
          <w:sz w:val="24"/>
          <w:szCs w:val="24"/>
        </w:rPr>
        <w:t xml:space="preserve"> inter y transdisciplinar, como también son la educación ambiental y la educación para el desarrollo sostenible. </w:t>
      </w:r>
      <w:r w:rsidR="00D21F5F">
        <w:rPr>
          <w:rFonts w:ascii="Times New Roman" w:hAnsi="Times New Roman" w:cs="Times New Roman"/>
          <w:sz w:val="24"/>
          <w:szCs w:val="24"/>
        </w:rPr>
        <w:t>E</w:t>
      </w:r>
      <w:r w:rsidR="00301826" w:rsidRPr="00951F7B">
        <w:rPr>
          <w:rFonts w:ascii="Times New Roman" w:hAnsi="Times New Roman" w:cs="Times New Roman"/>
          <w:sz w:val="24"/>
          <w:szCs w:val="24"/>
        </w:rPr>
        <w:t xml:space="preserve">l simple hecho de añadir </w:t>
      </w:r>
      <w:r w:rsidR="005B2D21" w:rsidRPr="00951F7B">
        <w:rPr>
          <w:rFonts w:ascii="Times New Roman" w:hAnsi="Times New Roman" w:cs="Times New Roman"/>
          <w:sz w:val="24"/>
          <w:szCs w:val="24"/>
        </w:rPr>
        <w:t xml:space="preserve">contenidos sustentables no trascenderá si </w:t>
      </w:r>
      <w:r w:rsidR="00331D1D" w:rsidRPr="00951F7B">
        <w:rPr>
          <w:rFonts w:ascii="Times New Roman" w:hAnsi="Times New Roman" w:cs="Times New Roman"/>
          <w:sz w:val="24"/>
          <w:szCs w:val="24"/>
        </w:rPr>
        <w:t>las universidades públicas continúan siendo conservadoras de modelos estructurales del siglo pasado.</w:t>
      </w:r>
    </w:p>
    <w:p w14:paraId="3481B913" w14:textId="23041E96" w:rsidR="005B2D21" w:rsidRPr="00951F7B"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Se puede considerar que la </w:t>
      </w:r>
      <w:r w:rsidR="00620A47">
        <w:rPr>
          <w:rFonts w:ascii="Times New Roman" w:hAnsi="Times New Roman" w:cs="Times New Roman"/>
          <w:sz w:val="24"/>
          <w:szCs w:val="24"/>
        </w:rPr>
        <w:t>UdeG</w:t>
      </w:r>
      <w:r w:rsidRPr="00951F7B">
        <w:rPr>
          <w:rFonts w:ascii="Times New Roman" w:hAnsi="Times New Roman" w:cs="Times New Roman"/>
          <w:sz w:val="24"/>
          <w:szCs w:val="24"/>
        </w:rPr>
        <w:t xml:space="preserve"> </w:t>
      </w:r>
      <w:r w:rsidR="00D70765" w:rsidRPr="00951F7B">
        <w:rPr>
          <w:rFonts w:ascii="Times New Roman" w:hAnsi="Times New Roman" w:cs="Times New Roman"/>
          <w:sz w:val="24"/>
          <w:szCs w:val="24"/>
        </w:rPr>
        <w:t>—</w:t>
      </w:r>
      <w:r w:rsidR="00331D1D" w:rsidRPr="00951F7B">
        <w:rPr>
          <w:rFonts w:ascii="Times New Roman" w:hAnsi="Times New Roman" w:cs="Times New Roman"/>
          <w:sz w:val="24"/>
          <w:szCs w:val="24"/>
        </w:rPr>
        <w:t>al igual que muchas otras</w:t>
      </w:r>
      <w:r w:rsidRPr="00951F7B">
        <w:rPr>
          <w:rFonts w:ascii="Times New Roman" w:hAnsi="Times New Roman" w:cs="Times New Roman"/>
          <w:sz w:val="24"/>
          <w:szCs w:val="24"/>
        </w:rPr>
        <w:t xml:space="preserve"> universidades públicas mexicanas</w:t>
      </w:r>
      <w:r w:rsidR="00D70765" w:rsidRPr="00951F7B">
        <w:rPr>
          <w:rFonts w:ascii="Times New Roman" w:hAnsi="Times New Roman" w:cs="Times New Roman"/>
          <w:sz w:val="24"/>
          <w:szCs w:val="24"/>
        </w:rPr>
        <w:t>—</w:t>
      </w:r>
      <w:r w:rsidRPr="00951F7B">
        <w:rPr>
          <w:rFonts w:ascii="Times New Roman" w:hAnsi="Times New Roman" w:cs="Times New Roman"/>
          <w:sz w:val="24"/>
          <w:szCs w:val="24"/>
        </w:rPr>
        <w:t xml:space="preserve"> mantiene un esquema de estructuración h</w:t>
      </w:r>
      <w:r w:rsidR="007C047E">
        <w:rPr>
          <w:rFonts w:ascii="Times New Roman" w:hAnsi="Times New Roman" w:cs="Times New Roman"/>
          <w:sz w:val="24"/>
          <w:szCs w:val="24"/>
        </w:rPr>
        <w:t>í</w:t>
      </w:r>
      <w:r w:rsidRPr="00951F7B">
        <w:rPr>
          <w:rFonts w:ascii="Times New Roman" w:hAnsi="Times New Roman" w:cs="Times New Roman"/>
          <w:sz w:val="24"/>
          <w:szCs w:val="24"/>
        </w:rPr>
        <w:t>brida</w:t>
      </w:r>
      <w:r w:rsidR="007F54E5">
        <w:rPr>
          <w:rFonts w:ascii="Times New Roman" w:hAnsi="Times New Roman" w:cs="Times New Roman"/>
          <w:sz w:val="24"/>
          <w:szCs w:val="24"/>
        </w:rPr>
        <w:t>.</w:t>
      </w:r>
      <w:r w:rsidR="00E9580A" w:rsidRPr="00951F7B">
        <w:rPr>
          <w:rFonts w:ascii="Times New Roman" w:hAnsi="Times New Roman" w:cs="Times New Roman"/>
          <w:sz w:val="24"/>
          <w:szCs w:val="24"/>
        </w:rPr>
        <w:t xml:space="preserve"> </w:t>
      </w:r>
      <w:r w:rsidR="007F54E5">
        <w:rPr>
          <w:rFonts w:ascii="Times New Roman" w:hAnsi="Times New Roman" w:cs="Times New Roman"/>
          <w:sz w:val="24"/>
          <w:szCs w:val="24"/>
        </w:rPr>
        <w:t>P</w:t>
      </w:r>
      <w:r w:rsidR="007F54E5" w:rsidRPr="00951F7B">
        <w:rPr>
          <w:rFonts w:ascii="Times New Roman" w:hAnsi="Times New Roman" w:cs="Times New Roman"/>
          <w:sz w:val="24"/>
          <w:szCs w:val="24"/>
        </w:rPr>
        <w:t xml:space="preserve">or </w:t>
      </w:r>
      <w:r w:rsidRPr="00951F7B">
        <w:rPr>
          <w:rFonts w:ascii="Times New Roman" w:hAnsi="Times New Roman" w:cs="Times New Roman"/>
          <w:sz w:val="24"/>
          <w:szCs w:val="24"/>
        </w:rPr>
        <w:t>un lado, se conserva un modelo napoleónico caracterizado por facultades con acotadas áreas del conocimiento</w:t>
      </w:r>
      <w:r w:rsidR="007F54E5">
        <w:rPr>
          <w:rFonts w:ascii="Times New Roman" w:hAnsi="Times New Roman" w:cs="Times New Roman"/>
          <w:sz w:val="24"/>
          <w:szCs w:val="24"/>
        </w:rPr>
        <w:t>.</w:t>
      </w:r>
      <w:r w:rsidR="00E9580A">
        <w:rPr>
          <w:rFonts w:ascii="Times New Roman" w:hAnsi="Times New Roman" w:cs="Times New Roman"/>
          <w:sz w:val="24"/>
          <w:szCs w:val="24"/>
        </w:rPr>
        <w:t xml:space="preserve"> </w:t>
      </w:r>
      <w:r w:rsidR="007F54E5">
        <w:rPr>
          <w:rFonts w:ascii="Times New Roman" w:hAnsi="Times New Roman" w:cs="Times New Roman"/>
          <w:sz w:val="24"/>
          <w:szCs w:val="24"/>
        </w:rPr>
        <w:t>P</w:t>
      </w:r>
      <w:r w:rsidR="00E9580A">
        <w:rPr>
          <w:rFonts w:ascii="Times New Roman" w:hAnsi="Times New Roman" w:cs="Times New Roman"/>
          <w:sz w:val="24"/>
          <w:szCs w:val="24"/>
        </w:rPr>
        <w:t>or</w:t>
      </w:r>
      <w:r w:rsidRPr="00951F7B">
        <w:rPr>
          <w:rFonts w:ascii="Times New Roman" w:hAnsi="Times New Roman" w:cs="Times New Roman"/>
          <w:sz w:val="24"/>
          <w:szCs w:val="24"/>
        </w:rPr>
        <w:t xml:space="preserve"> otro, la creciente creación de nuevos </w:t>
      </w:r>
      <w:r w:rsidR="00E9580A" w:rsidRPr="00951F7B">
        <w:rPr>
          <w:rFonts w:ascii="Times New Roman" w:hAnsi="Times New Roman" w:cs="Times New Roman"/>
          <w:sz w:val="24"/>
          <w:szCs w:val="24"/>
        </w:rPr>
        <w:t>centro</w:t>
      </w:r>
      <w:r w:rsidR="00374337">
        <w:rPr>
          <w:rFonts w:ascii="Times New Roman" w:hAnsi="Times New Roman" w:cs="Times New Roman"/>
          <w:sz w:val="24"/>
          <w:szCs w:val="24"/>
        </w:rPr>
        <w:t>s</w:t>
      </w:r>
      <w:r w:rsidR="00E9580A" w:rsidRPr="00951F7B">
        <w:rPr>
          <w:rFonts w:ascii="Times New Roman" w:hAnsi="Times New Roman" w:cs="Times New Roman"/>
          <w:sz w:val="24"/>
          <w:szCs w:val="24"/>
        </w:rPr>
        <w:t xml:space="preserve"> universitarios regionales </w:t>
      </w:r>
      <w:r w:rsidRPr="00951F7B">
        <w:rPr>
          <w:rFonts w:ascii="Times New Roman" w:hAnsi="Times New Roman" w:cs="Times New Roman"/>
          <w:sz w:val="24"/>
          <w:szCs w:val="24"/>
        </w:rPr>
        <w:t xml:space="preserve">multidisciplinarios </w:t>
      </w:r>
      <w:r w:rsidR="00E9580A">
        <w:rPr>
          <w:rFonts w:ascii="Times New Roman" w:hAnsi="Times New Roman" w:cs="Times New Roman"/>
          <w:sz w:val="24"/>
          <w:szCs w:val="24"/>
        </w:rPr>
        <w:t xml:space="preserve">que </w:t>
      </w:r>
      <w:r w:rsidR="00E9580A">
        <w:rPr>
          <w:rFonts w:ascii="Times New Roman" w:hAnsi="Times New Roman" w:cs="Times New Roman"/>
          <w:sz w:val="24"/>
          <w:szCs w:val="24"/>
        </w:rPr>
        <w:lastRenderedPageBreak/>
        <w:t>aglutinan un amplio</w:t>
      </w:r>
      <w:r w:rsidRPr="00951F7B">
        <w:rPr>
          <w:rFonts w:ascii="Times New Roman" w:hAnsi="Times New Roman" w:cs="Times New Roman"/>
          <w:sz w:val="24"/>
          <w:szCs w:val="24"/>
        </w:rPr>
        <w:t xml:space="preserve"> abanico de áreas del conocimiento estructuradas en divisiones y departamentos. </w:t>
      </w:r>
      <w:r w:rsidR="00892007">
        <w:rPr>
          <w:rFonts w:ascii="Times New Roman" w:hAnsi="Times New Roman" w:cs="Times New Roman"/>
          <w:sz w:val="24"/>
          <w:szCs w:val="24"/>
        </w:rPr>
        <w:t xml:space="preserve">Huelga decir que </w:t>
      </w:r>
      <w:r w:rsidRPr="00951F7B">
        <w:rPr>
          <w:rFonts w:ascii="Times New Roman" w:hAnsi="Times New Roman" w:cs="Times New Roman"/>
          <w:sz w:val="24"/>
          <w:szCs w:val="24"/>
        </w:rPr>
        <w:t>esto no quiere decir que el trabajo transdisciplinar en estos sitios sea una práctica que forme parte de la cultura organizacional</w:t>
      </w:r>
      <w:r w:rsidR="00E9580A">
        <w:rPr>
          <w:rFonts w:ascii="Times New Roman" w:hAnsi="Times New Roman" w:cs="Times New Roman"/>
          <w:sz w:val="24"/>
          <w:szCs w:val="24"/>
        </w:rPr>
        <w:t>;</w:t>
      </w:r>
      <w:r w:rsidR="00E9580A" w:rsidRPr="00951F7B">
        <w:rPr>
          <w:rFonts w:ascii="Times New Roman" w:hAnsi="Times New Roman" w:cs="Times New Roman"/>
          <w:sz w:val="24"/>
          <w:szCs w:val="24"/>
        </w:rPr>
        <w:t xml:space="preserve"> </w:t>
      </w:r>
      <w:r w:rsidRPr="00951F7B">
        <w:rPr>
          <w:rFonts w:ascii="Times New Roman" w:hAnsi="Times New Roman" w:cs="Times New Roman"/>
          <w:sz w:val="24"/>
          <w:szCs w:val="24"/>
        </w:rPr>
        <w:t>para esto se requieren cambios de fondo que afecten su modelo educativo, académico y el propio currículo universitario.</w:t>
      </w:r>
    </w:p>
    <w:p w14:paraId="6FA5D276" w14:textId="47DF6E1F" w:rsidR="005B2D21" w:rsidRPr="00951F7B" w:rsidRDefault="00697162" w:rsidP="00951F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Y p</w:t>
      </w:r>
      <w:r w:rsidRPr="00951F7B">
        <w:rPr>
          <w:rFonts w:ascii="Times New Roman" w:hAnsi="Times New Roman" w:cs="Times New Roman"/>
          <w:sz w:val="24"/>
          <w:szCs w:val="24"/>
        </w:rPr>
        <w:t xml:space="preserve">or </w:t>
      </w:r>
      <w:r w:rsidR="005B2D21" w:rsidRPr="00951F7B">
        <w:rPr>
          <w:rFonts w:ascii="Times New Roman" w:hAnsi="Times New Roman" w:cs="Times New Roman"/>
          <w:sz w:val="24"/>
          <w:szCs w:val="24"/>
        </w:rPr>
        <w:t>otr</w:t>
      </w:r>
      <w:r>
        <w:rPr>
          <w:rFonts w:ascii="Times New Roman" w:hAnsi="Times New Roman" w:cs="Times New Roman"/>
          <w:sz w:val="24"/>
          <w:szCs w:val="24"/>
        </w:rPr>
        <w:t>o más</w:t>
      </w:r>
      <w:r w:rsidR="005B2D21" w:rsidRPr="00951F7B">
        <w:rPr>
          <w:rFonts w:ascii="Times New Roman" w:hAnsi="Times New Roman" w:cs="Times New Roman"/>
          <w:sz w:val="24"/>
          <w:szCs w:val="24"/>
        </w:rPr>
        <w:t xml:space="preserve">, un modelo de estructuración maquinal, </w:t>
      </w:r>
      <w:r w:rsidR="007E774E">
        <w:rPr>
          <w:rFonts w:ascii="Times New Roman" w:hAnsi="Times New Roman" w:cs="Times New Roman"/>
          <w:sz w:val="24"/>
          <w:szCs w:val="24"/>
        </w:rPr>
        <w:t xml:space="preserve">el cual </w:t>
      </w:r>
      <w:r w:rsidR="005B2D21" w:rsidRPr="00951F7B">
        <w:rPr>
          <w:rFonts w:ascii="Times New Roman" w:hAnsi="Times New Roman" w:cs="Times New Roman"/>
          <w:sz w:val="24"/>
          <w:szCs w:val="24"/>
        </w:rPr>
        <w:t xml:space="preserve">se caracteriza </w:t>
      </w:r>
      <w:r w:rsidR="007E774E">
        <w:rPr>
          <w:rFonts w:ascii="Times New Roman" w:hAnsi="Times New Roman" w:cs="Times New Roman"/>
          <w:sz w:val="24"/>
          <w:szCs w:val="24"/>
        </w:rPr>
        <w:t>por</w:t>
      </w:r>
      <w:r w:rsidR="007E774E" w:rsidRPr="00951F7B">
        <w:rPr>
          <w:rFonts w:ascii="Times New Roman" w:hAnsi="Times New Roman" w:cs="Times New Roman"/>
          <w:sz w:val="24"/>
          <w:szCs w:val="24"/>
        </w:rPr>
        <w:t xml:space="preserve"> </w:t>
      </w:r>
      <w:r w:rsidR="005B2D21" w:rsidRPr="00951F7B">
        <w:rPr>
          <w:rFonts w:ascii="Times New Roman" w:hAnsi="Times New Roman" w:cs="Times New Roman"/>
          <w:sz w:val="24"/>
          <w:szCs w:val="24"/>
        </w:rPr>
        <w:t>una centralización de la autoridad</w:t>
      </w:r>
      <w:r w:rsidR="00331D1D" w:rsidRPr="00951F7B">
        <w:rPr>
          <w:rFonts w:ascii="Times New Roman" w:hAnsi="Times New Roman" w:cs="Times New Roman"/>
          <w:sz w:val="24"/>
          <w:szCs w:val="24"/>
        </w:rPr>
        <w:t>,</w:t>
      </w:r>
      <w:r w:rsidR="005B2D21" w:rsidRPr="00951F7B">
        <w:rPr>
          <w:rFonts w:ascii="Times New Roman" w:hAnsi="Times New Roman" w:cs="Times New Roman"/>
          <w:sz w:val="24"/>
          <w:szCs w:val="24"/>
        </w:rPr>
        <w:t xml:space="preserve"> y la carencia </w:t>
      </w:r>
      <w:r w:rsidR="00331D1D" w:rsidRPr="00951F7B">
        <w:rPr>
          <w:rFonts w:ascii="Times New Roman" w:hAnsi="Times New Roman" w:cs="Times New Roman"/>
          <w:sz w:val="24"/>
          <w:szCs w:val="24"/>
        </w:rPr>
        <w:t>participación</w:t>
      </w:r>
      <w:r w:rsidR="005B2D21" w:rsidRPr="00951F7B">
        <w:rPr>
          <w:rFonts w:ascii="Times New Roman" w:hAnsi="Times New Roman" w:cs="Times New Roman"/>
          <w:sz w:val="24"/>
          <w:szCs w:val="24"/>
        </w:rPr>
        <w:t xml:space="preserve"> de los docentes en </w:t>
      </w:r>
      <w:r w:rsidR="00331D1D" w:rsidRPr="00951F7B">
        <w:rPr>
          <w:rFonts w:ascii="Times New Roman" w:hAnsi="Times New Roman" w:cs="Times New Roman"/>
          <w:sz w:val="24"/>
          <w:szCs w:val="24"/>
        </w:rPr>
        <w:t xml:space="preserve">el proceso de </w:t>
      </w:r>
      <w:r w:rsidR="005B2D21" w:rsidRPr="00951F7B">
        <w:rPr>
          <w:rFonts w:ascii="Times New Roman" w:hAnsi="Times New Roman" w:cs="Times New Roman"/>
          <w:sz w:val="24"/>
          <w:szCs w:val="24"/>
        </w:rPr>
        <w:t xml:space="preserve">toma de decisiones, </w:t>
      </w:r>
      <w:r>
        <w:rPr>
          <w:rFonts w:ascii="Times New Roman" w:hAnsi="Times New Roman" w:cs="Times New Roman"/>
          <w:sz w:val="24"/>
          <w:szCs w:val="24"/>
        </w:rPr>
        <w:t xml:space="preserve">todo lo cual </w:t>
      </w:r>
      <w:r w:rsidR="005B2D21" w:rsidRPr="00951F7B">
        <w:rPr>
          <w:rFonts w:ascii="Times New Roman" w:hAnsi="Times New Roman" w:cs="Times New Roman"/>
          <w:sz w:val="24"/>
          <w:szCs w:val="24"/>
        </w:rPr>
        <w:t xml:space="preserve">representa un obstáculo en la estrategia para incorporar una formación integral y de la sustentabilidad en los programas de estudio de pregrado de la </w:t>
      </w:r>
      <w:r>
        <w:rPr>
          <w:rFonts w:ascii="Times New Roman" w:hAnsi="Times New Roman" w:cs="Times New Roman"/>
          <w:sz w:val="24"/>
          <w:szCs w:val="24"/>
        </w:rPr>
        <w:t>u</w:t>
      </w:r>
      <w:r w:rsidR="005B2D21" w:rsidRPr="00951F7B">
        <w:rPr>
          <w:rFonts w:ascii="Times New Roman" w:hAnsi="Times New Roman" w:cs="Times New Roman"/>
          <w:sz w:val="24"/>
          <w:szCs w:val="24"/>
        </w:rPr>
        <w:t xml:space="preserve">niversidad. </w:t>
      </w:r>
    </w:p>
    <w:p w14:paraId="4787DA6C" w14:textId="67153D49" w:rsidR="005B2D21" w:rsidRPr="00951F7B"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El trabajo inter y transdisciplinar </w:t>
      </w:r>
      <w:r w:rsidR="00D30908">
        <w:rPr>
          <w:rFonts w:ascii="Times New Roman" w:hAnsi="Times New Roman" w:cs="Times New Roman"/>
          <w:sz w:val="24"/>
          <w:szCs w:val="24"/>
        </w:rPr>
        <w:t>incluye</w:t>
      </w:r>
      <w:r w:rsidR="00D30908"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aspectos que </w:t>
      </w:r>
      <w:r w:rsidRPr="00951F7B">
        <w:rPr>
          <w:rFonts w:ascii="Times New Roman" w:hAnsi="Times New Roman" w:cs="Times New Roman"/>
          <w:i/>
          <w:sz w:val="24"/>
          <w:szCs w:val="24"/>
        </w:rPr>
        <w:t>a priori</w:t>
      </w:r>
      <w:r w:rsidRPr="00951F7B">
        <w:rPr>
          <w:rFonts w:ascii="Times New Roman" w:hAnsi="Times New Roman" w:cs="Times New Roman"/>
          <w:sz w:val="24"/>
          <w:szCs w:val="24"/>
        </w:rPr>
        <w:t xml:space="preserve"> permiten a las universidades públicas contribuir en su compromiso con el desarrollo sostenible. La última reforma estructural a fondo realizada por la </w:t>
      </w:r>
      <w:r w:rsidR="00620A47">
        <w:rPr>
          <w:rFonts w:ascii="Times New Roman" w:hAnsi="Times New Roman" w:cs="Times New Roman"/>
          <w:sz w:val="24"/>
          <w:szCs w:val="24"/>
        </w:rPr>
        <w:t>UdeG</w:t>
      </w:r>
      <w:r w:rsidRPr="00951F7B">
        <w:rPr>
          <w:rFonts w:ascii="Times New Roman" w:hAnsi="Times New Roman" w:cs="Times New Roman"/>
          <w:sz w:val="24"/>
          <w:szCs w:val="24"/>
        </w:rPr>
        <w:t xml:space="preserve"> fue en el periodo 1989-1994</w:t>
      </w:r>
      <w:r w:rsidR="00B60C25">
        <w:rPr>
          <w:rFonts w:ascii="Times New Roman" w:hAnsi="Times New Roman" w:cs="Times New Roman"/>
          <w:sz w:val="24"/>
          <w:szCs w:val="24"/>
        </w:rPr>
        <w:t>. E</w:t>
      </w:r>
      <w:r w:rsidRPr="00951F7B">
        <w:rPr>
          <w:rFonts w:ascii="Times New Roman" w:hAnsi="Times New Roman" w:cs="Times New Roman"/>
          <w:sz w:val="24"/>
          <w:szCs w:val="24"/>
        </w:rPr>
        <w:t xml:space="preserve">ntre otros sucesos </w:t>
      </w:r>
      <w:r w:rsidR="00B60C25">
        <w:rPr>
          <w:rFonts w:ascii="Times New Roman" w:hAnsi="Times New Roman" w:cs="Times New Roman"/>
          <w:sz w:val="24"/>
          <w:szCs w:val="24"/>
        </w:rPr>
        <w:t xml:space="preserve">consolidó </w:t>
      </w:r>
      <w:r w:rsidRPr="00951F7B">
        <w:rPr>
          <w:rFonts w:ascii="Times New Roman" w:hAnsi="Times New Roman" w:cs="Times New Roman"/>
          <w:sz w:val="24"/>
          <w:szCs w:val="24"/>
        </w:rPr>
        <w:t>la Red Universitaria de Jalisco y</w:t>
      </w:r>
      <w:r w:rsidR="00B60C25">
        <w:rPr>
          <w:rFonts w:ascii="Times New Roman" w:hAnsi="Times New Roman" w:cs="Times New Roman"/>
          <w:sz w:val="24"/>
          <w:szCs w:val="24"/>
        </w:rPr>
        <w:t>,</w:t>
      </w:r>
      <w:r w:rsidRPr="00951F7B">
        <w:rPr>
          <w:rFonts w:ascii="Times New Roman" w:hAnsi="Times New Roman" w:cs="Times New Roman"/>
          <w:sz w:val="24"/>
          <w:szCs w:val="24"/>
        </w:rPr>
        <w:t xml:space="preserve"> con ello</w:t>
      </w:r>
      <w:r w:rsidR="00B60C25">
        <w:rPr>
          <w:rFonts w:ascii="Times New Roman" w:hAnsi="Times New Roman" w:cs="Times New Roman"/>
          <w:sz w:val="24"/>
          <w:szCs w:val="24"/>
        </w:rPr>
        <w:t>,</w:t>
      </w:r>
      <w:r w:rsidRPr="00951F7B">
        <w:rPr>
          <w:rFonts w:ascii="Times New Roman" w:hAnsi="Times New Roman" w:cs="Times New Roman"/>
          <w:sz w:val="24"/>
          <w:szCs w:val="24"/>
        </w:rPr>
        <w:t xml:space="preserve"> el surgimiento de los </w:t>
      </w:r>
      <w:r w:rsidR="00B60C25" w:rsidRPr="00951F7B">
        <w:rPr>
          <w:rFonts w:ascii="Times New Roman" w:hAnsi="Times New Roman" w:cs="Times New Roman"/>
          <w:sz w:val="24"/>
          <w:szCs w:val="24"/>
        </w:rPr>
        <w:t>centro</w:t>
      </w:r>
      <w:r w:rsidR="00374337">
        <w:rPr>
          <w:rFonts w:ascii="Times New Roman" w:hAnsi="Times New Roman" w:cs="Times New Roman"/>
          <w:sz w:val="24"/>
          <w:szCs w:val="24"/>
        </w:rPr>
        <w:t>s</w:t>
      </w:r>
      <w:r w:rsidR="00B60C25" w:rsidRPr="00951F7B">
        <w:rPr>
          <w:rFonts w:ascii="Times New Roman" w:hAnsi="Times New Roman" w:cs="Times New Roman"/>
          <w:sz w:val="24"/>
          <w:szCs w:val="24"/>
        </w:rPr>
        <w:t xml:space="preserve"> universitarios </w:t>
      </w:r>
      <w:r w:rsidRPr="00951F7B">
        <w:rPr>
          <w:rFonts w:ascii="Times New Roman" w:hAnsi="Times New Roman" w:cs="Times New Roman"/>
          <w:sz w:val="24"/>
          <w:szCs w:val="24"/>
        </w:rPr>
        <w:t>multidisciplinarios. Esta reforma representó un hito para consolidar el trabajo inter y transdisciplinar</w:t>
      </w:r>
      <w:r w:rsidR="00B60C25">
        <w:rPr>
          <w:rFonts w:ascii="Times New Roman" w:hAnsi="Times New Roman" w:cs="Times New Roman"/>
          <w:sz w:val="24"/>
          <w:szCs w:val="24"/>
        </w:rPr>
        <w:t>;</w:t>
      </w:r>
      <w:r w:rsidR="00B60C25" w:rsidRPr="00951F7B">
        <w:rPr>
          <w:rFonts w:ascii="Times New Roman" w:hAnsi="Times New Roman" w:cs="Times New Roman"/>
          <w:sz w:val="24"/>
          <w:szCs w:val="24"/>
        </w:rPr>
        <w:t xml:space="preserve"> </w:t>
      </w:r>
      <w:r w:rsidRPr="00951F7B">
        <w:rPr>
          <w:rFonts w:ascii="Times New Roman" w:hAnsi="Times New Roman" w:cs="Times New Roman"/>
          <w:sz w:val="24"/>
          <w:szCs w:val="24"/>
        </w:rPr>
        <w:t>sin embargo, aún falta que esta intención logre establecerse como una cultura de trabajo entre docentes y directivos, aspecto que representa uno de los principios de la Agenda 2030 para el Desarrollo Sostenible.</w:t>
      </w:r>
    </w:p>
    <w:p w14:paraId="41D34E41" w14:textId="781E99EC" w:rsidR="005B2D21" w:rsidRPr="00951F7B"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La </w:t>
      </w:r>
      <w:r w:rsidR="00B60C25">
        <w:rPr>
          <w:rFonts w:ascii="Times New Roman" w:hAnsi="Times New Roman" w:cs="Times New Roman"/>
          <w:sz w:val="24"/>
          <w:szCs w:val="24"/>
        </w:rPr>
        <w:t>UdeG</w:t>
      </w:r>
      <w:r w:rsidR="00B60C25" w:rsidRPr="00951F7B">
        <w:rPr>
          <w:rFonts w:ascii="Times New Roman" w:hAnsi="Times New Roman" w:cs="Times New Roman"/>
          <w:sz w:val="24"/>
          <w:szCs w:val="24"/>
        </w:rPr>
        <w:t xml:space="preserve"> </w:t>
      </w:r>
      <w:r w:rsidR="00331D1D" w:rsidRPr="00951F7B">
        <w:rPr>
          <w:rFonts w:ascii="Times New Roman" w:hAnsi="Times New Roman" w:cs="Times New Roman"/>
          <w:sz w:val="24"/>
          <w:szCs w:val="24"/>
        </w:rPr>
        <w:t xml:space="preserve">no </w:t>
      </w:r>
      <w:r w:rsidR="00B60C25">
        <w:rPr>
          <w:rFonts w:ascii="Times New Roman" w:hAnsi="Times New Roman" w:cs="Times New Roman"/>
          <w:sz w:val="24"/>
          <w:szCs w:val="24"/>
        </w:rPr>
        <w:t>debe</w:t>
      </w:r>
      <w:r w:rsidR="00B60C25" w:rsidRPr="00951F7B">
        <w:rPr>
          <w:rFonts w:ascii="Times New Roman" w:hAnsi="Times New Roman" w:cs="Times New Roman"/>
          <w:sz w:val="24"/>
          <w:szCs w:val="24"/>
        </w:rPr>
        <w:t xml:space="preserve"> </w:t>
      </w:r>
      <w:r w:rsidR="00331D1D" w:rsidRPr="00951F7B">
        <w:rPr>
          <w:rFonts w:ascii="Times New Roman" w:hAnsi="Times New Roman" w:cs="Times New Roman"/>
          <w:sz w:val="24"/>
          <w:szCs w:val="24"/>
        </w:rPr>
        <w:t xml:space="preserve">limitarse </w:t>
      </w:r>
      <w:r w:rsidR="00B60C25">
        <w:rPr>
          <w:rFonts w:ascii="Times New Roman" w:hAnsi="Times New Roman" w:cs="Times New Roman"/>
          <w:sz w:val="24"/>
          <w:szCs w:val="24"/>
        </w:rPr>
        <w:t>a</w:t>
      </w:r>
      <w:r w:rsidR="00B60C25" w:rsidRPr="00951F7B">
        <w:rPr>
          <w:rFonts w:ascii="Times New Roman" w:hAnsi="Times New Roman" w:cs="Times New Roman"/>
          <w:sz w:val="24"/>
          <w:szCs w:val="24"/>
        </w:rPr>
        <w:t xml:space="preserve"> </w:t>
      </w:r>
      <w:r w:rsidR="00331D1D" w:rsidRPr="00951F7B">
        <w:rPr>
          <w:rFonts w:ascii="Times New Roman" w:hAnsi="Times New Roman" w:cs="Times New Roman"/>
          <w:sz w:val="24"/>
          <w:szCs w:val="24"/>
        </w:rPr>
        <w:t xml:space="preserve">implementar estrategias </w:t>
      </w:r>
      <w:r w:rsidR="00B60C25">
        <w:rPr>
          <w:rFonts w:ascii="Times New Roman" w:hAnsi="Times New Roman" w:cs="Times New Roman"/>
          <w:sz w:val="24"/>
          <w:szCs w:val="24"/>
        </w:rPr>
        <w:t xml:space="preserve">que solamente </w:t>
      </w:r>
      <w:r w:rsidR="007C047E">
        <w:rPr>
          <w:rFonts w:ascii="Times New Roman" w:hAnsi="Times New Roman" w:cs="Times New Roman"/>
          <w:sz w:val="24"/>
          <w:szCs w:val="24"/>
        </w:rPr>
        <w:t>añadan</w:t>
      </w:r>
      <w:r w:rsidRPr="00951F7B">
        <w:rPr>
          <w:rFonts w:ascii="Times New Roman" w:hAnsi="Times New Roman" w:cs="Times New Roman"/>
          <w:sz w:val="24"/>
          <w:szCs w:val="24"/>
        </w:rPr>
        <w:t xml:space="preserve"> </w:t>
      </w:r>
      <w:r w:rsidR="00331D1D" w:rsidRPr="00951F7B">
        <w:rPr>
          <w:rFonts w:ascii="Times New Roman" w:hAnsi="Times New Roman" w:cs="Times New Roman"/>
          <w:sz w:val="24"/>
          <w:szCs w:val="24"/>
        </w:rPr>
        <w:t>cursos relacionados con el cuidado del medio ambiente o l</w:t>
      </w:r>
      <w:r w:rsidRPr="00951F7B">
        <w:rPr>
          <w:rFonts w:ascii="Times New Roman" w:hAnsi="Times New Roman" w:cs="Times New Roman"/>
          <w:sz w:val="24"/>
          <w:szCs w:val="24"/>
        </w:rPr>
        <w:t xml:space="preserve">a promoción de la cultura, el deporte y la salud. </w:t>
      </w:r>
      <w:r w:rsidR="00331D1D" w:rsidRPr="00951F7B">
        <w:rPr>
          <w:rFonts w:ascii="Times New Roman" w:hAnsi="Times New Roman" w:cs="Times New Roman"/>
          <w:sz w:val="24"/>
          <w:szCs w:val="24"/>
        </w:rPr>
        <w:t xml:space="preserve">Una genuina </w:t>
      </w:r>
      <w:r w:rsidRPr="00951F7B">
        <w:rPr>
          <w:rFonts w:ascii="Times New Roman" w:hAnsi="Times New Roman" w:cs="Times New Roman"/>
          <w:sz w:val="24"/>
          <w:szCs w:val="24"/>
        </w:rPr>
        <w:t>formación integral del estudiante también contempla la enseñanza de competencias transversales y sustentables como las que de</w:t>
      </w:r>
      <w:r w:rsidR="008969C5" w:rsidRPr="00951F7B">
        <w:rPr>
          <w:rFonts w:ascii="Times New Roman" w:hAnsi="Times New Roman" w:cs="Times New Roman"/>
          <w:sz w:val="24"/>
          <w:szCs w:val="24"/>
        </w:rPr>
        <w:t xml:space="preserve">manda el enfoque de la </w:t>
      </w:r>
      <w:r w:rsidR="005648DD">
        <w:rPr>
          <w:rFonts w:ascii="Times New Roman" w:hAnsi="Times New Roman" w:cs="Times New Roman"/>
          <w:sz w:val="24"/>
          <w:szCs w:val="24"/>
        </w:rPr>
        <w:t>educación para el desarrollo sostenible</w:t>
      </w:r>
      <w:r w:rsidR="008969C5"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En lo que respecta a las actividades relacionadas con la sustentabilidad, la </w:t>
      </w:r>
      <w:r w:rsidR="001B4AB0">
        <w:rPr>
          <w:rFonts w:ascii="Times New Roman" w:hAnsi="Times New Roman" w:cs="Times New Roman"/>
          <w:sz w:val="24"/>
          <w:szCs w:val="24"/>
        </w:rPr>
        <w:t>UdeG</w:t>
      </w:r>
      <w:r w:rsidRPr="00951F7B">
        <w:rPr>
          <w:rFonts w:ascii="Times New Roman" w:hAnsi="Times New Roman" w:cs="Times New Roman"/>
          <w:sz w:val="24"/>
          <w:szCs w:val="24"/>
        </w:rPr>
        <w:t xml:space="preserve"> ubica a esta en el eje de </w:t>
      </w:r>
      <w:r w:rsidR="00B60C25">
        <w:rPr>
          <w:rFonts w:ascii="Times New Roman" w:hAnsi="Times New Roman" w:cs="Times New Roman"/>
          <w:sz w:val="24"/>
          <w:szCs w:val="24"/>
        </w:rPr>
        <w:t>“</w:t>
      </w:r>
      <w:r w:rsidRPr="00951F7B">
        <w:rPr>
          <w:rFonts w:ascii="Times New Roman" w:hAnsi="Times New Roman" w:cs="Times New Roman"/>
          <w:sz w:val="24"/>
          <w:szCs w:val="24"/>
        </w:rPr>
        <w:t xml:space="preserve">Extensión y </w:t>
      </w:r>
      <w:r w:rsidR="00B60C25">
        <w:rPr>
          <w:rFonts w:ascii="Times New Roman" w:hAnsi="Times New Roman" w:cs="Times New Roman"/>
          <w:sz w:val="24"/>
          <w:szCs w:val="24"/>
        </w:rPr>
        <w:t>d</w:t>
      </w:r>
      <w:r w:rsidR="00B60C25" w:rsidRPr="00951F7B">
        <w:rPr>
          <w:rFonts w:ascii="Times New Roman" w:hAnsi="Times New Roman" w:cs="Times New Roman"/>
          <w:sz w:val="24"/>
          <w:szCs w:val="24"/>
        </w:rPr>
        <w:t>ifusión</w:t>
      </w:r>
      <w:r w:rsidR="00B60C25">
        <w:rPr>
          <w:rFonts w:ascii="Times New Roman" w:hAnsi="Times New Roman" w:cs="Times New Roman"/>
          <w:sz w:val="24"/>
          <w:szCs w:val="24"/>
        </w:rPr>
        <w:t>”</w:t>
      </w:r>
      <w:r w:rsidRPr="00951F7B">
        <w:rPr>
          <w:rFonts w:ascii="Times New Roman" w:hAnsi="Times New Roman" w:cs="Times New Roman"/>
          <w:sz w:val="24"/>
          <w:szCs w:val="24"/>
        </w:rPr>
        <w:t xml:space="preserve">, </w:t>
      </w:r>
      <w:r w:rsidR="00B60C25">
        <w:rPr>
          <w:rFonts w:ascii="Times New Roman" w:hAnsi="Times New Roman" w:cs="Times New Roman"/>
          <w:sz w:val="24"/>
          <w:szCs w:val="24"/>
        </w:rPr>
        <w:t>dejando de lado</w:t>
      </w:r>
      <w:r w:rsidRPr="00951F7B">
        <w:rPr>
          <w:rFonts w:ascii="Times New Roman" w:hAnsi="Times New Roman" w:cs="Times New Roman"/>
          <w:sz w:val="24"/>
          <w:szCs w:val="24"/>
        </w:rPr>
        <w:t xml:space="preserve"> el eje de docencia y aprendizaje, lo cual pudiera afectar </w:t>
      </w:r>
      <w:r w:rsidR="00B60C25">
        <w:rPr>
          <w:rFonts w:ascii="Times New Roman" w:hAnsi="Times New Roman" w:cs="Times New Roman"/>
          <w:sz w:val="24"/>
          <w:szCs w:val="24"/>
        </w:rPr>
        <w:t>en el hecho de que no se atienda</w:t>
      </w:r>
      <w:r w:rsidRPr="00951F7B">
        <w:rPr>
          <w:rFonts w:ascii="Times New Roman" w:hAnsi="Times New Roman" w:cs="Times New Roman"/>
          <w:sz w:val="24"/>
          <w:szCs w:val="24"/>
        </w:rPr>
        <w:t xml:space="preserve"> con la prioridad requerida el cambio en los programas de estudio. </w:t>
      </w:r>
      <w:r w:rsidR="008969C5" w:rsidRPr="00951F7B">
        <w:rPr>
          <w:rFonts w:ascii="Times New Roman" w:hAnsi="Times New Roman" w:cs="Times New Roman"/>
          <w:sz w:val="24"/>
          <w:szCs w:val="24"/>
        </w:rPr>
        <w:t>Los</w:t>
      </w:r>
      <w:r w:rsidRPr="00951F7B">
        <w:rPr>
          <w:rFonts w:ascii="Times New Roman" w:hAnsi="Times New Roman" w:cs="Times New Roman"/>
          <w:sz w:val="24"/>
          <w:szCs w:val="24"/>
        </w:rPr>
        <w:t xml:space="preserve"> departamentos</w:t>
      </w:r>
      <w:r w:rsidR="008969C5" w:rsidRPr="00951F7B">
        <w:rPr>
          <w:rFonts w:ascii="Times New Roman" w:hAnsi="Times New Roman" w:cs="Times New Roman"/>
          <w:sz w:val="24"/>
          <w:szCs w:val="24"/>
        </w:rPr>
        <w:t xml:space="preserve"> son las instancias que </w:t>
      </w:r>
      <w:r w:rsidRPr="00951F7B">
        <w:rPr>
          <w:rFonts w:ascii="Times New Roman" w:hAnsi="Times New Roman" w:cs="Times New Roman"/>
          <w:sz w:val="24"/>
          <w:szCs w:val="24"/>
        </w:rPr>
        <w:t>constituyen la planta doc</w:t>
      </w:r>
      <w:r w:rsidR="008969C5" w:rsidRPr="00951F7B">
        <w:rPr>
          <w:rFonts w:ascii="Times New Roman" w:hAnsi="Times New Roman" w:cs="Times New Roman"/>
          <w:sz w:val="24"/>
          <w:szCs w:val="24"/>
        </w:rPr>
        <w:t>ente, laboratorios e institutos de investigación.</w:t>
      </w:r>
    </w:p>
    <w:p w14:paraId="7DB6DB39" w14:textId="16C1C19C" w:rsidR="00D70765" w:rsidRDefault="00D70765"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Para que las universidades contribuyan al cumplimiento de la Agenda 2030</w:t>
      </w:r>
      <w:r w:rsidR="005660FF">
        <w:rPr>
          <w:rFonts w:ascii="Times New Roman" w:hAnsi="Times New Roman" w:cs="Times New Roman"/>
          <w:sz w:val="24"/>
          <w:szCs w:val="24"/>
        </w:rPr>
        <w:t xml:space="preserve"> </w:t>
      </w:r>
      <w:r w:rsidR="000224AE">
        <w:rPr>
          <w:rFonts w:ascii="Times New Roman" w:hAnsi="Times New Roman" w:cs="Times New Roman"/>
          <w:sz w:val="24"/>
          <w:szCs w:val="24"/>
        </w:rPr>
        <w:t>deben</w:t>
      </w:r>
      <w:r w:rsidRPr="00951F7B">
        <w:rPr>
          <w:rFonts w:ascii="Times New Roman" w:hAnsi="Times New Roman" w:cs="Times New Roman"/>
          <w:sz w:val="24"/>
          <w:szCs w:val="24"/>
        </w:rPr>
        <w:t xml:space="preserve"> replantear su estrategia para promover programas educativos que contemplen la perspectiva de la formación integral y la sustentabilidad</w:t>
      </w:r>
      <w:r w:rsidR="000224AE">
        <w:rPr>
          <w:rFonts w:ascii="Times New Roman" w:hAnsi="Times New Roman" w:cs="Times New Roman"/>
          <w:sz w:val="24"/>
          <w:szCs w:val="24"/>
        </w:rPr>
        <w:t>.</w:t>
      </w:r>
      <w:r w:rsidRPr="00951F7B">
        <w:rPr>
          <w:rFonts w:ascii="Times New Roman" w:hAnsi="Times New Roman" w:cs="Times New Roman"/>
          <w:sz w:val="24"/>
          <w:szCs w:val="24"/>
        </w:rPr>
        <w:t xml:space="preserve"> </w:t>
      </w:r>
      <w:r w:rsidR="000224AE">
        <w:rPr>
          <w:rFonts w:ascii="Times New Roman" w:hAnsi="Times New Roman" w:cs="Times New Roman"/>
          <w:sz w:val="24"/>
          <w:szCs w:val="24"/>
        </w:rPr>
        <w:t>A</w:t>
      </w:r>
      <w:r w:rsidR="000224AE" w:rsidRPr="00951F7B">
        <w:rPr>
          <w:rFonts w:ascii="Times New Roman" w:hAnsi="Times New Roman" w:cs="Times New Roman"/>
          <w:sz w:val="24"/>
          <w:szCs w:val="24"/>
        </w:rPr>
        <w:t xml:space="preserve">l </w:t>
      </w:r>
      <w:r w:rsidR="00C47EC0">
        <w:rPr>
          <w:rFonts w:ascii="Times New Roman" w:hAnsi="Times New Roman" w:cs="Times New Roman"/>
          <w:sz w:val="24"/>
          <w:szCs w:val="24"/>
        </w:rPr>
        <w:t>respecto, Dí</w:t>
      </w:r>
      <w:r w:rsidRPr="00951F7B">
        <w:rPr>
          <w:rFonts w:ascii="Times New Roman" w:hAnsi="Times New Roman" w:cs="Times New Roman"/>
          <w:sz w:val="24"/>
          <w:szCs w:val="24"/>
        </w:rPr>
        <w:t xml:space="preserve">az (2021) </w:t>
      </w:r>
      <w:r w:rsidR="000224AE" w:rsidRPr="00951F7B">
        <w:rPr>
          <w:rFonts w:ascii="Times New Roman" w:hAnsi="Times New Roman" w:cs="Times New Roman"/>
          <w:sz w:val="24"/>
          <w:szCs w:val="24"/>
        </w:rPr>
        <w:t>argumenta</w:t>
      </w:r>
      <w:r w:rsidR="000224AE">
        <w:rPr>
          <w:rFonts w:ascii="Times New Roman" w:hAnsi="Times New Roman" w:cs="Times New Roman"/>
          <w:sz w:val="24"/>
          <w:szCs w:val="24"/>
        </w:rPr>
        <w:t>:</w:t>
      </w:r>
    </w:p>
    <w:p w14:paraId="222D4109" w14:textId="3D24B50F" w:rsidR="00522FCC" w:rsidRDefault="00522FCC" w:rsidP="00951F7B">
      <w:pPr>
        <w:spacing w:after="0" w:line="360" w:lineRule="auto"/>
        <w:ind w:firstLine="709"/>
        <w:jc w:val="both"/>
        <w:rPr>
          <w:rFonts w:ascii="Times New Roman" w:hAnsi="Times New Roman" w:cs="Times New Roman"/>
          <w:sz w:val="24"/>
          <w:szCs w:val="24"/>
        </w:rPr>
      </w:pPr>
    </w:p>
    <w:p w14:paraId="4442E288" w14:textId="77777777" w:rsidR="00522FCC" w:rsidRPr="00951F7B" w:rsidRDefault="00522FCC" w:rsidP="00951F7B">
      <w:pPr>
        <w:spacing w:after="0" w:line="360" w:lineRule="auto"/>
        <w:ind w:firstLine="709"/>
        <w:jc w:val="both"/>
        <w:rPr>
          <w:rFonts w:ascii="Times New Roman" w:hAnsi="Times New Roman" w:cs="Times New Roman"/>
          <w:sz w:val="24"/>
          <w:szCs w:val="24"/>
        </w:rPr>
      </w:pPr>
    </w:p>
    <w:p w14:paraId="2683EABC" w14:textId="055DD642" w:rsidR="00D70765" w:rsidRPr="00951F7B" w:rsidRDefault="000224AE" w:rsidP="00145D7F">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L</w:t>
      </w:r>
      <w:r w:rsidR="00D70765" w:rsidRPr="00951F7B">
        <w:rPr>
          <w:rFonts w:ascii="Times New Roman" w:hAnsi="Times New Roman" w:cs="Times New Roman"/>
          <w:sz w:val="24"/>
          <w:szCs w:val="24"/>
        </w:rPr>
        <w:t xml:space="preserve">a universidad no puede dejar en la cuneta la dimensión humanista que debe conocer y comprender el estudiante, porque es una institución educadora, formadora, que aspira a hacerlo de manera integral, cultivando las principales dimensiones de la persona (lo intelectual, lo estético-espiritual, lo físico, lo moral) </w:t>
      </w:r>
      <w:r w:rsidR="002A488F" w:rsidRPr="00951F7B">
        <w:rPr>
          <w:rFonts w:ascii="Times New Roman" w:hAnsi="Times New Roman" w:cs="Times New Roman"/>
          <w:sz w:val="24"/>
          <w:szCs w:val="24"/>
        </w:rPr>
        <w:t>(p.</w:t>
      </w:r>
      <w:r w:rsidR="00D70765" w:rsidRPr="00951F7B">
        <w:rPr>
          <w:rFonts w:ascii="Times New Roman" w:hAnsi="Times New Roman" w:cs="Times New Roman"/>
          <w:sz w:val="24"/>
          <w:szCs w:val="24"/>
        </w:rPr>
        <w:t>148</w:t>
      </w:r>
      <w:r w:rsidR="002A488F" w:rsidRPr="00951F7B">
        <w:rPr>
          <w:rFonts w:ascii="Times New Roman" w:hAnsi="Times New Roman" w:cs="Times New Roman"/>
          <w:sz w:val="24"/>
          <w:szCs w:val="24"/>
        </w:rPr>
        <w:t>).</w:t>
      </w:r>
    </w:p>
    <w:p w14:paraId="626DF877" w14:textId="52C8BC77" w:rsidR="005B2D21" w:rsidRPr="00951F7B" w:rsidRDefault="00D70765"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Los resultados aquí mostrados cobran sentido para que la gestión diseñe y adopte estrategias eficaces para alcanzar este propósito</w:t>
      </w:r>
      <w:r w:rsidR="000224AE">
        <w:rPr>
          <w:rFonts w:ascii="Times New Roman" w:hAnsi="Times New Roman" w:cs="Times New Roman"/>
          <w:sz w:val="24"/>
          <w:szCs w:val="24"/>
        </w:rPr>
        <w:t>.</w:t>
      </w:r>
      <w:r w:rsidRPr="00951F7B">
        <w:rPr>
          <w:rFonts w:ascii="Times New Roman" w:hAnsi="Times New Roman" w:cs="Times New Roman"/>
          <w:sz w:val="24"/>
          <w:szCs w:val="24"/>
        </w:rPr>
        <w:t xml:space="preserve"> </w:t>
      </w:r>
      <w:r w:rsidR="000224AE">
        <w:rPr>
          <w:rFonts w:ascii="Times New Roman" w:hAnsi="Times New Roman" w:cs="Times New Roman"/>
          <w:sz w:val="24"/>
          <w:szCs w:val="24"/>
        </w:rPr>
        <w:t xml:space="preserve">Así </w:t>
      </w:r>
      <w:r w:rsidRPr="00951F7B">
        <w:rPr>
          <w:rFonts w:ascii="Times New Roman" w:hAnsi="Times New Roman" w:cs="Times New Roman"/>
          <w:sz w:val="24"/>
          <w:szCs w:val="24"/>
        </w:rPr>
        <w:t>lo afirma Cebrián (2020)</w:t>
      </w:r>
      <w:r w:rsidR="000224AE">
        <w:rPr>
          <w:rFonts w:ascii="Times New Roman" w:hAnsi="Times New Roman" w:cs="Times New Roman"/>
          <w:sz w:val="24"/>
          <w:szCs w:val="24"/>
        </w:rPr>
        <w:t>:</w:t>
      </w:r>
      <w:r w:rsidRPr="00951F7B">
        <w:rPr>
          <w:rFonts w:ascii="Times New Roman" w:hAnsi="Times New Roman" w:cs="Times New Roman"/>
          <w:sz w:val="24"/>
          <w:szCs w:val="24"/>
        </w:rPr>
        <w:t xml:space="preserve"> </w:t>
      </w:r>
      <w:r w:rsidR="000224AE">
        <w:rPr>
          <w:rFonts w:ascii="Times New Roman" w:hAnsi="Times New Roman" w:cs="Times New Roman"/>
          <w:sz w:val="24"/>
          <w:szCs w:val="24"/>
        </w:rPr>
        <w:t>“E</w:t>
      </w:r>
      <w:r w:rsidRPr="00951F7B">
        <w:rPr>
          <w:rFonts w:ascii="Times New Roman" w:hAnsi="Times New Roman" w:cs="Times New Roman"/>
          <w:sz w:val="24"/>
          <w:szCs w:val="24"/>
        </w:rPr>
        <w:t>l apoyo y liderazgo institucional debe crear una comunidad de aprendizaje donde se identifiquen buenas prácticas existentes, se promueva el intercambio de recursos educativos y se disponga de</w:t>
      </w:r>
      <w:r w:rsidR="00951F7B">
        <w:rPr>
          <w:rFonts w:ascii="Times New Roman" w:hAnsi="Times New Roman" w:cs="Times New Roman"/>
          <w:sz w:val="24"/>
          <w:szCs w:val="24"/>
        </w:rPr>
        <w:t xml:space="preserve"> </w:t>
      </w:r>
      <w:r w:rsidRPr="00951F7B">
        <w:rPr>
          <w:rFonts w:ascii="Times New Roman" w:hAnsi="Times New Roman" w:cs="Times New Roman"/>
          <w:sz w:val="24"/>
          <w:szCs w:val="24"/>
        </w:rPr>
        <w:t>apoyo y orientación por parte de expertos y facilitadores</w:t>
      </w:r>
      <w:r w:rsidR="000224AE">
        <w:rPr>
          <w:rFonts w:ascii="Times New Roman" w:hAnsi="Times New Roman" w:cs="Times New Roman"/>
          <w:sz w:val="24"/>
          <w:szCs w:val="24"/>
        </w:rPr>
        <w:t>”</w:t>
      </w:r>
      <w:r w:rsidR="000224AE" w:rsidRPr="00951F7B">
        <w:rPr>
          <w:rFonts w:ascii="Times New Roman" w:hAnsi="Times New Roman" w:cs="Times New Roman"/>
          <w:sz w:val="24"/>
          <w:szCs w:val="24"/>
        </w:rPr>
        <w:t xml:space="preserve"> </w:t>
      </w:r>
      <w:r w:rsidR="000224AE">
        <w:rPr>
          <w:rFonts w:ascii="Times New Roman" w:hAnsi="Times New Roman" w:cs="Times New Roman"/>
          <w:sz w:val="24"/>
          <w:szCs w:val="24"/>
        </w:rPr>
        <w:t>(</w:t>
      </w:r>
      <w:r w:rsidRPr="00951F7B">
        <w:rPr>
          <w:rFonts w:ascii="Times New Roman" w:hAnsi="Times New Roman" w:cs="Times New Roman"/>
          <w:sz w:val="24"/>
          <w:szCs w:val="24"/>
        </w:rPr>
        <w:t>p.</w:t>
      </w:r>
      <w:r w:rsidR="000224AE">
        <w:rPr>
          <w:rFonts w:ascii="Times New Roman" w:hAnsi="Times New Roman" w:cs="Times New Roman"/>
          <w:sz w:val="24"/>
          <w:szCs w:val="24"/>
        </w:rPr>
        <w:t xml:space="preserve"> </w:t>
      </w:r>
      <w:r w:rsidRPr="00951F7B">
        <w:rPr>
          <w:rFonts w:ascii="Times New Roman" w:hAnsi="Times New Roman" w:cs="Times New Roman"/>
          <w:sz w:val="24"/>
          <w:szCs w:val="24"/>
        </w:rPr>
        <w:t>111</w:t>
      </w:r>
      <w:r w:rsidR="000224AE">
        <w:rPr>
          <w:rFonts w:ascii="Times New Roman" w:hAnsi="Times New Roman" w:cs="Times New Roman"/>
          <w:sz w:val="24"/>
          <w:szCs w:val="24"/>
        </w:rPr>
        <w:t>)</w:t>
      </w:r>
      <w:r w:rsidR="0057203E" w:rsidRPr="00951F7B">
        <w:rPr>
          <w:rFonts w:ascii="Times New Roman" w:hAnsi="Times New Roman" w:cs="Times New Roman"/>
          <w:sz w:val="24"/>
          <w:szCs w:val="24"/>
        </w:rPr>
        <w:t>. De igual forma, lo</w:t>
      </w:r>
      <w:r w:rsidR="000224AE">
        <w:rPr>
          <w:rFonts w:ascii="Times New Roman" w:hAnsi="Times New Roman" w:cs="Times New Roman"/>
          <w:sz w:val="24"/>
          <w:szCs w:val="24"/>
        </w:rPr>
        <w:t>s</w:t>
      </w:r>
      <w:r w:rsidR="0057203E" w:rsidRPr="00951F7B">
        <w:rPr>
          <w:rFonts w:ascii="Times New Roman" w:hAnsi="Times New Roman" w:cs="Times New Roman"/>
          <w:sz w:val="24"/>
          <w:szCs w:val="24"/>
        </w:rPr>
        <w:t xml:space="preserve"> hallazgos </w:t>
      </w:r>
      <w:r w:rsidR="000224AE">
        <w:rPr>
          <w:rFonts w:ascii="Times New Roman" w:hAnsi="Times New Roman" w:cs="Times New Roman"/>
          <w:sz w:val="24"/>
          <w:szCs w:val="24"/>
        </w:rPr>
        <w:t xml:space="preserve">aquí </w:t>
      </w:r>
      <w:r w:rsidR="0057203E" w:rsidRPr="00951F7B">
        <w:rPr>
          <w:rFonts w:ascii="Times New Roman" w:hAnsi="Times New Roman" w:cs="Times New Roman"/>
          <w:sz w:val="24"/>
          <w:szCs w:val="24"/>
        </w:rPr>
        <w:t xml:space="preserve">encontrados encuentran </w:t>
      </w:r>
      <w:r w:rsidR="000224AE">
        <w:rPr>
          <w:rFonts w:ascii="Times New Roman" w:hAnsi="Times New Roman" w:cs="Times New Roman"/>
          <w:sz w:val="24"/>
          <w:szCs w:val="24"/>
        </w:rPr>
        <w:t>eco</w:t>
      </w:r>
      <w:r w:rsidR="000224AE" w:rsidRPr="00951F7B">
        <w:rPr>
          <w:rFonts w:ascii="Times New Roman" w:hAnsi="Times New Roman" w:cs="Times New Roman"/>
          <w:sz w:val="24"/>
          <w:szCs w:val="24"/>
        </w:rPr>
        <w:t xml:space="preserve"> </w:t>
      </w:r>
      <w:r w:rsidR="000224AE">
        <w:rPr>
          <w:rFonts w:ascii="Times New Roman" w:hAnsi="Times New Roman" w:cs="Times New Roman"/>
          <w:sz w:val="24"/>
          <w:szCs w:val="24"/>
        </w:rPr>
        <w:t>en los obtenidos</w:t>
      </w:r>
      <w:r w:rsidR="0057203E" w:rsidRPr="00951F7B">
        <w:rPr>
          <w:rFonts w:ascii="Times New Roman" w:hAnsi="Times New Roman" w:cs="Times New Roman"/>
          <w:sz w:val="24"/>
          <w:szCs w:val="24"/>
        </w:rPr>
        <w:t xml:space="preserve"> por Jiménez (2021)</w:t>
      </w:r>
      <w:r w:rsidR="000224AE">
        <w:rPr>
          <w:rFonts w:ascii="Times New Roman" w:hAnsi="Times New Roman" w:cs="Times New Roman"/>
          <w:sz w:val="24"/>
          <w:szCs w:val="24"/>
        </w:rPr>
        <w:t>,</w:t>
      </w:r>
      <w:r w:rsidR="0057203E" w:rsidRPr="00951F7B">
        <w:rPr>
          <w:rFonts w:ascii="Times New Roman" w:hAnsi="Times New Roman" w:cs="Times New Roman"/>
          <w:sz w:val="24"/>
          <w:szCs w:val="24"/>
        </w:rPr>
        <w:t xml:space="preserve"> quien señala que a pesar de que las universidades mexicanas han avanzado en la </w:t>
      </w:r>
      <w:proofErr w:type="spellStart"/>
      <w:r w:rsidR="0057203E" w:rsidRPr="00951F7B">
        <w:rPr>
          <w:rFonts w:ascii="Times New Roman" w:hAnsi="Times New Roman" w:cs="Times New Roman"/>
          <w:i/>
          <w:sz w:val="24"/>
          <w:szCs w:val="24"/>
        </w:rPr>
        <w:t>sostenibilización</w:t>
      </w:r>
      <w:proofErr w:type="spellEnd"/>
      <w:r w:rsidR="0057203E" w:rsidRPr="00951F7B">
        <w:rPr>
          <w:rFonts w:ascii="Times New Roman" w:hAnsi="Times New Roman" w:cs="Times New Roman"/>
          <w:sz w:val="24"/>
          <w:szCs w:val="24"/>
        </w:rPr>
        <w:t xml:space="preserve"> curricular y el </w:t>
      </w:r>
      <w:proofErr w:type="spellStart"/>
      <w:r w:rsidR="0057203E" w:rsidRPr="00951F7B">
        <w:rPr>
          <w:rFonts w:ascii="Times New Roman" w:hAnsi="Times New Roman" w:cs="Times New Roman"/>
          <w:i/>
          <w:sz w:val="24"/>
          <w:szCs w:val="24"/>
        </w:rPr>
        <w:t>enverdecimiento</w:t>
      </w:r>
      <w:proofErr w:type="spellEnd"/>
      <w:r w:rsidR="0057203E" w:rsidRPr="00951F7B">
        <w:rPr>
          <w:rFonts w:ascii="Times New Roman" w:hAnsi="Times New Roman" w:cs="Times New Roman"/>
          <w:sz w:val="24"/>
          <w:szCs w:val="24"/>
        </w:rPr>
        <w:t xml:space="preserve"> del campus, </w:t>
      </w:r>
      <w:r w:rsidR="000224AE">
        <w:rPr>
          <w:rFonts w:ascii="Times New Roman" w:hAnsi="Times New Roman" w:cs="Times New Roman"/>
          <w:sz w:val="24"/>
          <w:szCs w:val="24"/>
        </w:rPr>
        <w:t>continúa</w:t>
      </w:r>
      <w:r w:rsidR="0057203E" w:rsidRPr="00951F7B">
        <w:rPr>
          <w:rFonts w:ascii="Times New Roman" w:hAnsi="Times New Roman" w:cs="Times New Roman"/>
          <w:sz w:val="24"/>
          <w:szCs w:val="24"/>
        </w:rPr>
        <w:t xml:space="preserve"> la falta de construcción de una agenda política de sustentabilidad por parte del gobierno universitario.</w:t>
      </w:r>
      <w:r w:rsidR="002C2B52">
        <w:rPr>
          <w:rFonts w:ascii="Times New Roman" w:hAnsi="Times New Roman" w:cs="Times New Roman"/>
          <w:sz w:val="24"/>
          <w:szCs w:val="24"/>
        </w:rPr>
        <w:t xml:space="preserve"> </w:t>
      </w:r>
      <w:r w:rsidR="000224AE">
        <w:rPr>
          <w:rFonts w:ascii="Times New Roman" w:hAnsi="Times New Roman" w:cs="Times New Roman"/>
          <w:sz w:val="24"/>
          <w:szCs w:val="24"/>
        </w:rPr>
        <w:t>A partir de lo anterior</w:t>
      </w:r>
      <w:r w:rsidR="0057203E" w:rsidRPr="00951F7B">
        <w:rPr>
          <w:rFonts w:ascii="Times New Roman" w:hAnsi="Times New Roman" w:cs="Times New Roman"/>
          <w:sz w:val="24"/>
          <w:szCs w:val="24"/>
        </w:rPr>
        <w:t>, se puede inferir que</w:t>
      </w:r>
      <w:r w:rsidR="000224AE">
        <w:rPr>
          <w:rFonts w:ascii="Times New Roman" w:hAnsi="Times New Roman" w:cs="Times New Roman"/>
          <w:sz w:val="24"/>
          <w:szCs w:val="24"/>
        </w:rPr>
        <w:t>,</w:t>
      </w:r>
      <w:r w:rsidR="0057203E" w:rsidRPr="00951F7B">
        <w:rPr>
          <w:rFonts w:ascii="Times New Roman" w:hAnsi="Times New Roman" w:cs="Times New Roman"/>
          <w:sz w:val="24"/>
          <w:szCs w:val="24"/>
        </w:rPr>
        <w:t xml:space="preserve"> además de la estructuración que las caracteriza, la falta de voluntad política por parte de gestores y tomadores de decisión se constituyen como factores que retrasan el cumplimiento de las universidades con los Objetivos para el Desarrollo Sostenible.</w:t>
      </w:r>
    </w:p>
    <w:p w14:paraId="0BA70BB5" w14:textId="49CE4E0D" w:rsidR="0062460F" w:rsidRPr="00951F7B" w:rsidRDefault="009005CC"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La </w:t>
      </w:r>
      <w:r w:rsidR="005660FF">
        <w:rPr>
          <w:rFonts w:ascii="Times New Roman" w:hAnsi="Times New Roman" w:cs="Times New Roman"/>
          <w:sz w:val="24"/>
          <w:szCs w:val="24"/>
        </w:rPr>
        <w:t>UdeG</w:t>
      </w:r>
      <w:r w:rsidR="005660FF" w:rsidRPr="00951F7B">
        <w:rPr>
          <w:rFonts w:ascii="Times New Roman" w:hAnsi="Times New Roman" w:cs="Times New Roman"/>
          <w:sz w:val="24"/>
          <w:szCs w:val="24"/>
        </w:rPr>
        <w:t xml:space="preserve"> </w:t>
      </w:r>
      <w:r w:rsidRPr="00951F7B">
        <w:rPr>
          <w:rFonts w:ascii="Times New Roman" w:hAnsi="Times New Roman" w:cs="Times New Roman"/>
          <w:sz w:val="24"/>
          <w:szCs w:val="24"/>
        </w:rPr>
        <w:t xml:space="preserve">no </w:t>
      </w:r>
      <w:r w:rsidR="005660FF" w:rsidRPr="00951F7B">
        <w:rPr>
          <w:rFonts w:ascii="Times New Roman" w:hAnsi="Times New Roman" w:cs="Times New Roman"/>
          <w:sz w:val="24"/>
          <w:szCs w:val="24"/>
        </w:rPr>
        <w:t>s</w:t>
      </w:r>
      <w:r w:rsidR="005660FF">
        <w:rPr>
          <w:rFonts w:ascii="Times New Roman" w:hAnsi="Times New Roman" w:cs="Times New Roman"/>
          <w:sz w:val="24"/>
          <w:szCs w:val="24"/>
        </w:rPr>
        <w:t>o</w:t>
      </w:r>
      <w:r w:rsidR="005660FF" w:rsidRPr="00951F7B">
        <w:rPr>
          <w:rFonts w:ascii="Times New Roman" w:hAnsi="Times New Roman" w:cs="Times New Roman"/>
          <w:sz w:val="24"/>
          <w:szCs w:val="24"/>
        </w:rPr>
        <w:t xml:space="preserve">lo </w:t>
      </w:r>
      <w:r w:rsidRPr="00951F7B">
        <w:rPr>
          <w:rFonts w:ascii="Times New Roman" w:hAnsi="Times New Roman" w:cs="Times New Roman"/>
          <w:sz w:val="24"/>
          <w:szCs w:val="24"/>
        </w:rPr>
        <w:t>adopta un modelo h</w:t>
      </w:r>
      <w:r w:rsidR="005660FF">
        <w:rPr>
          <w:rFonts w:ascii="Times New Roman" w:hAnsi="Times New Roman" w:cs="Times New Roman"/>
          <w:sz w:val="24"/>
          <w:szCs w:val="24"/>
        </w:rPr>
        <w:t>í</w:t>
      </w:r>
      <w:r w:rsidRPr="00951F7B">
        <w:rPr>
          <w:rFonts w:ascii="Times New Roman" w:hAnsi="Times New Roman" w:cs="Times New Roman"/>
          <w:sz w:val="24"/>
          <w:szCs w:val="24"/>
        </w:rPr>
        <w:t xml:space="preserve">brido inspirado en el modelo napoleónico y norteamericano, sino que también </w:t>
      </w:r>
      <w:r w:rsidR="0062460F" w:rsidRPr="00951F7B">
        <w:rPr>
          <w:rFonts w:ascii="Times New Roman" w:hAnsi="Times New Roman" w:cs="Times New Roman"/>
          <w:sz w:val="24"/>
          <w:szCs w:val="24"/>
        </w:rPr>
        <w:t xml:space="preserve">un modelo de organización burocrático-profesional </w:t>
      </w:r>
      <w:r w:rsidRPr="00951F7B">
        <w:rPr>
          <w:rFonts w:ascii="Times New Roman" w:hAnsi="Times New Roman" w:cs="Times New Roman"/>
          <w:sz w:val="24"/>
          <w:szCs w:val="24"/>
        </w:rPr>
        <w:t>—de acuerdo con la teoría de Mintzberg—</w:t>
      </w:r>
      <w:r w:rsidR="00C264AB">
        <w:rPr>
          <w:rFonts w:ascii="Times New Roman" w:hAnsi="Times New Roman" w:cs="Times New Roman"/>
          <w:sz w:val="24"/>
          <w:szCs w:val="24"/>
        </w:rPr>
        <w:t>,</w:t>
      </w:r>
      <w:r w:rsidRPr="00951F7B">
        <w:rPr>
          <w:rFonts w:ascii="Times New Roman" w:hAnsi="Times New Roman" w:cs="Times New Roman"/>
          <w:sz w:val="24"/>
          <w:szCs w:val="24"/>
        </w:rPr>
        <w:t xml:space="preserve"> caracterizado</w:t>
      </w:r>
      <w:r w:rsidR="0062460F" w:rsidRPr="00951F7B">
        <w:rPr>
          <w:rFonts w:ascii="Times New Roman" w:hAnsi="Times New Roman" w:cs="Times New Roman"/>
          <w:sz w:val="24"/>
          <w:szCs w:val="24"/>
        </w:rPr>
        <w:t xml:space="preserve"> por contar por un </w:t>
      </w:r>
      <w:r w:rsidR="0062460F" w:rsidRPr="00951F7B">
        <w:rPr>
          <w:rFonts w:ascii="Times New Roman" w:hAnsi="Times New Roman" w:cs="Times New Roman"/>
          <w:i/>
          <w:sz w:val="24"/>
          <w:szCs w:val="24"/>
        </w:rPr>
        <w:t xml:space="preserve">staff </w:t>
      </w:r>
      <w:r w:rsidR="0062460F" w:rsidRPr="00951F7B">
        <w:rPr>
          <w:rFonts w:ascii="Times New Roman" w:hAnsi="Times New Roman" w:cs="Times New Roman"/>
          <w:sz w:val="24"/>
          <w:szCs w:val="24"/>
        </w:rPr>
        <w:t xml:space="preserve">altamente calificado </w:t>
      </w:r>
      <w:r w:rsidRPr="00951F7B">
        <w:rPr>
          <w:rFonts w:ascii="Times New Roman" w:hAnsi="Times New Roman" w:cs="Times New Roman"/>
          <w:sz w:val="24"/>
          <w:szCs w:val="24"/>
        </w:rPr>
        <w:t xml:space="preserve">que podría </w:t>
      </w:r>
      <w:r w:rsidR="0062460F" w:rsidRPr="00951F7B">
        <w:rPr>
          <w:rFonts w:ascii="Times New Roman" w:hAnsi="Times New Roman" w:cs="Times New Roman"/>
          <w:sz w:val="24"/>
          <w:szCs w:val="24"/>
        </w:rPr>
        <w:t>tomar decisiones sobre su trabajo</w:t>
      </w:r>
      <w:r w:rsidRPr="00951F7B">
        <w:rPr>
          <w:rFonts w:ascii="Times New Roman" w:hAnsi="Times New Roman" w:cs="Times New Roman"/>
          <w:sz w:val="24"/>
          <w:szCs w:val="24"/>
        </w:rPr>
        <w:t xml:space="preserve">. </w:t>
      </w:r>
      <w:r w:rsidR="00920D25" w:rsidRPr="00951F7B">
        <w:rPr>
          <w:rFonts w:ascii="Times New Roman" w:hAnsi="Times New Roman" w:cs="Times New Roman"/>
          <w:sz w:val="24"/>
          <w:szCs w:val="24"/>
        </w:rPr>
        <w:t xml:space="preserve">Tanto la autonomía lograda por la </w:t>
      </w:r>
      <w:r w:rsidR="00AA3FCE">
        <w:rPr>
          <w:rFonts w:ascii="Times New Roman" w:hAnsi="Times New Roman" w:cs="Times New Roman"/>
          <w:sz w:val="24"/>
          <w:szCs w:val="24"/>
        </w:rPr>
        <w:t>u</w:t>
      </w:r>
      <w:r w:rsidR="00920D25" w:rsidRPr="00951F7B">
        <w:rPr>
          <w:rFonts w:ascii="Times New Roman" w:hAnsi="Times New Roman" w:cs="Times New Roman"/>
          <w:sz w:val="24"/>
          <w:szCs w:val="24"/>
        </w:rPr>
        <w:t>niversidad para diseñar y desarrollar los</w:t>
      </w:r>
      <w:r w:rsidR="002C2B52">
        <w:rPr>
          <w:rFonts w:ascii="Times New Roman" w:hAnsi="Times New Roman" w:cs="Times New Roman"/>
          <w:sz w:val="24"/>
          <w:szCs w:val="24"/>
        </w:rPr>
        <w:t xml:space="preserve"> </w:t>
      </w:r>
      <w:r w:rsidR="00920D25" w:rsidRPr="00951F7B">
        <w:rPr>
          <w:rFonts w:ascii="Times New Roman" w:hAnsi="Times New Roman" w:cs="Times New Roman"/>
          <w:sz w:val="24"/>
          <w:szCs w:val="24"/>
        </w:rPr>
        <w:t xml:space="preserve">contenidos de la oferta académica </w:t>
      </w:r>
      <w:r w:rsidR="00AA3FCE">
        <w:rPr>
          <w:rFonts w:ascii="Times New Roman" w:hAnsi="Times New Roman" w:cs="Times New Roman"/>
          <w:sz w:val="24"/>
          <w:szCs w:val="24"/>
        </w:rPr>
        <w:t>como</w:t>
      </w:r>
      <w:r w:rsidR="00920D25" w:rsidRPr="00951F7B">
        <w:rPr>
          <w:rFonts w:ascii="Times New Roman" w:hAnsi="Times New Roman" w:cs="Times New Roman"/>
          <w:sz w:val="24"/>
          <w:szCs w:val="24"/>
        </w:rPr>
        <w:t xml:space="preserve"> e</w:t>
      </w:r>
      <w:r w:rsidRPr="00951F7B">
        <w:rPr>
          <w:rFonts w:ascii="Times New Roman" w:hAnsi="Times New Roman" w:cs="Times New Roman"/>
          <w:sz w:val="24"/>
          <w:szCs w:val="24"/>
        </w:rPr>
        <w:t>l modelo departamental que caracteriza a los centros universitarios multidisciplinarios representa</w:t>
      </w:r>
      <w:r w:rsidR="00920D25" w:rsidRPr="00951F7B">
        <w:rPr>
          <w:rFonts w:ascii="Times New Roman" w:hAnsi="Times New Roman" w:cs="Times New Roman"/>
          <w:sz w:val="24"/>
          <w:szCs w:val="24"/>
        </w:rPr>
        <w:t>n</w:t>
      </w:r>
      <w:r w:rsidRPr="00951F7B">
        <w:rPr>
          <w:rFonts w:ascii="Times New Roman" w:hAnsi="Times New Roman" w:cs="Times New Roman"/>
          <w:sz w:val="24"/>
          <w:szCs w:val="24"/>
        </w:rPr>
        <w:t xml:space="preserve"> una oportunidad para que la gestión </w:t>
      </w:r>
      <w:r w:rsidR="00920D25" w:rsidRPr="00951F7B">
        <w:rPr>
          <w:rFonts w:ascii="Times New Roman" w:hAnsi="Times New Roman" w:cs="Times New Roman"/>
          <w:sz w:val="24"/>
          <w:szCs w:val="24"/>
        </w:rPr>
        <w:t>adopte</w:t>
      </w:r>
      <w:r w:rsidRPr="00951F7B">
        <w:rPr>
          <w:rFonts w:ascii="Times New Roman" w:hAnsi="Times New Roman" w:cs="Times New Roman"/>
          <w:sz w:val="24"/>
          <w:szCs w:val="24"/>
        </w:rPr>
        <w:t xml:space="preserve"> estrategias que promuevan la innovación curricular para atender los problemas que impiden el tránsito hacia un desarrollo sostenible</w:t>
      </w:r>
      <w:r w:rsidR="00AA3FCE">
        <w:rPr>
          <w:rFonts w:ascii="Times New Roman" w:hAnsi="Times New Roman" w:cs="Times New Roman"/>
          <w:sz w:val="24"/>
          <w:szCs w:val="24"/>
        </w:rPr>
        <w:t xml:space="preserve">. </w:t>
      </w:r>
      <w:r w:rsidR="00741E9C">
        <w:rPr>
          <w:rFonts w:ascii="Times New Roman" w:hAnsi="Times New Roman" w:cs="Times New Roman"/>
          <w:sz w:val="24"/>
          <w:szCs w:val="24"/>
        </w:rPr>
        <w:t>Así</w:t>
      </w:r>
      <w:r w:rsidRPr="00951F7B">
        <w:rPr>
          <w:rFonts w:ascii="Times New Roman" w:hAnsi="Times New Roman" w:cs="Times New Roman"/>
          <w:sz w:val="24"/>
          <w:szCs w:val="24"/>
        </w:rPr>
        <w:t>, el liderazgo distribuido podría beneficiar y agilizar un proceso de cambio como el que se requiere para incorporar la perspectiva de la sustentabilidad en todos los programas de estudio.</w:t>
      </w:r>
    </w:p>
    <w:p w14:paraId="432CAC51" w14:textId="54F94C54" w:rsidR="00951F7B" w:rsidRDefault="00951F7B" w:rsidP="00951F7B">
      <w:pPr>
        <w:spacing w:after="0" w:line="360" w:lineRule="auto"/>
        <w:ind w:firstLine="709"/>
        <w:jc w:val="both"/>
        <w:rPr>
          <w:rFonts w:ascii="Times New Roman" w:hAnsi="Times New Roman" w:cs="Times New Roman"/>
          <w:sz w:val="24"/>
          <w:szCs w:val="24"/>
        </w:rPr>
      </w:pPr>
    </w:p>
    <w:p w14:paraId="7AF212F2" w14:textId="33CDC55A" w:rsidR="00522FCC" w:rsidRDefault="00522FCC" w:rsidP="00951F7B">
      <w:pPr>
        <w:spacing w:after="0" w:line="360" w:lineRule="auto"/>
        <w:ind w:firstLine="709"/>
        <w:jc w:val="both"/>
        <w:rPr>
          <w:rFonts w:ascii="Times New Roman" w:hAnsi="Times New Roman" w:cs="Times New Roman"/>
          <w:sz w:val="24"/>
          <w:szCs w:val="24"/>
        </w:rPr>
      </w:pPr>
    </w:p>
    <w:p w14:paraId="7818D5D9" w14:textId="6BD0E2F6" w:rsidR="00522FCC" w:rsidRDefault="00522FCC" w:rsidP="00951F7B">
      <w:pPr>
        <w:spacing w:after="0" w:line="360" w:lineRule="auto"/>
        <w:ind w:firstLine="709"/>
        <w:jc w:val="both"/>
        <w:rPr>
          <w:rFonts w:ascii="Times New Roman" w:hAnsi="Times New Roman" w:cs="Times New Roman"/>
          <w:sz w:val="24"/>
          <w:szCs w:val="24"/>
        </w:rPr>
      </w:pPr>
    </w:p>
    <w:p w14:paraId="479FDE65" w14:textId="77777777" w:rsidR="00522FCC" w:rsidRPr="00951F7B" w:rsidRDefault="00522FCC" w:rsidP="00951F7B">
      <w:pPr>
        <w:spacing w:after="0" w:line="360" w:lineRule="auto"/>
        <w:ind w:firstLine="709"/>
        <w:jc w:val="both"/>
        <w:rPr>
          <w:rFonts w:ascii="Times New Roman" w:hAnsi="Times New Roman" w:cs="Times New Roman"/>
          <w:sz w:val="24"/>
          <w:szCs w:val="24"/>
        </w:rPr>
      </w:pPr>
    </w:p>
    <w:p w14:paraId="2FE1D9CE" w14:textId="77777777" w:rsidR="005B2D21" w:rsidRPr="00951F7B" w:rsidRDefault="005B2D21" w:rsidP="00274328">
      <w:pPr>
        <w:spacing w:after="0" w:line="360" w:lineRule="auto"/>
        <w:jc w:val="center"/>
        <w:rPr>
          <w:rFonts w:ascii="Arial" w:eastAsia="Times New Roman" w:hAnsi="Arial" w:cs="Arial"/>
          <w:b/>
          <w:color w:val="000000"/>
          <w:sz w:val="28"/>
          <w:szCs w:val="28"/>
          <w:lang w:eastAsia="es-MX"/>
        </w:rPr>
      </w:pPr>
      <w:r w:rsidRPr="00951F7B">
        <w:rPr>
          <w:rFonts w:ascii="Times New Roman" w:eastAsiaTheme="majorEastAsia" w:hAnsi="Times New Roman" w:cs="Times New Roman"/>
          <w:b/>
          <w:sz w:val="32"/>
          <w:szCs w:val="28"/>
        </w:rPr>
        <w:lastRenderedPageBreak/>
        <w:t>Conclusión</w:t>
      </w:r>
    </w:p>
    <w:p w14:paraId="066D6EE2" w14:textId="14C0B27B" w:rsidR="005B2D21" w:rsidRPr="00951F7B"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La </w:t>
      </w:r>
      <w:r w:rsidR="001B4AB0">
        <w:rPr>
          <w:rFonts w:ascii="Times New Roman" w:hAnsi="Times New Roman" w:cs="Times New Roman"/>
          <w:sz w:val="24"/>
          <w:szCs w:val="24"/>
        </w:rPr>
        <w:t>UdeG</w:t>
      </w:r>
      <w:r w:rsidRPr="00951F7B">
        <w:rPr>
          <w:rFonts w:ascii="Times New Roman" w:hAnsi="Times New Roman" w:cs="Times New Roman"/>
          <w:sz w:val="24"/>
          <w:szCs w:val="24"/>
        </w:rPr>
        <w:t xml:space="preserve"> es la segunda universidad más importante del país, no obstante, su estructura h</w:t>
      </w:r>
      <w:r w:rsidR="009677A3">
        <w:rPr>
          <w:rFonts w:ascii="Times New Roman" w:hAnsi="Times New Roman" w:cs="Times New Roman"/>
          <w:sz w:val="24"/>
          <w:szCs w:val="24"/>
        </w:rPr>
        <w:t>í</w:t>
      </w:r>
      <w:r w:rsidRPr="00951F7B">
        <w:rPr>
          <w:rFonts w:ascii="Times New Roman" w:hAnsi="Times New Roman" w:cs="Times New Roman"/>
          <w:sz w:val="24"/>
          <w:szCs w:val="24"/>
        </w:rPr>
        <w:t xml:space="preserve">brida y departamentalizada tiene un efecto en el currículo universitario, puesto que </w:t>
      </w:r>
      <w:r w:rsidR="00453C04" w:rsidRPr="00951F7B">
        <w:rPr>
          <w:rFonts w:ascii="Times New Roman" w:hAnsi="Times New Roman" w:cs="Times New Roman"/>
          <w:sz w:val="24"/>
          <w:szCs w:val="24"/>
        </w:rPr>
        <w:t>constriñe</w:t>
      </w:r>
      <w:r w:rsidRPr="00951F7B">
        <w:rPr>
          <w:rFonts w:ascii="Times New Roman" w:hAnsi="Times New Roman" w:cs="Times New Roman"/>
          <w:sz w:val="24"/>
          <w:szCs w:val="24"/>
        </w:rPr>
        <w:t xml:space="preserve"> la enseñanza especializada de una disciplina. </w:t>
      </w:r>
      <w:r w:rsidR="00453C04" w:rsidRPr="00951F7B">
        <w:rPr>
          <w:rFonts w:ascii="Times New Roman" w:hAnsi="Times New Roman" w:cs="Times New Roman"/>
          <w:sz w:val="24"/>
          <w:szCs w:val="24"/>
        </w:rPr>
        <w:t>El</w:t>
      </w:r>
      <w:r w:rsidRPr="00951F7B">
        <w:rPr>
          <w:rFonts w:ascii="Times New Roman" w:hAnsi="Times New Roman" w:cs="Times New Roman"/>
          <w:sz w:val="24"/>
          <w:szCs w:val="24"/>
        </w:rPr>
        <w:t xml:space="preserve"> modelo departamentalizado impone silos académicos y obstaculiza la colaboración transdisciplinar, </w:t>
      </w:r>
      <w:r w:rsidR="00453C04" w:rsidRPr="00951F7B">
        <w:rPr>
          <w:rFonts w:ascii="Times New Roman" w:hAnsi="Times New Roman" w:cs="Times New Roman"/>
          <w:sz w:val="24"/>
          <w:szCs w:val="24"/>
        </w:rPr>
        <w:t xml:space="preserve">que es un </w:t>
      </w:r>
      <w:r w:rsidRPr="00951F7B">
        <w:rPr>
          <w:rFonts w:ascii="Times New Roman" w:hAnsi="Times New Roman" w:cs="Times New Roman"/>
          <w:sz w:val="24"/>
          <w:szCs w:val="24"/>
        </w:rPr>
        <w:t>principio necesario para resolver los problemas que impiden el tránsito hacia un desarrollo sostenible con sociedades más justas.</w:t>
      </w:r>
    </w:p>
    <w:p w14:paraId="2F438CAC" w14:textId="3F8BD992" w:rsidR="005B2D21" w:rsidRPr="00951F7B"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Los problemas</w:t>
      </w:r>
      <w:r w:rsidR="00453C04" w:rsidRPr="00951F7B">
        <w:rPr>
          <w:rFonts w:ascii="Times New Roman" w:hAnsi="Times New Roman" w:cs="Times New Roman"/>
          <w:sz w:val="24"/>
          <w:szCs w:val="24"/>
        </w:rPr>
        <w:t xml:space="preserve"> actuales económicos y socioambientales son síntomas de la necesidad de transformar </w:t>
      </w:r>
      <w:r w:rsidRPr="00951F7B">
        <w:rPr>
          <w:rFonts w:ascii="Times New Roman" w:hAnsi="Times New Roman" w:cs="Times New Roman"/>
          <w:sz w:val="24"/>
          <w:szCs w:val="24"/>
        </w:rPr>
        <w:t>la educación superior</w:t>
      </w:r>
      <w:r w:rsidR="00453C04" w:rsidRPr="00951F7B">
        <w:rPr>
          <w:rFonts w:ascii="Times New Roman" w:hAnsi="Times New Roman" w:cs="Times New Roman"/>
          <w:sz w:val="24"/>
          <w:szCs w:val="24"/>
        </w:rPr>
        <w:t xml:space="preserve"> del siglo XXI</w:t>
      </w:r>
      <w:r w:rsidRPr="00951F7B">
        <w:rPr>
          <w:rFonts w:ascii="Times New Roman" w:hAnsi="Times New Roman" w:cs="Times New Roman"/>
          <w:sz w:val="24"/>
          <w:szCs w:val="24"/>
        </w:rPr>
        <w:t xml:space="preserve"> con modelos estructurales que fomenten la transdisciplinariedad. Desde la perspectiva del cambio institucional, incorporar las cuestiones de sustentabilidad en el currículo y la gestión implica cambios que van más allá de efectuar mejoras en sus funciones y la modificación de su organigrama. En este sentido, el aspecto estructural, así como el tamaño de la universidad</w:t>
      </w:r>
      <w:r w:rsidR="00034EC0">
        <w:rPr>
          <w:rFonts w:ascii="Times New Roman" w:hAnsi="Times New Roman" w:cs="Times New Roman"/>
          <w:sz w:val="24"/>
          <w:szCs w:val="24"/>
        </w:rPr>
        <w:t>,</w:t>
      </w:r>
      <w:r w:rsidRPr="00951F7B">
        <w:rPr>
          <w:rFonts w:ascii="Times New Roman" w:hAnsi="Times New Roman" w:cs="Times New Roman"/>
          <w:sz w:val="24"/>
          <w:szCs w:val="24"/>
        </w:rPr>
        <w:t xml:space="preserve"> representan factores particulares que deben tomarse en cuenta en la planificación </w:t>
      </w:r>
      <w:r w:rsidR="005F0B45" w:rsidRPr="00951F7B">
        <w:rPr>
          <w:rFonts w:ascii="Times New Roman" w:hAnsi="Times New Roman" w:cs="Times New Roman"/>
          <w:sz w:val="24"/>
          <w:szCs w:val="24"/>
        </w:rPr>
        <w:t>estratégica</w:t>
      </w:r>
      <w:r w:rsidRPr="00951F7B">
        <w:rPr>
          <w:rFonts w:ascii="Times New Roman" w:hAnsi="Times New Roman" w:cs="Times New Roman"/>
          <w:sz w:val="24"/>
          <w:szCs w:val="24"/>
        </w:rPr>
        <w:t xml:space="preserve"> de</w:t>
      </w:r>
      <w:r w:rsidR="005F0B45" w:rsidRPr="00951F7B">
        <w:rPr>
          <w:rFonts w:ascii="Times New Roman" w:hAnsi="Times New Roman" w:cs="Times New Roman"/>
          <w:sz w:val="24"/>
          <w:szCs w:val="24"/>
        </w:rPr>
        <w:t>l</w:t>
      </w:r>
      <w:r w:rsidRPr="00951F7B">
        <w:rPr>
          <w:rFonts w:ascii="Times New Roman" w:hAnsi="Times New Roman" w:cs="Times New Roman"/>
          <w:sz w:val="24"/>
          <w:szCs w:val="24"/>
        </w:rPr>
        <w:t xml:space="preserve"> cambio.</w:t>
      </w:r>
    </w:p>
    <w:p w14:paraId="4D7881A5" w14:textId="2814DB37" w:rsidR="005B2D21" w:rsidRDefault="005B2D21"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Las universidades públicas de México podrían gestionar un proceso de cambio efectivo</w:t>
      </w:r>
      <w:r w:rsidR="002B02BC">
        <w:rPr>
          <w:rFonts w:ascii="Times New Roman" w:hAnsi="Times New Roman" w:cs="Times New Roman"/>
          <w:sz w:val="24"/>
          <w:szCs w:val="24"/>
        </w:rPr>
        <w:t xml:space="preserve">: </w:t>
      </w:r>
      <w:r w:rsidRPr="00951F7B">
        <w:rPr>
          <w:rFonts w:ascii="Times New Roman" w:hAnsi="Times New Roman" w:cs="Times New Roman"/>
          <w:sz w:val="24"/>
          <w:szCs w:val="24"/>
        </w:rPr>
        <w:t xml:space="preserve">no solo reformas estructurales, sino también un cambio en la cultura organizacional. Por lo tanto, la </w:t>
      </w:r>
      <w:r w:rsidR="001B4AB0">
        <w:rPr>
          <w:rFonts w:ascii="Times New Roman" w:hAnsi="Times New Roman" w:cs="Times New Roman"/>
          <w:sz w:val="24"/>
          <w:szCs w:val="24"/>
        </w:rPr>
        <w:t>UdeG</w:t>
      </w:r>
      <w:r w:rsidRPr="00951F7B">
        <w:rPr>
          <w:rFonts w:ascii="Times New Roman" w:hAnsi="Times New Roman" w:cs="Times New Roman"/>
          <w:sz w:val="24"/>
          <w:szCs w:val="24"/>
        </w:rPr>
        <w:t xml:space="preserve"> debería pensar en una reingeniería académica, gradual y profunda que afecte su cultura a través de la participación holística de todos los actores </w:t>
      </w:r>
      <w:r w:rsidR="005F0B45" w:rsidRPr="00951F7B">
        <w:rPr>
          <w:rFonts w:ascii="Times New Roman" w:hAnsi="Times New Roman" w:cs="Times New Roman"/>
          <w:sz w:val="24"/>
          <w:szCs w:val="24"/>
        </w:rPr>
        <w:t>claves, principalmente de las y los profesores de todas las áreas del conocimiento.</w:t>
      </w:r>
    </w:p>
    <w:p w14:paraId="36EA4A50" w14:textId="77777777" w:rsidR="00951F7B" w:rsidRPr="00951F7B" w:rsidRDefault="00951F7B" w:rsidP="00951F7B">
      <w:pPr>
        <w:spacing w:after="0" w:line="360" w:lineRule="auto"/>
        <w:ind w:firstLine="709"/>
        <w:jc w:val="both"/>
        <w:rPr>
          <w:rFonts w:ascii="Times New Roman" w:hAnsi="Times New Roman" w:cs="Times New Roman"/>
          <w:sz w:val="24"/>
          <w:szCs w:val="24"/>
        </w:rPr>
      </w:pPr>
    </w:p>
    <w:p w14:paraId="231264A5" w14:textId="647F50FD" w:rsidR="006D0DC6" w:rsidRPr="00951F7B" w:rsidRDefault="00D254D0" w:rsidP="00274328">
      <w:pPr>
        <w:spacing w:after="0" w:line="360" w:lineRule="auto"/>
        <w:jc w:val="center"/>
        <w:rPr>
          <w:rFonts w:ascii="Times New Roman" w:eastAsiaTheme="majorEastAsia" w:hAnsi="Times New Roman" w:cs="Times New Roman"/>
          <w:b/>
          <w:sz w:val="28"/>
          <w:szCs w:val="24"/>
        </w:rPr>
      </w:pPr>
      <w:r w:rsidRPr="00951F7B">
        <w:rPr>
          <w:rFonts w:ascii="Times New Roman" w:eastAsiaTheme="majorEastAsia" w:hAnsi="Times New Roman" w:cs="Times New Roman"/>
          <w:b/>
          <w:sz w:val="28"/>
          <w:szCs w:val="24"/>
        </w:rPr>
        <w:t xml:space="preserve">Futuras líneas de </w:t>
      </w:r>
      <w:r w:rsidR="00951F7B">
        <w:rPr>
          <w:rFonts w:ascii="Times New Roman" w:eastAsiaTheme="majorEastAsia" w:hAnsi="Times New Roman" w:cs="Times New Roman"/>
          <w:b/>
          <w:sz w:val="28"/>
          <w:szCs w:val="24"/>
        </w:rPr>
        <w:t>i</w:t>
      </w:r>
      <w:r w:rsidRPr="00951F7B">
        <w:rPr>
          <w:rFonts w:ascii="Times New Roman" w:eastAsiaTheme="majorEastAsia" w:hAnsi="Times New Roman" w:cs="Times New Roman"/>
          <w:b/>
          <w:sz w:val="28"/>
          <w:szCs w:val="24"/>
        </w:rPr>
        <w:t>nvestigación</w:t>
      </w:r>
    </w:p>
    <w:p w14:paraId="13ABCF48" w14:textId="55DE7D01" w:rsidR="00D254D0" w:rsidRDefault="00B14920"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 xml:space="preserve">El estudio de las estrategias implementadas por las universidades públicas puede ser de gran interés si se estudia desde el enfoque de la gestión. Futuras investigaciones podrían abordar la forma en cómo cada uno de los actores internos comprenden el término de la </w:t>
      </w:r>
      <w:r w:rsidRPr="00145D7F">
        <w:rPr>
          <w:rFonts w:ascii="Times New Roman" w:hAnsi="Times New Roman" w:cs="Times New Roman"/>
          <w:i/>
          <w:iCs/>
          <w:sz w:val="24"/>
          <w:szCs w:val="24"/>
        </w:rPr>
        <w:t>sustentabilidad</w:t>
      </w:r>
      <w:r w:rsidRPr="00951F7B">
        <w:rPr>
          <w:rFonts w:ascii="Times New Roman" w:hAnsi="Times New Roman" w:cs="Times New Roman"/>
          <w:sz w:val="24"/>
          <w:szCs w:val="24"/>
        </w:rPr>
        <w:t xml:space="preserve"> y cómo este puede ser llevado a la práctica tanto en la dimensión escolar como también en la extraescolar. </w:t>
      </w:r>
    </w:p>
    <w:p w14:paraId="705B5E68" w14:textId="77777777" w:rsidR="00951F7B" w:rsidRPr="00951F7B" w:rsidRDefault="00951F7B" w:rsidP="00951F7B">
      <w:pPr>
        <w:spacing w:after="0" w:line="360" w:lineRule="auto"/>
        <w:ind w:firstLine="709"/>
        <w:jc w:val="both"/>
        <w:rPr>
          <w:rFonts w:ascii="Times New Roman" w:hAnsi="Times New Roman" w:cs="Times New Roman"/>
          <w:sz w:val="24"/>
          <w:szCs w:val="24"/>
        </w:rPr>
      </w:pPr>
    </w:p>
    <w:p w14:paraId="4514DB63" w14:textId="62450589" w:rsidR="002708D2" w:rsidRPr="00951F7B" w:rsidRDefault="002708D2" w:rsidP="00951F7B">
      <w:pPr>
        <w:spacing w:after="0" w:line="360" w:lineRule="auto"/>
        <w:rPr>
          <w:rFonts w:ascii="Times New Roman" w:eastAsiaTheme="majorEastAsia" w:hAnsi="Times New Roman" w:cs="Times New Roman"/>
          <w:b/>
          <w:sz w:val="28"/>
          <w:szCs w:val="24"/>
        </w:rPr>
      </w:pPr>
      <w:r w:rsidRPr="00951F7B">
        <w:rPr>
          <w:rFonts w:ascii="Times New Roman" w:eastAsiaTheme="majorEastAsia" w:hAnsi="Times New Roman" w:cs="Times New Roman"/>
          <w:b/>
          <w:sz w:val="28"/>
          <w:szCs w:val="24"/>
        </w:rPr>
        <w:t>Agradecimientos</w:t>
      </w:r>
    </w:p>
    <w:p w14:paraId="24F65C93" w14:textId="240D1090" w:rsidR="002708D2" w:rsidRPr="00951F7B" w:rsidRDefault="002708D2" w:rsidP="00951F7B">
      <w:pPr>
        <w:spacing w:after="0" w:line="360" w:lineRule="auto"/>
        <w:ind w:firstLine="709"/>
        <w:jc w:val="both"/>
        <w:rPr>
          <w:rFonts w:ascii="Times New Roman" w:hAnsi="Times New Roman" w:cs="Times New Roman"/>
          <w:sz w:val="24"/>
          <w:szCs w:val="24"/>
        </w:rPr>
      </w:pPr>
      <w:r w:rsidRPr="00951F7B">
        <w:rPr>
          <w:rFonts w:ascii="Times New Roman" w:hAnsi="Times New Roman" w:cs="Times New Roman"/>
          <w:sz w:val="24"/>
          <w:szCs w:val="24"/>
        </w:rPr>
        <w:t>Se agradece a la editorial de la revista y a los revisores anónimos por sus comentarios realizados con el propósito de mejorar la calidad de este artículo.</w:t>
      </w:r>
    </w:p>
    <w:p w14:paraId="0CF23EE6" w14:textId="09234ED9" w:rsidR="002708D2" w:rsidRDefault="002708D2" w:rsidP="00951F7B">
      <w:pPr>
        <w:spacing w:after="0" w:line="360" w:lineRule="auto"/>
        <w:jc w:val="center"/>
        <w:rPr>
          <w:rFonts w:ascii="Times New Roman" w:eastAsiaTheme="majorEastAsia" w:hAnsi="Times New Roman" w:cs="Times New Roman"/>
          <w:b/>
          <w:sz w:val="28"/>
          <w:szCs w:val="24"/>
        </w:rPr>
      </w:pPr>
    </w:p>
    <w:p w14:paraId="2A94A277" w14:textId="23297B96" w:rsidR="00274328" w:rsidRDefault="00274328" w:rsidP="00951F7B">
      <w:pPr>
        <w:spacing w:after="0" w:line="360" w:lineRule="auto"/>
        <w:jc w:val="center"/>
        <w:rPr>
          <w:rFonts w:ascii="Times New Roman" w:eastAsiaTheme="majorEastAsia" w:hAnsi="Times New Roman" w:cs="Times New Roman"/>
          <w:b/>
          <w:sz w:val="28"/>
          <w:szCs w:val="24"/>
        </w:rPr>
      </w:pPr>
    </w:p>
    <w:p w14:paraId="2C32EEA9" w14:textId="77777777" w:rsidR="006D0DC6" w:rsidRPr="00274328" w:rsidRDefault="003C3689" w:rsidP="00951F7B">
      <w:pPr>
        <w:spacing w:after="0" w:line="360" w:lineRule="auto"/>
        <w:rPr>
          <w:rFonts w:eastAsiaTheme="majorEastAsia" w:cstheme="minorHAnsi"/>
          <w:b/>
          <w:sz w:val="28"/>
          <w:szCs w:val="24"/>
        </w:rPr>
      </w:pPr>
      <w:r w:rsidRPr="00274328">
        <w:rPr>
          <w:rFonts w:eastAsiaTheme="majorEastAsia" w:cstheme="minorHAnsi"/>
          <w:b/>
          <w:sz w:val="28"/>
          <w:szCs w:val="24"/>
        </w:rPr>
        <w:lastRenderedPageBreak/>
        <w:t>Referencias</w:t>
      </w:r>
    </w:p>
    <w:p w14:paraId="3848B87C" w14:textId="10042EC1" w:rsidR="00B00C0A" w:rsidRPr="00951F7B" w:rsidRDefault="00B00C0A"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Acosta, A.</w:t>
      </w:r>
      <w:r w:rsidR="006B1650">
        <w:rPr>
          <w:rFonts w:ascii="Times New Roman" w:hAnsi="Times New Roman" w:cs="Times New Roman"/>
          <w:sz w:val="24"/>
          <w:szCs w:val="24"/>
        </w:rPr>
        <w:t xml:space="preserve"> (coord.)</w:t>
      </w:r>
      <w:r w:rsidRPr="00951F7B">
        <w:rPr>
          <w:rFonts w:ascii="Times New Roman" w:hAnsi="Times New Roman" w:cs="Times New Roman"/>
          <w:sz w:val="24"/>
          <w:szCs w:val="24"/>
        </w:rPr>
        <w:t xml:space="preserve"> (2006). </w:t>
      </w:r>
      <w:r w:rsidRPr="00145D7F">
        <w:rPr>
          <w:rFonts w:ascii="Times New Roman" w:hAnsi="Times New Roman" w:cs="Times New Roman"/>
          <w:i/>
          <w:iCs/>
          <w:sz w:val="24"/>
          <w:szCs w:val="24"/>
        </w:rPr>
        <w:t>Poder, gobernabilidad y cambio institucional en las universidades públicas en México, 1990-2000</w:t>
      </w:r>
      <w:r w:rsidRPr="00951F7B">
        <w:rPr>
          <w:rFonts w:ascii="Times New Roman" w:hAnsi="Times New Roman" w:cs="Times New Roman"/>
          <w:sz w:val="24"/>
          <w:szCs w:val="24"/>
        </w:rPr>
        <w:t xml:space="preserve">. </w:t>
      </w:r>
      <w:r w:rsidR="007A49EE">
        <w:rPr>
          <w:rFonts w:ascii="Times New Roman" w:hAnsi="Times New Roman" w:cs="Times New Roman"/>
          <w:sz w:val="24"/>
          <w:szCs w:val="24"/>
        </w:rPr>
        <w:t xml:space="preserve">Guadalajara, México: </w:t>
      </w:r>
      <w:r w:rsidRPr="00951F7B">
        <w:rPr>
          <w:rFonts w:ascii="Times New Roman" w:hAnsi="Times New Roman" w:cs="Times New Roman"/>
          <w:sz w:val="24"/>
          <w:szCs w:val="24"/>
        </w:rPr>
        <w:t>Universidad de Guadalajara.</w:t>
      </w:r>
    </w:p>
    <w:p w14:paraId="5755B858" w14:textId="643D2DAD" w:rsidR="002E24DD" w:rsidRPr="00951F7B" w:rsidRDefault="002E24DD" w:rsidP="00951F7B">
      <w:pPr>
        <w:pStyle w:val="Bibliografa"/>
        <w:spacing w:line="360" w:lineRule="auto"/>
        <w:ind w:left="709" w:hanging="709"/>
        <w:jc w:val="both"/>
        <w:rPr>
          <w:rFonts w:ascii="Times New Roman" w:hAnsi="Times New Roman" w:cs="Times New Roman"/>
          <w:sz w:val="24"/>
          <w:szCs w:val="24"/>
          <w:lang w:val="en-US"/>
        </w:rPr>
      </w:pPr>
      <w:proofErr w:type="spellStart"/>
      <w:r w:rsidRPr="00951F7B">
        <w:rPr>
          <w:rFonts w:ascii="Times New Roman" w:hAnsi="Times New Roman" w:cs="Times New Roman"/>
          <w:sz w:val="24"/>
          <w:szCs w:val="24"/>
        </w:rPr>
        <w:t>Aleixo</w:t>
      </w:r>
      <w:proofErr w:type="spellEnd"/>
      <w:r w:rsidRPr="00951F7B">
        <w:rPr>
          <w:rFonts w:ascii="Times New Roman" w:hAnsi="Times New Roman" w:cs="Times New Roman"/>
          <w:sz w:val="24"/>
          <w:szCs w:val="24"/>
        </w:rPr>
        <w:t xml:space="preserve">, A. M., </w:t>
      </w:r>
      <w:proofErr w:type="spellStart"/>
      <w:r w:rsidRPr="00951F7B">
        <w:rPr>
          <w:rFonts w:ascii="Times New Roman" w:hAnsi="Times New Roman" w:cs="Times New Roman"/>
          <w:sz w:val="24"/>
          <w:szCs w:val="24"/>
        </w:rPr>
        <w:t>Azeiteiro</w:t>
      </w:r>
      <w:proofErr w:type="spellEnd"/>
      <w:r w:rsidRPr="00951F7B">
        <w:rPr>
          <w:rFonts w:ascii="Times New Roman" w:hAnsi="Times New Roman" w:cs="Times New Roman"/>
          <w:sz w:val="24"/>
          <w:szCs w:val="24"/>
        </w:rPr>
        <w:t>, U.</w:t>
      </w:r>
      <w:r w:rsidR="007B12C5">
        <w:rPr>
          <w:rFonts w:ascii="Times New Roman" w:hAnsi="Times New Roman" w:cs="Times New Roman"/>
          <w:sz w:val="24"/>
          <w:szCs w:val="24"/>
        </w:rPr>
        <w:t xml:space="preserve"> and</w:t>
      </w:r>
      <w:r w:rsidRPr="00951F7B">
        <w:rPr>
          <w:rFonts w:ascii="Times New Roman" w:hAnsi="Times New Roman" w:cs="Times New Roman"/>
          <w:sz w:val="24"/>
          <w:szCs w:val="24"/>
        </w:rPr>
        <w:t xml:space="preserve"> Leal, S. (2018). </w:t>
      </w:r>
      <w:r w:rsidRPr="00951F7B">
        <w:rPr>
          <w:rFonts w:ascii="Times New Roman" w:hAnsi="Times New Roman" w:cs="Times New Roman"/>
          <w:sz w:val="24"/>
          <w:szCs w:val="24"/>
          <w:lang w:val="en-US"/>
        </w:rPr>
        <w:t xml:space="preserve">The implementation of sustainability practices in Portuguese higher education institutions. </w:t>
      </w:r>
      <w:r w:rsidRPr="00951F7B">
        <w:rPr>
          <w:rFonts w:ascii="Times New Roman" w:hAnsi="Times New Roman" w:cs="Times New Roman"/>
          <w:i/>
          <w:iCs/>
          <w:sz w:val="24"/>
          <w:szCs w:val="24"/>
          <w:lang w:val="en-US"/>
        </w:rPr>
        <w:t>International Journal of Sustainability in Higher Education</w:t>
      </w:r>
      <w:r w:rsidRPr="00951F7B">
        <w:rPr>
          <w:rFonts w:ascii="Times New Roman" w:hAnsi="Times New Roman" w:cs="Times New Roman"/>
          <w:sz w:val="24"/>
          <w:szCs w:val="24"/>
          <w:lang w:val="en-US"/>
        </w:rPr>
        <w:t xml:space="preserve">, </w:t>
      </w:r>
      <w:r w:rsidRPr="00951F7B">
        <w:rPr>
          <w:rFonts w:ascii="Times New Roman" w:hAnsi="Times New Roman" w:cs="Times New Roman"/>
          <w:i/>
          <w:iCs/>
          <w:sz w:val="24"/>
          <w:szCs w:val="24"/>
          <w:lang w:val="en-US"/>
        </w:rPr>
        <w:t>19</w:t>
      </w:r>
      <w:r w:rsidRPr="00951F7B">
        <w:rPr>
          <w:rFonts w:ascii="Times New Roman" w:hAnsi="Times New Roman" w:cs="Times New Roman"/>
          <w:sz w:val="24"/>
          <w:szCs w:val="24"/>
          <w:lang w:val="en-US"/>
        </w:rPr>
        <w:t>(1), 146</w:t>
      </w:r>
      <w:r w:rsidR="007B12C5">
        <w:rPr>
          <w:rFonts w:ascii="Times New Roman" w:hAnsi="Times New Roman" w:cs="Times New Roman"/>
          <w:sz w:val="24"/>
          <w:szCs w:val="24"/>
          <w:lang w:val="en-US"/>
        </w:rPr>
        <w:t>-</w:t>
      </w:r>
      <w:r w:rsidRPr="00951F7B">
        <w:rPr>
          <w:rFonts w:ascii="Times New Roman" w:hAnsi="Times New Roman" w:cs="Times New Roman"/>
          <w:sz w:val="24"/>
          <w:szCs w:val="24"/>
          <w:lang w:val="en-US"/>
        </w:rPr>
        <w:t>178.</w:t>
      </w:r>
      <w:r w:rsidR="002A1F14">
        <w:rPr>
          <w:rFonts w:ascii="Times New Roman" w:hAnsi="Times New Roman" w:cs="Times New Roman"/>
          <w:sz w:val="24"/>
          <w:szCs w:val="24"/>
          <w:lang w:val="en-US"/>
        </w:rPr>
        <w:t xml:space="preserve"> Retrieved from</w:t>
      </w:r>
      <w:r w:rsidRPr="00951F7B">
        <w:rPr>
          <w:rFonts w:ascii="Times New Roman" w:hAnsi="Times New Roman" w:cs="Times New Roman"/>
          <w:sz w:val="24"/>
          <w:szCs w:val="24"/>
          <w:lang w:val="en-US"/>
        </w:rPr>
        <w:t xml:space="preserve"> </w:t>
      </w:r>
      <w:r w:rsidR="004B6A3D" w:rsidRPr="00274328">
        <w:rPr>
          <w:rFonts w:ascii="Times New Roman" w:hAnsi="Times New Roman" w:cs="Times New Roman"/>
          <w:sz w:val="24"/>
          <w:szCs w:val="24"/>
          <w:lang w:val="en-US"/>
        </w:rPr>
        <w:t>https://doi.org/10.1108/IJSHE-02-2017-0016</w:t>
      </w:r>
      <w:r w:rsidR="002A1F14">
        <w:rPr>
          <w:rStyle w:val="Hipervnculo"/>
          <w:rFonts w:ascii="Times New Roman" w:hAnsi="Times New Roman" w:cs="Times New Roman"/>
          <w:sz w:val="24"/>
          <w:szCs w:val="24"/>
          <w:lang w:val="en-US"/>
        </w:rPr>
        <w:t>.</w:t>
      </w:r>
    </w:p>
    <w:p w14:paraId="242DDE2A" w14:textId="610852AC" w:rsidR="004B6A3D" w:rsidRPr="00951F7B" w:rsidRDefault="004B6A3D" w:rsidP="00951F7B">
      <w:pPr>
        <w:pStyle w:val="Bibliografa"/>
        <w:spacing w:line="360" w:lineRule="auto"/>
        <w:ind w:left="709" w:hanging="709"/>
        <w:jc w:val="both"/>
        <w:rPr>
          <w:rFonts w:ascii="Times New Roman" w:hAnsi="Times New Roman" w:cs="Times New Roman"/>
          <w:sz w:val="24"/>
          <w:szCs w:val="24"/>
          <w:lang w:val="en-US"/>
        </w:rPr>
      </w:pPr>
      <w:r w:rsidRPr="00951F7B">
        <w:rPr>
          <w:rFonts w:ascii="Times New Roman" w:hAnsi="Times New Roman" w:cs="Times New Roman"/>
          <w:sz w:val="24"/>
          <w:szCs w:val="24"/>
        </w:rPr>
        <w:t xml:space="preserve">Arredondo, D. M. (2011). Modelos clásicos de la universidad pública. </w:t>
      </w:r>
      <w:proofErr w:type="spellStart"/>
      <w:r w:rsidR="00377E37" w:rsidRPr="00145D7F">
        <w:rPr>
          <w:rFonts w:ascii="Times New Roman" w:hAnsi="Times New Roman" w:cs="Times New Roman"/>
          <w:i/>
          <w:iCs/>
          <w:sz w:val="24"/>
          <w:szCs w:val="24"/>
          <w:lang w:val="en-US"/>
        </w:rPr>
        <w:t>Odiseo</w:t>
      </w:r>
      <w:proofErr w:type="spellEnd"/>
      <w:r w:rsidR="007E3A01" w:rsidRPr="00145D7F">
        <w:rPr>
          <w:rFonts w:ascii="Times New Roman" w:hAnsi="Times New Roman" w:cs="Times New Roman"/>
          <w:i/>
          <w:iCs/>
          <w:sz w:val="24"/>
          <w:szCs w:val="24"/>
          <w:lang w:val="en-US"/>
        </w:rPr>
        <w:t xml:space="preserve"> </w:t>
      </w:r>
      <w:proofErr w:type="spellStart"/>
      <w:r w:rsidRPr="00145D7F">
        <w:rPr>
          <w:rFonts w:ascii="Times New Roman" w:hAnsi="Times New Roman" w:cs="Times New Roman"/>
          <w:i/>
          <w:iCs/>
          <w:sz w:val="24"/>
          <w:szCs w:val="24"/>
          <w:lang w:val="en-US"/>
        </w:rPr>
        <w:t>Revista</w:t>
      </w:r>
      <w:proofErr w:type="spellEnd"/>
      <w:r w:rsidRPr="00145D7F">
        <w:rPr>
          <w:rFonts w:ascii="Times New Roman" w:hAnsi="Times New Roman" w:cs="Times New Roman"/>
          <w:i/>
          <w:iCs/>
          <w:sz w:val="24"/>
          <w:szCs w:val="24"/>
          <w:lang w:val="en-US"/>
        </w:rPr>
        <w:t xml:space="preserve"> </w:t>
      </w:r>
      <w:proofErr w:type="spellStart"/>
      <w:r w:rsidR="00971EE9" w:rsidRPr="00145D7F">
        <w:rPr>
          <w:rFonts w:ascii="Times New Roman" w:hAnsi="Times New Roman" w:cs="Times New Roman"/>
          <w:i/>
          <w:iCs/>
          <w:sz w:val="24"/>
          <w:szCs w:val="24"/>
          <w:lang w:val="en-US"/>
        </w:rPr>
        <w:t>Electrónica</w:t>
      </w:r>
      <w:proofErr w:type="spellEnd"/>
      <w:r w:rsidR="00971EE9" w:rsidRPr="00145D7F">
        <w:rPr>
          <w:rFonts w:ascii="Times New Roman" w:hAnsi="Times New Roman" w:cs="Times New Roman"/>
          <w:i/>
          <w:iCs/>
          <w:sz w:val="24"/>
          <w:szCs w:val="24"/>
          <w:lang w:val="en-US"/>
        </w:rPr>
        <w:t xml:space="preserve"> </w:t>
      </w:r>
      <w:r w:rsidRPr="00145D7F">
        <w:rPr>
          <w:rFonts w:ascii="Times New Roman" w:hAnsi="Times New Roman" w:cs="Times New Roman"/>
          <w:i/>
          <w:iCs/>
          <w:sz w:val="24"/>
          <w:szCs w:val="24"/>
          <w:lang w:val="en-US"/>
        </w:rPr>
        <w:t xml:space="preserve">de </w:t>
      </w:r>
      <w:proofErr w:type="spellStart"/>
      <w:r w:rsidR="00971EE9">
        <w:rPr>
          <w:rFonts w:ascii="Times New Roman" w:hAnsi="Times New Roman" w:cs="Times New Roman"/>
          <w:i/>
          <w:iCs/>
          <w:sz w:val="24"/>
          <w:szCs w:val="24"/>
          <w:lang w:val="en-US"/>
        </w:rPr>
        <w:t>P</w:t>
      </w:r>
      <w:r w:rsidR="00971EE9" w:rsidRPr="00145D7F">
        <w:rPr>
          <w:rFonts w:ascii="Times New Roman" w:hAnsi="Times New Roman" w:cs="Times New Roman"/>
          <w:i/>
          <w:iCs/>
          <w:sz w:val="24"/>
          <w:szCs w:val="24"/>
          <w:lang w:val="en-US"/>
        </w:rPr>
        <w:t>edagogía</w:t>
      </w:r>
      <w:proofErr w:type="spellEnd"/>
      <w:r w:rsidRPr="00951F7B">
        <w:rPr>
          <w:rFonts w:ascii="Times New Roman" w:hAnsi="Times New Roman" w:cs="Times New Roman"/>
          <w:sz w:val="24"/>
          <w:szCs w:val="24"/>
          <w:lang w:val="en-US"/>
        </w:rPr>
        <w:t xml:space="preserve">, </w:t>
      </w:r>
      <w:r w:rsidR="007E3A01" w:rsidRPr="00145D7F">
        <w:rPr>
          <w:rFonts w:ascii="Times New Roman" w:hAnsi="Times New Roman" w:cs="Times New Roman"/>
          <w:i/>
          <w:iCs/>
          <w:sz w:val="24"/>
          <w:szCs w:val="24"/>
          <w:lang w:val="en-US"/>
        </w:rPr>
        <w:t>8</w:t>
      </w:r>
      <w:r w:rsidR="007E3A01">
        <w:rPr>
          <w:rFonts w:ascii="Times New Roman" w:hAnsi="Times New Roman" w:cs="Times New Roman"/>
          <w:sz w:val="24"/>
          <w:szCs w:val="24"/>
          <w:lang w:val="en-US"/>
        </w:rPr>
        <w:t>(</w:t>
      </w:r>
      <w:r w:rsidRPr="00951F7B">
        <w:rPr>
          <w:rFonts w:ascii="Times New Roman" w:hAnsi="Times New Roman" w:cs="Times New Roman"/>
          <w:sz w:val="24"/>
          <w:szCs w:val="24"/>
          <w:lang w:val="en-US"/>
        </w:rPr>
        <w:t>16</w:t>
      </w:r>
      <w:r w:rsidR="007E3A01">
        <w:rPr>
          <w:rFonts w:ascii="Times New Roman" w:hAnsi="Times New Roman" w:cs="Times New Roman"/>
          <w:sz w:val="24"/>
          <w:szCs w:val="24"/>
          <w:lang w:val="en-US"/>
        </w:rPr>
        <w:t>)</w:t>
      </w:r>
      <w:r w:rsidR="00971EE9">
        <w:rPr>
          <w:rFonts w:ascii="Times New Roman" w:hAnsi="Times New Roman" w:cs="Times New Roman"/>
          <w:sz w:val="24"/>
          <w:szCs w:val="24"/>
          <w:lang w:val="en-US"/>
        </w:rPr>
        <w:t>.</w:t>
      </w:r>
    </w:p>
    <w:p w14:paraId="13BC8AB0" w14:textId="7CC7B703" w:rsidR="009D47B4" w:rsidRPr="00145D7F" w:rsidRDefault="009D47B4" w:rsidP="00951F7B">
      <w:pPr>
        <w:pStyle w:val="Bibliografa"/>
        <w:spacing w:line="360" w:lineRule="auto"/>
        <w:ind w:left="709" w:hanging="709"/>
        <w:jc w:val="both"/>
        <w:rPr>
          <w:rFonts w:ascii="Times New Roman" w:hAnsi="Times New Roman" w:cs="Times New Roman"/>
          <w:sz w:val="24"/>
          <w:szCs w:val="24"/>
          <w:lang w:val="en-US"/>
        </w:rPr>
      </w:pPr>
      <w:r w:rsidRPr="00951F7B">
        <w:rPr>
          <w:rFonts w:ascii="Times New Roman" w:hAnsi="Times New Roman" w:cs="Times New Roman"/>
          <w:sz w:val="24"/>
          <w:szCs w:val="24"/>
          <w:lang w:val="en-US"/>
        </w:rPr>
        <w:t xml:space="preserve">Birnbaum, R. (1991). </w:t>
      </w:r>
      <w:r w:rsidRPr="00145D7F">
        <w:rPr>
          <w:rFonts w:ascii="Times New Roman" w:hAnsi="Times New Roman" w:cs="Times New Roman"/>
          <w:i/>
          <w:iCs/>
          <w:sz w:val="24"/>
          <w:szCs w:val="24"/>
          <w:lang w:val="en-US"/>
        </w:rPr>
        <w:t>How Colleges Work: The Cybernetics of Academic Organization and Leadership</w:t>
      </w:r>
      <w:r w:rsidRPr="00951F7B">
        <w:rPr>
          <w:rFonts w:ascii="Times New Roman" w:hAnsi="Times New Roman" w:cs="Times New Roman"/>
          <w:sz w:val="24"/>
          <w:szCs w:val="24"/>
          <w:lang w:val="en-US"/>
        </w:rPr>
        <w:t xml:space="preserve">. </w:t>
      </w:r>
      <w:r w:rsidR="00B52D7F">
        <w:rPr>
          <w:rFonts w:ascii="Times New Roman" w:hAnsi="Times New Roman" w:cs="Times New Roman"/>
          <w:sz w:val="24"/>
          <w:szCs w:val="24"/>
          <w:lang w:val="en-US"/>
        </w:rPr>
        <w:t xml:space="preserve">San Francisco, United States: </w:t>
      </w:r>
      <w:r w:rsidRPr="00145D7F">
        <w:rPr>
          <w:rFonts w:ascii="Times New Roman" w:hAnsi="Times New Roman" w:cs="Times New Roman"/>
          <w:sz w:val="24"/>
          <w:szCs w:val="24"/>
          <w:lang w:val="en-US"/>
        </w:rPr>
        <w:t>Jossey-Bass Publication.</w:t>
      </w:r>
    </w:p>
    <w:p w14:paraId="74DD2B34" w14:textId="66D6DF80" w:rsidR="002E24DD" w:rsidRPr="00145D7F" w:rsidRDefault="002E24DD" w:rsidP="00951F7B">
      <w:pPr>
        <w:pStyle w:val="Bibliografa"/>
        <w:spacing w:line="360" w:lineRule="auto"/>
        <w:ind w:left="709" w:hanging="709"/>
        <w:jc w:val="both"/>
        <w:rPr>
          <w:rFonts w:ascii="Times New Roman" w:hAnsi="Times New Roman" w:cs="Times New Roman"/>
          <w:sz w:val="24"/>
          <w:szCs w:val="24"/>
        </w:rPr>
      </w:pPr>
      <w:r w:rsidRPr="00145D7F">
        <w:rPr>
          <w:rFonts w:ascii="Times New Roman" w:hAnsi="Times New Roman" w:cs="Times New Roman"/>
          <w:sz w:val="24"/>
          <w:szCs w:val="24"/>
          <w:lang w:val="en-US"/>
        </w:rPr>
        <w:t xml:space="preserve">Blanco, N., </w:t>
      </w:r>
      <w:proofErr w:type="spellStart"/>
      <w:r w:rsidRPr="00145D7F">
        <w:rPr>
          <w:rFonts w:ascii="Times New Roman" w:hAnsi="Times New Roman" w:cs="Times New Roman"/>
          <w:sz w:val="24"/>
          <w:szCs w:val="24"/>
          <w:lang w:val="en-US"/>
        </w:rPr>
        <w:t>Benayas</w:t>
      </w:r>
      <w:proofErr w:type="spellEnd"/>
      <w:r w:rsidRPr="00145D7F">
        <w:rPr>
          <w:rFonts w:ascii="Times New Roman" w:hAnsi="Times New Roman" w:cs="Times New Roman"/>
          <w:sz w:val="24"/>
          <w:szCs w:val="24"/>
          <w:lang w:val="en-US"/>
        </w:rPr>
        <w:t xml:space="preserve">, J., </w:t>
      </w:r>
      <w:proofErr w:type="spellStart"/>
      <w:r w:rsidRPr="00145D7F">
        <w:rPr>
          <w:rFonts w:ascii="Times New Roman" w:hAnsi="Times New Roman" w:cs="Times New Roman"/>
          <w:sz w:val="24"/>
          <w:szCs w:val="24"/>
          <w:lang w:val="en-US"/>
        </w:rPr>
        <w:t>Pertierra</w:t>
      </w:r>
      <w:proofErr w:type="spellEnd"/>
      <w:r w:rsidRPr="00145D7F">
        <w:rPr>
          <w:rFonts w:ascii="Times New Roman" w:hAnsi="Times New Roman" w:cs="Times New Roman"/>
          <w:sz w:val="24"/>
          <w:szCs w:val="24"/>
          <w:lang w:val="en-US"/>
        </w:rPr>
        <w:t>, L.</w:t>
      </w:r>
      <w:r w:rsidR="00686742" w:rsidRPr="00145D7F">
        <w:rPr>
          <w:rFonts w:ascii="Times New Roman" w:hAnsi="Times New Roman" w:cs="Times New Roman"/>
          <w:sz w:val="24"/>
          <w:szCs w:val="24"/>
          <w:lang w:val="en-US"/>
        </w:rPr>
        <w:t xml:space="preserve"> and</w:t>
      </w:r>
      <w:r w:rsidRPr="00145D7F">
        <w:rPr>
          <w:rFonts w:ascii="Times New Roman" w:hAnsi="Times New Roman" w:cs="Times New Roman"/>
          <w:sz w:val="24"/>
          <w:szCs w:val="24"/>
          <w:lang w:val="en-US"/>
        </w:rPr>
        <w:t xml:space="preserve"> Lozano, R. (2017). </w:t>
      </w:r>
      <w:r w:rsidRPr="00951F7B">
        <w:rPr>
          <w:rFonts w:ascii="Times New Roman" w:hAnsi="Times New Roman" w:cs="Times New Roman"/>
          <w:sz w:val="24"/>
          <w:szCs w:val="24"/>
          <w:lang w:val="en-US"/>
        </w:rPr>
        <w:t xml:space="preserve">Towards the integration of sustainability in </w:t>
      </w:r>
      <w:r w:rsidR="00542110">
        <w:rPr>
          <w:rFonts w:ascii="Times New Roman" w:hAnsi="Times New Roman" w:cs="Times New Roman"/>
          <w:sz w:val="24"/>
          <w:szCs w:val="24"/>
          <w:lang w:val="en-US"/>
        </w:rPr>
        <w:t>h</w:t>
      </w:r>
      <w:r w:rsidRPr="00951F7B">
        <w:rPr>
          <w:rFonts w:ascii="Times New Roman" w:hAnsi="Times New Roman" w:cs="Times New Roman"/>
          <w:sz w:val="24"/>
          <w:szCs w:val="24"/>
          <w:lang w:val="en-US"/>
        </w:rPr>
        <w:t xml:space="preserve">igher education </w:t>
      </w:r>
      <w:r w:rsidR="00542110">
        <w:rPr>
          <w:rFonts w:ascii="Times New Roman" w:hAnsi="Times New Roman" w:cs="Times New Roman"/>
          <w:sz w:val="24"/>
          <w:szCs w:val="24"/>
          <w:lang w:val="en-US"/>
        </w:rPr>
        <w:t>i</w:t>
      </w:r>
      <w:r w:rsidRPr="00951F7B">
        <w:rPr>
          <w:rFonts w:ascii="Times New Roman" w:hAnsi="Times New Roman" w:cs="Times New Roman"/>
          <w:sz w:val="24"/>
          <w:szCs w:val="24"/>
          <w:lang w:val="en-US"/>
        </w:rPr>
        <w:t xml:space="preserve">nstitutions: </w:t>
      </w:r>
      <w:r w:rsidR="00542110">
        <w:rPr>
          <w:rFonts w:ascii="Times New Roman" w:hAnsi="Times New Roman" w:cs="Times New Roman"/>
          <w:sz w:val="24"/>
          <w:szCs w:val="24"/>
          <w:lang w:val="en-US"/>
        </w:rPr>
        <w:t>a</w:t>
      </w:r>
      <w:r w:rsidRPr="00951F7B">
        <w:rPr>
          <w:rFonts w:ascii="Times New Roman" w:hAnsi="Times New Roman" w:cs="Times New Roman"/>
          <w:sz w:val="24"/>
          <w:szCs w:val="24"/>
          <w:lang w:val="en-US"/>
        </w:rPr>
        <w:t xml:space="preserve"> review of drivers of and barriers to </w:t>
      </w:r>
      <w:r w:rsidR="009677A3" w:rsidRPr="00951F7B">
        <w:rPr>
          <w:rFonts w:ascii="Times New Roman" w:hAnsi="Times New Roman" w:cs="Times New Roman"/>
          <w:sz w:val="24"/>
          <w:szCs w:val="24"/>
          <w:lang w:val="en-US"/>
        </w:rPr>
        <w:t>organizational</w:t>
      </w:r>
      <w:r w:rsidRPr="00951F7B">
        <w:rPr>
          <w:rFonts w:ascii="Times New Roman" w:hAnsi="Times New Roman" w:cs="Times New Roman"/>
          <w:sz w:val="24"/>
          <w:szCs w:val="24"/>
          <w:lang w:val="en-US"/>
        </w:rPr>
        <w:t xml:space="preserve"> change and their comparison against those found of companies. </w:t>
      </w:r>
      <w:proofErr w:type="spellStart"/>
      <w:r w:rsidRPr="00145D7F">
        <w:rPr>
          <w:rFonts w:ascii="Times New Roman" w:hAnsi="Times New Roman" w:cs="Times New Roman"/>
          <w:i/>
          <w:iCs/>
          <w:sz w:val="24"/>
          <w:szCs w:val="24"/>
        </w:rPr>
        <w:t>Journal</w:t>
      </w:r>
      <w:proofErr w:type="spellEnd"/>
      <w:r w:rsidRPr="00145D7F">
        <w:rPr>
          <w:rFonts w:ascii="Times New Roman" w:hAnsi="Times New Roman" w:cs="Times New Roman"/>
          <w:i/>
          <w:iCs/>
          <w:sz w:val="24"/>
          <w:szCs w:val="24"/>
        </w:rPr>
        <w:t xml:space="preserve"> </w:t>
      </w:r>
      <w:proofErr w:type="spellStart"/>
      <w:r w:rsidRPr="00145D7F">
        <w:rPr>
          <w:rFonts w:ascii="Times New Roman" w:hAnsi="Times New Roman" w:cs="Times New Roman"/>
          <w:i/>
          <w:iCs/>
          <w:sz w:val="24"/>
          <w:szCs w:val="24"/>
        </w:rPr>
        <w:t>of</w:t>
      </w:r>
      <w:proofErr w:type="spellEnd"/>
      <w:r w:rsidRPr="00145D7F">
        <w:rPr>
          <w:rFonts w:ascii="Times New Roman" w:hAnsi="Times New Roman" w:cs="Times New Roman"/>
          <w:i/>
          <w:iCs/>
          <w:sz w:val="24"/>
          <w:szCs w:val="24"/>
        </w:rPr>
        <w:t xml:space="preserve"> </w:t>
      </w:r>
      <w:proofErr w:type="spellStart"/>
      <w:r w:rsidRPr="00145D7F">
        <w:rPr>
          <w:rFonts w:ascii="Times New Roman" w:hAnsi="Times New Roman" w:cs="Times New Roman"/>
          <w:i/>
          <w:iCs/>
          <w:sz w:val="24"/>
          <w:szCs w:val="24"/>
        </w:rPr>
        <w:t>Cleaner</w:t>
      </w:r>
      <w:proofErr w:type="spellEnd"/>
      <w:r w:rsidRPr="00145D7F">
        <w:rPr>
          <w:rFonts w:ascii="Times New Roman" w:hAnsi="Times New Roman" w:cs="Times New Roman"/>
          <w:i/>
          <w:iCs/>
          <w:sz w:val="24"/>
          <w:szCs w:val="24"/>
        </w:rPr>
        <w:t xml:space="preserve"> </w:t>
      </w:r>
      <w:proofErr w:type="spellStart"/>
      <w:r w:rsidRPr="00145D7F">
        <w:rPr>
          <w:rFonts w:ascii="Times New Roman" w:hAnsi="Times New Roman" w:cs="Times New Roman"/>
          <w:i/>
          <w:iCs/>
          <w:sz w:val="24"/>
          <w:szCs w:val="24"/>
        </w:rPr>
        <w:t>Production</w:t>
      </w:r>
      <w:proofErr w:type="spellEnd"/>
      <w:r w:rsidRPr="00145D7F">
        <w:rPr>
          <w:rFonts w:ascii="Times New Roman" w:hAnsi="Times New Roman" w:cs="Times New Roman"/>
          <w:sz w:val="24"/>
          <w:szCs w:val="24"/>
        </w:rPr>
        <w:t xml:space="preserve">, </w:t>
      </w:r>
      <w:r w:rsidRPr="00145D7F">
        <w:rPr>
          <w:rFonts w:ascii="Times New Roman" w:hAnsi="Times New Roman" w:cs="Times New Roman"/>
          <w:i/>
          <w:iCs/>
          <w:sz w:val="24"/>
          <w:szCs w:val="24"/>
        </w:rPr>
        <w:t>166</w:t>
      </w:r>
      <w:r w:rsidRPr="00145D7F">
        <w:rPr>
          <w:rFonts w:ascii="Times New Roman" w:hAnsi="Times New Roman" w:cs="Times New Roman"/>
          <w:sz w:val="24"/>
          <w:szCs w:val="24"/>
        </w:rPr>
        <w:t>, 563</w:t>
      </w:r>
      <w:r w:rsidR="007B12C5" w:rsidRPr="00145D7F">
        <w:rPr>
          <w:rFonts w:ascii="Times New Roman" w:hAnsi="Times New Roman" w:cs="Times New Roman"/>
          <w:sz w:val="24"/>
          <w:szCs w:val="24"/>
        </w:rPr>
        <w:t>-</w:t>
      </w:r>
      <w:r w:rsidRPr="00145D7F">
        <w:rPr>
          <w:rFonts w:ascii="Times New Roman" w:hAnsi="Times New Roman" w:cs="Times New Roman"/>
          <w:sz w:val="24"/>
          <w:szCs w:val="24"/>
        </w:rPr>
        <w:t>578.</w:t>
      </w:r>
    </w:p>
    <w:p w14:paraId="63CF6213" w14:textId="2E11B3D0" w:rsidR="002E24DD" w:rsidRPr="00951F7B" w:rsidRDefault="002E24D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 xml:space="preserve">Brunner, J. J. (2011). Gobernanza </w:t>
      </w:r>
      <w:r w:rsidR="00FB391C">
        <w:rPr>
          <w:rFonts w:ascii="Times New Roman" w:hAnsi="Times New Roman" w:cs="Times New Roman"/>
          <w:sz w:val="24"/>
          <w:szCs w:val="24"/>
        </w:rPr>
        <w:t>u</w:t>
      </w:r>
      <w:r w:rsidRPr="00951F7B">
        <w:rPr>
          <w:rFonts w:ascii="Times New Roman" w:hAnsi="Times New Roman" w:cs="Times New Roman"/>
          <w:sz w:val="24"/>
          <w:szCs w:val="24"/>
        </w:rPr>
        <w:t xml:space="preserve">niversitaria: </w:t>
      </w:r>
      <w:r w:rsidR="00FB391C">
        <w:rPr>
          <w:rFonts w:ascii="Times New Roman" w:hAnsi="Times New Roman" w:cs="Times New Roman"/>
          <w:sz w:val="24"/>
          <w:szCs w:val="24"/>
        </w:rPr>
        <w:t>ti</w:t>
      </w:r>
      <w:r w:rsidRPr="00951F7B">
        <w:rPr>
          <w:rFonts w:ascii="Times New Roman" w:hAnsi="Times New Roman" w:cs="Times New Roman"/>
          <w:sz w:val="24"/>
          <w:szCs w:val="24"/>
        </w:rPr>
        <w:t xml:space="preserve">pología, dinámicas y tendencias. </w:t>
      </w:r>
      <w:r w:rsidRPr="00951F7B">
        <w:rPr>
          <w:rFonts w:ascii="Times New Roman" w:hAnsi="Times New Roman" w:cs="Times New Roman"/>
          <w:i/>
          <w:iCs/>
          <w:sz w:val="24"/>
          <w:szCs w:val="24"/>
        </w:rPr>
        <w:t>Revista de Educación</w:t>
      </w:r>
      <w:r w:rsidRPr="00951F7B">
        <w:rPr>
          <w:rFonts w:ascii="Times New Roman" w:hAnsi="Times New Roman" w:cs="Times New Roman"/>
          <w:sz w:val="24"/>
          <w:szCs w:val="24"/>
        </w:rPr>
        <w:t xml:space="preserve">, </w:t>
      </w:r>
      <w:r w:rsidR="00FB391C" w:rsidRPr="00145D7F">
        <w:rPr>
          <w:rFonts w:ascii="Times New Roman" w:hAnsi="Times New Roman" w:cs="Times New Roman"/>
          <w:i/>
          <w:iCs/>
          <w:sz w:val="24"/>
          <w:szCs w:val="24"/>
        </w:rPr>
        <w:t>355</w:t>
      </w:r>
      <w:r w:rsidR="00FB391C">
        <w:rPr>
          <w:rFonts w:ascii="Times New Roman" w:hAnsi="Times New Roman" w:cs="Times New Roman"/>
          <w:sz w:val="24"/>
          <w:szCs w:val="24"/>
        </w:rPr>
        <w:t xml:space="preserve">, </w:t>
      </w:r>
      <w:r w:rsidRPr="00951F7B">
        <w:rPr>
          <w:rFonts w:ascii="Times New Roman" w:hAnsi="Times New Roman" w:cs="Times New Roman"/>
          <w:sz w:val="24"/>
          <w:szCs w:val="24"/>
        </w:rPr>
        <w:t>137</w:t>
      </w:r>
      <w:r w:rsidR="007B12C5">
        <w:rPr>
          <w:rFonts w:ascii="Times New Roman" w:hAnsi="Times New Roman" w:cs="Times New Roman"/>
          <w:sz w:val="24"/>
          <w:szCs w:val="24"/>
        </w:rPr>
        <w:t>-</w:t>
      </w:r>
      <w:r w:rsidRPr="00951F7B">
        <w:rPr>
          <w:rFonts w:ascii="Times New Roman" w:hAnsi="Times New Roman" w:cs="Times New Roman"/>
          <w:sz w:val="24"/>
          <w:szCs w:val="24"/>
        </w:rPr>
        <w:t>159.</w:t>
      </w:r>
    </w:p>
    <w:p w14:paraId="59DCC2C4" w14:textId="2F3DC26F" w:rsidR="004B6A3D" w:rsidRPr="00951F7B" w:rsidRDefault="004B6A3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 xml:space="preserve">Brunner, J. J. (2014). La idea de la universidad pública en América Latina: </w:t>
      </w:r>
      <w:r w:rsidR="00B61921">
        <w:rPr>
          <w:rFonts w:ascii="Times New Roman" w:hAnsi="Times New Roman" w:cs="Times New Roman"/>
          <w:sz w:val="24"/>
          <w:szCs w:val="24"/>
        </w:rPr>
        <w:t>n</w:t>
      </w:r>
      <w:r w:rsidRPr="00951F7B">
        <w:rPr>
          <w:rFonts w:ascii="Times New Roman" w:hAnsi="Times New Roman" w:cs="Times New Roman"/>
          <w:sz w:val="24"/>
          <w:szCs w:val="24"/>
        </w:rPr>
        <w:t xml:space="preserve">arraciones en escenarios divergentes. </w:t>
      </w:r>
      <w:r w:rsidRPr="00145D7F">
        <w:rPr>
          <w:rFonts w:ascii="Times New Roman" w:hAnsi="Times New Roman" w:cs="Times New Roman"/>
          <w:i/>
          <w:iCs/>
          <w:sz w:val="24"/>
          <w:szCs w:val="24"/>
        </w:rPr>
        <w:t>Educación XX1</w:t>
      </w:r>
      <w:r w:rsidRPr="00951F7B">
        <w:rPr>
          <w:rFonts w:ascii="Times New Roman" w:hAnsi="Times New Roman" w:cs="Times New Roman"/>
          <w:sz w:val="24"/>
          <w:szCs w:val="24"/>
        </w:rPr>
        <w:t xml:space="preserve">, </w:t>
      </w:r>
      <w:r w:rsidRPr="00145D7F">
        <w:rPr>
          <w:rFonts w:ascii="Times New Roman" w:hAnsi="Times New Roman" w:cs="Times New Roman"/>
          <w:i/>
          <w:iCs/>
          <w:sz w:val="24"/>
          <w:szCs w:val="24"/>
        </w:rPr>
        <w:t>17</w:t>
      </w:r>
      <w:r w:rsidRPr="00951F7B">
        <w:rPr>
          <w:rFonts w:ascii="Times New Roman" w:hAnsi="Times New Roman" w:cs="Times New Roman"/>
          <w:sz w:val="24"/>
          <w:szCs w:val="24"/>
        </w:rPr>
        <w:t xml:space="preserve">(2). </w:t>
      </w:r>
      <w:r w:rsidR="00B61921">
        <w:rPr>
          <w:rFonts w:ascii="Times New Roman" w:hAnsi="Times New Roman" w:cs="Times New Roman"/>
          <w:sz w:val="24"/>
          <w:szCs w:val="24"/>
        </w:rPr>
        <w:t xml:space="preserve">Recuperado de </w:t>
      </w:r>
      <w:r w:rsidR="00B61921" w:rsidRPr="00274328">
        <w:rPr>
          <w:rFonts w:ascii="Times New Roman" w:hAnsi="Times New Roman" w:cs="Times New Roman"/>
          <w:sz w:val="24"/>
          <w:szCs w:val="24"/>
        </w:rPr>
        <w:t>https://doi.org/10.5944/educxx1.17.2.11477</w:t>
      </w:r>
      <w:r w:rsidR="00B61921">
        <w:rPr>
          <w:rFonts w:ascii="Times New Roman" w:hAnsi="Times New Roman" w:cs="Times New Roman"/>
          <w:sz w:val="24"/>
          <w:szCs w:val="24"/>
        </w:rPr>
        <w:t>.</w:t>
      </w:r>
    </w:p>
    <w:p w14:paraId="3C21C9C2" w14:textId="30F05C15" w:rsidR="00E978D6" w:rsidRPr="00951F7B" w:rsidRDefault="00E978D6"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Cadena, A.</w:t>
      </w:r>
      <w:r w:rsidR="00741E9C">
        <w:rPr>
          <w:rFonts w:ascii="Times New Roman" w:hAnsi="Times New Roman" w:cs="Times New Roman"/>
          <w:sz w:val="24"/>
          <w:szCs w:val="24"/>
        </w:rPr>
        <w:t xml:space="preserve"> </w:t>
      </w:r>
      <w:r w:rsidR="005A2126">
        <w:rPr>
          <w:rFonts w:ascii="Times New Roman" w:hAnsi="Times New Roman" w:cs="Times New Roman"/>
          <w:sz w:val="24"/>
          <w:szCs w:val="24"/>
        </w:rPr>
        <w:t>and</w:t>
      </w:r>
      <w:r w:rsidR="00741E9C">
        <w:rPr>
          <w:rFonts w:ascii="Times New Roman" w:hAnsi="Times New Roman" w:cs="Times New Roman"/>
          <w:sz w:val="24"/>
          <w:szCs w:val="24"/>
        </w:rPr>
        <w:t xml:space="preserve"> </w:t>
      </w:r>
      <w:r w:rsidRPr="00951F7B">
        <w:rPr>
          <w:rFonts w:ascii="Times New Roman" w:hAnsi="Times New Roman" w:cs="Times New Roman"/>
          <w:sz w:val="24"/>
          <w:szCs w:val="24"/>
        </w:rPr>
        <w:t xml:space="preserve">Rivera, G. (2020). </w:t>
      </w:r>
      <w:r w:rsidRPr="00951F7B">
        <w:rPr>
          <w:rFonts w:ascii="Times New Roman" w:hAnsi="Times New Roman" w:cs="Times New Roman"/>
          <w:sz w:val="24"/>
          <w:szCs w:val="24"/>
          <w:lang w:val="en-US"/>
        </w:rPr>
        <w:t xml:space="preserve">Theoretical contributions of organizational studies. </w:t>
      </w:r>
      <w:r w:rsidRPr="00951F7B">
        <w:rPr>
          <w:rFonts w:ascii="Times New Roman" w:hAnsi="Times New Roman" w:cs="Times New Roman"/>
          <w:i/>
          <w:sz w:val="24"/>
          <w:szCs w:val="24"/>
        </w:rPr>
        <w:t xml:space="preserve">Gestión y </w:t>
      </w:r>
      <w:r w:rsidR="00D854BA">
        <w:rPr>
          <w:rFonts w:ascii="Times New Roman" w:hAnsi="Times New Roman" w:cs="Times New Roman"/>
          <w:i/>
          <w:sz w:val="24"/>
          <w:szCs w:val="24"/>
        </w:rPr>
        <w:t>E</w:t>
      </w:r>
      <w:r w:rsidR="00D854BA" w:rsidRPr="00951F7B">
        <w:rPr>
          <w:rFonts w:ascii="Times New Roman" w:hAnsi="Times New Roman" w:cs="Times New Roman"/>
          <w:i/>
          <w:sz w:val="24"/>
          <w:szCs w:val="24"/>
        </w:rPr>
        <w:t>strategia</w:t>
      </w:r>
      <w:r w:rsidRPr="00951F7B">
        <w:rPr>
          <w:rFonts w:ascii="Times New Roman" w:hAnsi="Times New Roman" w:cs="Times New Roman"/>
          <w:sz w:val="24"/>
          <w:szCs w:val="24"/>
        </w:rPr>
        <w:t xml:space="preserve">, </w:t>
      </w:r>
      <w:r w:rsidRPr="00145D7F">
        <w:rPr>
          <w:rFonts w:ascii="Times New Roman" w:hAnsi="Times New Roman" w:cs="Times New Roman"/>
          <w:i/>
          <w:iCs/>
          <w:sz w:val="24"/>
          <w:szCs w:val="24"/>
        </w:rPr>
        <w:t>57</w:t>
      </w:r>
      <w:r w:rsidRPr="00951F7B">
        <w:rPr>
          <w:rFonts w:ascii="Times New Roman" w:hAnsi="Times New Roman" w:cs="Times New Roman"/>
          <w:sz w:val="24"/>
          <w:szCs w:val="24"/>
        </w:rPr>
        <w:t>(1), 23</w:t>
      </w:r>
      <w:r w:rsidR="007B12C5">
        <w:rPr>
          <w:rFonts w:ascii="Times New Roman" w:hAnsi="Times New Roman" w:cs="Times New Roman"/>
          <w:sz w:val="24"/>
          <w:szCs w:val="24"/>
        </w:rPr>
        <w:t>-</w:t>
      </w:r>
      <w:r w:rsidRPr="00951F7B">
        <w:rPr>
          <w:rFonts w:ascii="Times New Roman" w:hAnsi="Times New Roman" w:cs="Times New Roman"/>
          <w:sz w:val="24"/>
          <w:szCs w:val="24"/>
        </w:rPr>
        <w:t>38.</w:t>
      </w:r>
    </w:p>
    <w:p w14:paraId="0BBAE7FE" w14:textId="10096AB9" w:rsidR="00794C67" w:rsidRPr="00951F7B" w:rsidRDefault="00794C67"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 xml:space="preserve">Cebrián, G. (2020). La educación para el desarrollo sostenible en el currículum universitario: Una investigación-acción cooperativa con profesorado. </w:t>
      </w:r>
      <w:r w:rsidRPr="00145D7F">
        <w:rPr>
          <w:rFonts w:ascii="Times New Roman" w:hAnsi="Times New Roman" w:cs="Times New Roman"/>
          <w:i/>
          <w:iCs/>
          <w:sz w:val="24"/>
          <w:szCs w:val="24"/>
        </w:rPr>
        <w:t>Revista Iberoamericana de Educación Superior</w:t>
      </w:r>
      <w:r w:rsidRPr="00951F7B">
        <w:rPr>
          <w:rFonts w:ascii="Times New Roman" w:hAnsi="Times New Roman" w:cs="Times New Roman"/>
          <w:sz w:val="24"/>
          <w:szCs w:val="24"/>
        </w:rPr>
        <w:t xml:space="preserve">, </w:t>
      </w:r>
      <w:r w:rsidRPr="00145D7F">
        <w:rPr>
          <w:rFonts w:ascii="Times New Roman" w:hAnsi="Times New Roman" w:cs="Times New Roman"/>
          <w:i/>
          <w:iCs/>
          <w:sz w:val="24"/>
          <w:szCs w:val="24"/>
        </w:rPr>
        <w:t>11</w:t>
      </w:r>
      <w:r w:rsidRPr="00951F7B">
        <w:rPr>
          <w:rFonts w:ascii="Times New Roman" w:hAnsi="Times New Roman" w:cs="Times New Roman"/>
          <w:sz w:val="24"/>
          <w:szCs w:val="24"/>
        </w:rPr>
        <w:t>(30).</w:t>
      </w:r>
      <w:r w:rsidR="000224AE">
        <w:rPr>
          <w:rFonts w:ascii="Times New Roman" w:hAnsi="Times New Roman" w:cs="Times New Roman"/>
          <w:sz w:val="24"/>
          <w:szCs w:val="24"/>
        </w:rPr>
        <w:t xml:space="preserve"> Recuperado de</w:t>
      </w:r>
      <w:r w:rsidRPr="00951F7B">
        <w:rPr>
          <w:rFonts w:ascii="Times New Roman" w:hAnsi="Times New Roman" w:cs="Times New Roman"/>
          <w:sz w:val="24"/>
          <w:szCs w:val="24"/>
        </w:rPr>
        <w:t xml:space="preserve"> </w:t>
      </w:r>
      <w:hyperlink r:id="rId8" w:history="1">
        <w:r w:rsidRPr="00951F7B">
          <w:rPr>
            <w:rFonts w:ascii="Times New Roman" w:hAnsi="Times New Roman" w:cs="Times New Roman"/>
            <w:sz w:val="24"/>
            <w:szCs w:val="24"/>
          </w:rPr>
          <w:t>https://doi.org/10.22201/iisue.20072872e.2020.30.590</w:t>
        </w:r>
      </w:hyperlink>
      <w:r w:rsidR="000224AE">
        <w:rPr>
          <w:rFonts w:ascii="Times New Roman" w:hAnsi="Times New Roman" w:cs="Times New Roman"/>
          <w:sz w:val="24"/>
          <w:szCs w:val="24"/>
        </w:rPr>
        <w:t>.</w:t>
      </w:r>
    </w:p>
    <w:p w14:paraId="5D7C4F6A" w14:textId="5D86DC08" w:rsidR="002E24DD" w:rsidRPr="00951F7B" w:rsidRDefault="002E24D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Coronilla, R.</w:t>
      </w:r>
      <w:r w:rsidR="00B52D7F">
        <w:rPr>
          <w:rFonts w:ascii="Times New Roman" w:hAnsi="Times New Roman" w:cs="Times New Roman"/>
          <w:sz w:val="24"/>
          <w:szCs w:val="24"/>
        </w:rPr>
        <w:t xml:space="preserve"> y</w:t>
      </w:r>
      <w:r w:rsidRPr="00951F7B">
        <w:rPr>
          <w:rFonts w:ascii="Times New Roman" w:hAnsi="Times New Roman" w:cs="Times New Roman"/>
          <w:sz w:val="24"/>
          <w:szCs w:val="24"/>
        </w:rPr>
        <w:t xml:space="preserve"> Del Castillo, A. (2003). El cambio organizacional: </w:t>
      </w:r>
      <w:r w:rsidR="00F43DAA">
        <w:rPr>
          <w:rFonts w:ascii="Times New Roman" w:hAnsi="Times New Roman" w:cs="Times New Roman"/>
          <w:sz w:val="24"/>
          <w:szCs w:val="24"/>
        </w:rPr>
        <w:t>e</w:t>
      </w:r>
      <w:r w:rsidR="00F43DAA" w:rsidRPr="00951F7B">
        <w:rPr>
          <w:rFonts w:ascii="Times New Roman" w:hAnsi="Times New Roman" w:cs="Times New Roman"/>
          <w:sz w:val="24"/>
          <w:szCs w:val="24"/>
        </w:rPr>
        <w:t>nfoques</w:t>
      </w:r>
      <w:r w:rsidRPr="00951F7B">
        <w:rPr>
          <w:rFonts w:ascii="Times New Roman" w:hAnsi="Times New Roman" w:cs="Times New Roman"/>
          <w:sz w:val="24"/>
          <w:szCs w:val="24"/>
        </w:rPr>
        <w:t>, conceptos y controversias. En Arellano,</w:t>
      </w:r>
      <w:r w:rsidR="00B52D7F" w:rsidRPr="00B52D7F">
        <w:rPr>
          <w:rFonts w:ascii="Times New Roman" w:hAnsi="Times New Roman" w:cs="Times New Roman"/>
          <w:sz w:val="24"/>
          <w:szCs w:val="24"/>
        </w:rPr>
        <w:t xml:space="preserve"> </w:t>
      </w:r>
      <w:r w:rsidR="00B52D7F" w:rsidRPr="00951F7B">
        <w:rPr>
          <w:rFonts w:ascii="Times New Roman" w:hAnsi="Times New Roman" w:cs="Times New Roman"/>
          <w:sz w:val="24"/>
          <w:szCs w:val="24"/>
        </w:rPr>
        <w:t>D.</w:t>
      </w:r>
      <w:r w:rsidR="00B52D7F">
        <w:rPr>
          <w:rFonts w:ascii="Times New Roman" w:hAnsi="Times New Roman" w:cs="Times New Roman"/>
          <w:sz w:val="24"/>
          <w:szCs w:val="24"/>
        </w:rPr>
        <w:t>,</w:t>
      </w:r>
      <w:r w:rsidRPr="00951F7B">
        <w:rPr>
          <w:rFonts w:ascii="Times New Roman" w:hAnsi="Times New Roman" w:cs="Times New Roman"/>
          <w:sz w:val="24"/>
          <w:szCs w:val="24"/>
        </w:rPr>
        <w:t xml:space="preserve"> Cabrero, </w:t>
      </w:r>
      <w:r w:rsidR="00B52D7F" w:rsidRPr="00951F7B">
        <w:rPr>
          <w:rFonts w:ascii="Times New Roman" w:hAnsi="Times New Roman" w:cs="Times New Roman"/>
          <w:sz w:val="24"/>
          <w:szCs w:val="24"/>
        </w:rPr>
        <w:t>E.</w:t>
      </w:r>
      <w:r w:rsidR="00B52D7F">
        <w:rPr>
          <w:rFonts w:ascii="Times New Roman" w:hAnsi="Times New Roman" w:cs="Times New Roman"/>
          <w:sz w:val="24"/>
          <w:szCs w:val="24"/>
        </w:rPr>
        <w:t xml:space="preserve"> y </w:t>
      </w:r>
      <w:r w:rsidR="002E50A5">
        <w:rPr>
          <w:rFonts w:ascii="Times New Roman" w:hAnsi="Times New Roman" w:cs="Times New Roman"/>
          <w:sz w:val="24"/>
          <w:szCs w:val="24"/>
        </w:rPr>
        <w:t>d</w:t>
      </w:r>
      <w:r w:rsidRPr="00951F7B">
        <w:rPr>
          <w:rFonts w:ascii="Times New Roman" w:hAnsi="Times New Roman" w:cs="Times New Roman"/>
          <w:sz w:val="24"/>
          <w:szCs w:val="24"/>
        </w:rPr>
        <w:t xml:space="preserve">el Castillo, </w:t>
      </w:r>
      <w:r w:rsidR="00B52D7F" w:rsidRPr="00951F7B">
        <w:rPr>
          <w:rFonts w:ascii="Times New Roman" w:hAnsi="Times New Roman" w:cs="Times New Roman"/>
          <w:sz w:val="24"/>
          <w:szCs w:val="24"/>
        </w:rPr>
        <w:t>A.</w:t>
      </w:r>
      <w:r w:rsidR="002E50A5">
        <w:rPr>
          <w:rFonts w:ascii="Times New Roman" w:hAnsi="Times New Roman" w:cs="Times New Roman"/>
          <w:sz w:val="24"/>
          <w:szCs w:val="24"/>
        </w:rPr>
        <w:t xml:space="preserve"> (</w:t>
      </w:r>
      <w:proofErr w:type="spellStart"/>
      <w:r w:rsidR="002E50A5">
        <w:rPr>
          <w:rFonts w:ascii="Times New Roman" w:hAnsi="Times New Roman" w:cs="Times New Roman"/>
          <w:sz w:val="24"/>
          <w:szCs w:val="24"/>
        </w:rPr>
        <w:t>coords</w:t>
      </w:r>
      <w:proofErr w:type="spellEnd"/>
      <w:r w:rsidR="002E50A5">
        <w:rPr>
          <w:rFonts w:ascii="Times New Roman" w:hAnsi="Times New Roman" w:cs="Times New Roman"/>
          <w:sz w:val="24"/>
          <w:szCs w:val="24"/>
        </w:rPr>
        <w:t>.)</w:t>
      </w:r>
      <w:r w:rsidR="00B52D7F">
        <w:rPr>
          <w:rFonts w:ascii="Times New Roman" w:hAnsi="Times New Roman" w:cs="Times New Roman"/>
          <w:sz w:val="24"/>
          <w:szCs w:val="24"/>
        </w:rPr>
        <w:t xml:space="preserve">, </w:t>
      </w:r>
      <w:r w:rsidRPr="00951F7B">
        <w:rPr>
          <w:rFonts w:ascii="Times New Roman" w:hAnsi="Times New Roman" w:cs="Times New Roman"/>
          <w:i/>
          <w:iCs/>
          <w:sz w:val="24"/>
          <w:szCs w:val="24"/>
        </w:rPr>
        <w:t>Reformando al Gobierno</w:t>
      </w:r>
      <w:r w:rsidR="009211B6">
        <w:rPr>
          <w:rFonts w:ascii="Times New Roman" w:hAnsi="Times New Roman" w:cs="Times New Roman"/>
          <w:i/>
          <w:iCs/>
          <w:sz w:val="24"/>
          <w:szCs w:val="24"/>
        </w:rPr>
        <w:t>:</w:t>
      </w:r>
      <w:r w:rsidRPr="00951F7B">
        <w:rPr>
          <w:rFonts w:ascii="Times New Roman" w:hAnsi="Times New Roman" w:cs="Times New Roman"/>
          <w:i/>
          <w:iCs/>
          <w:sz w:val="24"/>
          <w:szCs w:val="24"/>
        </w:rPr>
        <w:t xml:space="preserve"> </w:t>
      </w:r>
      <w:r w:rsidR="009211B6">
        <w:rPr>
          <w:rFonts w:ascii="Times New Roman" w:hAnsi="Times New Roman" w:cs="Times New Roman"/>
          <w:i/>
          <w:iCs/>
          <w:sz w:val="24"/>
          <w:szCs w:val="24"/>
        </w:rPr>
        <w:t>u</w:t>
      </w:r>
      <w:r w:rsidR="009211B6" w:rsidRPr="00951F7B">
        <w:rPr>
          <w:rFonts w:ascii="Times New Roman" w:hAnsi="Times New Roman" w:cs="Times New Roman"/>
          <w:i/>
          <w:iCs/>
          <w:sz w:val="24"/>
          <w:szCs w:val="24"/>
        </w:rPr>
        <w:t xml:space="preserve">na </w:t>
      </w:r>
      <w:r w:rsidRPr="00951F7B">
        <w:rPr>
          <w:rFonts w:ascii="Times New Roman" w:hAnsi="Times New Roman" w:cs="Times New Roman"/>
          <w:i/>
          <w:iCs/>
          <w:sz w:val="24"/>
          <w:szCs w:val="24"/>
        </w:rPr>
        <w:t>visión organizacional del cambio gubernamental</w:t>
      </w:r>
      <w:r w:rsidRPr="00951F7B">
        <w:rPr>
          <w:rFonts w:ascii="Times New Roman" w:hAnsi="Times New Roman" w:cs="Times New Roman"/>
          <w:sz w:val="24"/>
          <w:szCs w:val="24"/>
        </w:rPr>
        <w:t xml:space="preserve"> (pp. 77</w:t>
      </w:r>
      <w:r w:rsidR="007B12C5">
        <w:rPr>
          <w:rFonts w:ascii="Times New Roman" w:hAnsi="Times New Roman" w:cs="Times New Roman"/>
          <w:sz w:val="24"/>
          <w:szCs w:val="24"/>
        </w:rPr>
        <w:t>-</w:t>
      </w:r>
      <w:r w:rsidRPr="00951F7B">
        <w:rPr>
          <w:rFonts w:ascii="Times New Roman" w:hAnsi="Times New Roman" w:cs="Times New Roman"/>
          <w:sz w:val="24"/>
          <w:szCs w:val="24"/>
        </w:rPr>
        <w:t xml:space="preserve">136). </w:t>
      </w:r>
      <w:r w:rsidR="009211B6">
        <w:rPr>
          <w:rFonts w:ascii="Times New Roman" w:hAnsi="Times New Roman" w:cs="Times New Roman"/>
          <w:sz w:val="24"/>
          <w:szCs w:val="24"/>
        </w:rPr>
        <w:t xml:space="preserve">México: </w:t>
      </w:r>
      <w:r w:rsidR="00F43DAA" w:rsidRPr="00F43DAA">
        <w:rPr>
          <w:rFonts w:ascii="Times New Roman" w:hAnsi="Times New Roman" w:cs="Times New Roman"/>
          <w:sz w:val="24"/>
          <w:szCs w:val="24"/>
        </w:rPr>
        <w:t>Centro de Investigación y Docencia Económicas</w:t>
      </w:r>
      <w:r w:rsidR="00F43DAA" w:rsidRPr="00F43DAA" w:rsidDel="00F43DAA">
        <w:rPr>
          <w:rFonts w:ascii="Times New Roman" w:hAnsi="Times New Roman" w:cs="Times New Roman"/>
          <w:sz w:val="24"/>
          <w:szCs w:val="24"/>
        </w:rPr>
        <w:t xml:space="preserve"> </w:t>
      </w:r>
      <w:r w:rsidR="009211B6">
        <w:rPr>
          <w:rFonts w:ascii="Times New Roman" w:hAnsi="Times New Roman" w:cs="Times New Roman"/>
          <w:sz w:val="24"/>
          <w:szCs w:val="24"/>
        </w:rPr>
        <w:t>-Porrúa</w:t>
      </w:r>
      <w:r w:rsidRPr="00951F7B">
        <w:rPr>
          <w:rFonts w:ascii="Times New Roman" w:hAnsi="Times New Roman" w:cs="Times New Roman"/>
          <w:sz w:val="24"/>
          <w:szCs w:val="24"/>
        </w:rPr>
        <w:t>.</w:t>
      </w:r>
    </w:p>
    <w:p w14:paraId="312FC106" w14:textId="2D1A725B" w:rsidR="00794C67" w:rsidRPr="00951F7B" w:rsidRDefault="00794C67"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lastRenderedPageBreak/>
        <w:t xml:space="preserve">Díaz, J. M. H. (2021). ¿Qué </w:t>
      </w:r>
      <w:r w:rsidR="000224AE">
        <w:rPr>
          <w:rFonts w:ascii="Times New Roman" w:hAnsi="Times New Roman" w:cs="Times New Roman"/>
          <w:sz w:val="24"/>
          <w:szCs w:val="24"/>
        </w:rPr>
        <w:t>u</w:t>
      </w:r>
      <w:r w:rsidRPr="00951F7B">
        <w:rPr>
          <w:rFonts w:ascii="Times New Roman" w:hAnsi="Times New Roman" w:cs="Times New Roman"/>
          <w:sz w:val="24"/>
          <w:szCs w:val="24"/>
        </w:rPr>
        <w:t xml:space="preserve">niversidad para el </w:t>
      </w:r>
      <w:r w:rsidR="000224AE">
        <w:rPr>
          <w:rFonts w:ascii="Times New Roman" w:hAnsi="Times New Roman" w:cs="Times New Roman"/>
          <w:sz w:val="24"/>
          <w:szCs w:val="24"/>
        </w:rPr>
        <w:t>s</w:t>
      </w:r>
      <w:r w:rsidRPr="00951F7B">
        <w:rPr>
          <w:rFonts w:ascii="Times New Roman" w:hAnsi="Times New Roman" w:cs="Times New Roman"/>
          <w:sz w:val="24"/>
          <w:szCs w:val="24"/>
        </w:rPr>
        <w:t xml:space="preserve">iglo XXI? </w:t>
      </w:r>
      <w:r w:rsidRPr="00145D7F">
        <w:rPr>
          <w:rFonts w:ascii="Times New Roman" w:hAnsi="Times New Roman" w:cs="Times New Roman"/>
          <w:i/>
          <w:iCs/>
          <w:sz w:val="24"/>
          <w:szCs w:val="24"/>
        </w:rPr>
        <w:t xml:space="preserve">Revista </w:t>
      </w:r>
      <w:proofErr w:type="spellStart"/>
      <w:r w:rsidRPr="00145D7F">
        <w:rPr>
          <w:rFonts w:ascii="Times New Roman" w:hAnsi="Times New Roman" w:cs="Times New Roman"/>
          <w:i/>
          <w:iCs/>
          <w:sz w:val="24"/>
          <w:szCs w:val="24"/>
        </w:rPr>
        <w:t>Lusófona</w:t>
      </w:r>
      <w:proofErr w:type="spellEnd"/>
      <w:r w:rsidRPr="00145D7F">
        <w:rPr>
          <w:rFonts w:ascii="Times New Roman" w:hAnsi="Times New Roman" w:cs="Times New Roman"/>
          <w:i/>
          <w:iCs/>
          <w:sz w:val="24"/>
          <w:szCs w:val="24"/>
        </w:rPr>
        <w:t xml:space="preserve"> de </w:t>
      </w:r>
      <w:proofErr w:type="spellStart"/>
      <w:r w:rsidRPr="00145D7F">
        <w:rPr>
          <w:rFonts w:ascii="Times New Roman" w:hAnsi="Times New Roman" w:cs="Times New Roman"/>
          <w:i/>
          <w:iCs/>
          <w:sz w:val="24"/>
          <w:szCs w:val="24"/>
        </w:rPr>
        <w:t>Educação</w:t>
      </w:r>
      <w:proofErr w:type="spellEnd"/>
      <w:r w:rsidRPr="00951F7B">
        <w:rPr>
          <w:rFonts w:ascii="Times New Roman" w:hAnsi="Times New Roman" w:cs="Times New Roman"/>
          <w:sz w:val="24"/>
          <w:szCs w:val="24"/>
        </w:rPr>
        <w:t>, 20.</w:t>
      </w:r>
    </w:p>
    <w:p w14:paraId="5A1F8FCF" w14:textId="5D8BD519" w:rsidR="002E24DD" w:rsidRPr="00951F7B" w:rsidRDefault="002E24D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Gómez Álvarez, P. D. (2021). El cambio y su impacto en las organizaciones. ACADEMO</w:t>
      </w:r>
      <w:r w:rsidR="002C2B52">
        <w:rPr>
          <w:rFonts w:ascii="Times New Roman" w:hAnsi="Times New Roman" w:cs="Times New Roman"/>
          <w:sz w:val="24"/>
          <w:szCs w:val="24"/>
        </w:rPr>
        <w:t xml:space="preserve"> </w:t>
      </w:r>
      <w:r w:rsidRPr="00951F7B">
        <w:rPr>
          <w:rFonts w:ascii="Times New Roman" w:hAnsi="Times New Roman" w:cs="Times New Roman"/>
          <w:sz w:val="24"/>
          <w:szCs w:val="24"/>
        </w:rPr>
        <w:t>Revista de Investigación en Ciencias Sociales y Humanidades, 8(2), 213</w:t>
      </w:r>
      <w:r w:rsidR="007B12C5">
        <w:rPr>
          <w:rFonts w:ascii="Times New Roman" w:hAnsi="Times New Roman" w:cs="Times New Roman"/>
          <w:sz w:val="24"/>
          <w:szCs w:val="24"/>
        </w:rPr>
        <w:t>-</w:t>
      </w:r>
      <w:r w:rsidRPr="00951F7B">
        <w:rPr>
          <w:rFonts w:ascii="Times New Roman" w:hAnsi="Times New Roman" w:cs="Times New Roman"/>
          <w:sz w:val="24"/>
          <w:szCs w:val="24"/>
        </w:rPr>
        <w:t>220. https://doi.org/10.30545/academo.2021.jul-dic.10</w:t>
      </w:r>
    </w:p>
    <w:p w14:paraId="07DCD63D" w14:textId="2FDDF4F1" w:rsidR="002E24DD" w:rsidRPr="00145D7F" w:rsidRDefault="002E24DD" w:rsidP="00951F7B">
      <w:pPr>
        <w:pStyle w:val="Bibliografa"/>
        <w:spacing w:line="360" w:lineRule="auto"/>
        <w:ind w:left="709" w:hanging="709"/>
        <w:jc w:val="both"/>
        <w:rPr>
          <w:rFonts w:ascii="Times New Roman" w:hAnsi="Times New Roman" w:cs="Times New Roman"/>
          <w:sz w:val="24"/>
          <w:szCs w:val="24"/>
          <w:lang w:val="en-US"/>
        </w:rPr>
      </w:pPr>
      <w:r w:rsidRPr="00951F7B">
        <w:rPr>
          <w:rFonts w:ascii="Times New Roman" w:hAnsi="Times New Roman" w:cs="Times New Roman"/>
          <w:sz w:val="24"/>
          <w:szCs w:val="24"/>
        </w:rPr>
        <w:t xml:space="preserve">Guerenabarrena, L., </w:t>
      </w:r>
      <w:proofErr w:type="spellStart"/>
      <w:r w:rsidRPr="00951F7B">
        <w:rPr>
          <w:rFonts w:ascii="Times New Roman" w:hAnsi="Times New Roman" w:cs="Times New Roman"/>
          <w:sz w:val="24"/>
          <w:szCs w:val="24"/>
        </w:rPr>
        <w:t>Olaskoaga</w:t>
      </w:r>
      <w:proofErr w:type="spellEnd"/>
      <w:r w:rsidRPr="00951F7B">
        <w:rPr>
          <w:rFonts w:ascii="Times New Roman" w:hAnsi="Times New Roman" w:cs="Times New Roman"/>
          <w:sz w:val="24"/>
          <w:szCs w:val="24"/>
        </w:rPr>
        <w:t>, J.</w:t>
      </w:r>
      <w:r w:rsidR="00542110">
        <w:rPr>
          <w:rFonts w:ascii="Times New Roman" w:hAnsi="Times New Roman" w:cs="Times New Roman"/>
          <w:sz w:val="24"/>
          <w:szCs w:val="24"/>
        </w:rPr>
        <w:t xml:space="preserve"> y</w:t>
      </w:r>
      <w:r w:rsidRPr="00951F7B">
        <w:rPr>
          <w:rFonts w:ascii="Times New Roman" w:hAnsi="Times New Roman" w:cs="Times New Roman"/>
          <w:sz w:val="24"/>
          <w:szCs w:val="24"/>
        </w:rPr>
        <w:t xml:space="preserve"> Cilleruelo, E. (2021). Obstáculos a la </w:t>
      </w:r>
      <w:proofErr w:type="spellStart"/>
      <w:r w:rsidRPr="00951F7B">
        <w:rPr>
          <w:rFonts w:ascii="Times New Roman" w:hAnsi="Times New Roman" w:cs="Times New Roman"/>
          <w:sz w:val="24"/>
          <w:szCs w:val="24"/>
        </w:rPr>
        <w:t>sostenibilización</w:t>
      </w:r>
      <w:proofErr w:type="spellEnd"/>
      <w:r w:rsidRPr="00951F7B">
        <w:rPr>
          <w:rFonts w:ascii="Times New Roman" w:hAnsi="Times New Roman" w:cs="Times New Roman"/>
          <w:sz w:val="24"/>
          <w:szCs w:val="24"/>
        </w:rPr>
        <w:t xml:space="preserve"> curricular en la universidad española. </w:t>
      </w:r>
      <w:r w:rsidR="00E978D6" w:rsidRPr="00145D7F">
        <w:rPr>
          <w:rFonts w:ascii="Times New Roman" w:hAnsi="Times New Roman" w:cs="Times New Roman"/>
          <w:i/>
          <w:iCs/>
          <w:sz w:val="24"/>
          <w:szCs w:val="24"/>
          <w:lang w:val="en-US"/>
        </w:rPr>
        <w:t>E</w:t>
      </w:r>
      <w:r w:rsidRPr="00145D7F">
        <w:rPr>
          <w:rFonts w:ascii="Times New Roman" w:hAnsi="Times New Roman" w:cs="Times New Roman"/>
          <w:i/>
          <w:iCs/>
          <w:sz w:val="24"/>
          <w:szCs w:val="24"/>
          <w:lang w:val="en-US"/>
        </w:rPr>
        <w:t xml:space="preserve">ducation </w:t>
      </w:r>
      <w:r w:rsidR="00542110" w:rsidRPr="00145D7F">
        <w:rPr>
          <w:rFonts w:ascii="Times New Roman" w:hAnsi="Times New Roman" w:cs="Times New Roman"/>
          <w:i/>
          <w:iCs/>
          <w:sz w:val="24"/>
          <w:szCs w:val="24"/>
          <w:lang w:val="en-US"/>
        </w:rPr>
        <w:t>Policy Analysis Archives</w:t>
      </w:r>
      <w:r w:rsidRPr="00145D7F">
        <w:rPr>
          <w:rFonts w:ascii="Times New Roman" w:hAnsi="Times New Roman" w:cs="Times New Roman"/>
          <w:sz w:val="24"/>
          <w:szCs w:val="24"/>
          <w:lang w:val="en-US"/>
        </w:rPr>
        <w:t xml:space="preserve">, </w:t>
      </w:r>
      <w:r w:rsidRPr="00145D7F">
        <w:rPr>
          <w:rFonts w:ascii="Times New Roman" w:hAnsi="Times New Roman" w:cs="Times New Roman"/>
          <w:i/>
          <w:iCs/>
          <w:sz w:val="24"/>
          <w:szCs w:val="24"/>
          <w:lang w:val="en-US"/>
        </w:rPr>
        <w:t>29</w:t>
      </w:r>
      <w:r w:rsidRPr="00145D7F">
        <w:rPr>
          <w:rFonts w:ascii="Times New Roman" w:hAnsi="Times New Roman" w:cs="Times New Roman"/>
          <w:sz w:val="24"/>
          <w:szCs w:val="24"/>
          <w:lang w:val="en-US"/>
        </w:rPr>
        <w:t>, 94</w:t>
      </w:r>
      <w:r w:rsidR="00542110" w:rsidRPr="00145D7F">
        <w:rPr>
          <w:rFonts w:ascii="Times New Roman" w:hAnsi="Times New Roman" w:cs="Times New Roman"/>
          <w:sz w:val="24"/>
          <w:szCs w:val="24"/>
          <w:lang w:val="en-US"/>
        </w:rPr>
        <w:t>. Retrieved from</w:t>
      </w:r>
      <w:r w:rsidRPr="00145D7F">
        <w:rPr>
          <w:rFonts w:ascii="Times New Roman" w:hAnsi="Times New Roman" w:cs="Times New Roman"/>
          <w:sz w:val="24"/>
          <w:szCs w:val="24"/>
          <w:lang w:val="en-US"/>
        </w:rPr>
        <w:t xml:space="preserve"> https://doi.org/10.14507/epaa.29.5390</w:t>
      </w:r>
      <w:r w:rsidR="00542110" w:rsidRPr="00145D7F">
        <w:rPr>
          <w:rFonts w:ascii="Times New Roman" w:hAnsi="Times New Roman" w:cs="Times New Roman"/>
          <w:sz w:val="24"/>
          <w:szCs w:val="24"/>
          <w:lang w:val="en-US"/>
        </w:rPr>
        <w:t>.</w:t>
      </w:r>
    </w:p>
    <w:p w14:paraId="3E139410" w14:textId="3FD5730B" w:rsidR="002E24DD" w:rsidRPr="00951F7B" w:rsidRDefault="002E24DD" w:rsidP="00951F7B">
      <w:pPr>
        <w:pStyle w:val="Bibliografa"/>
        <w:spacing w:line="360" w:lineRule="auto"/>
        <w:ind w:left="709" w:hanging="709"/>
        <w:jc w:val="both"/>
        <w:rPr>
          <w:rFonts w:ascii="Times New Roman" w:hAnsi="Times New Roman" w:cs="Times New Roman"/>
          <w:sz w:val="24"/>
          <w:szCs w:val="24"/>
          <w:lang w:val="en-US"/>
        </w:rPr>
      </w:pPr>
      <w:r w:rsidRPr="00951F7B">
        <w:rPr>
          <w:rFonts w:ascii="Times New Roman" w:hAnsi="Times New Roman" w:cs="Times New Roman"/>
          <w:sz w:val="24"/>
          <w:szCs w:val="24"/>
          <w:lang w:val="en-US"/>
        </w:rPr>
        <w:t>Jia, Q., Wang, Y.</w:t>
      </w:r>
      <w:r w:rsidR="00376E98">
        <w:rPr>
          <w:rFonts w:ascii="Times New Roman" w:hAnsi="Times New Roman" w:cs="Times New Roman"/>
          <w:sz w:val="24"/>
          <w:szCs w:val="24"/>
          <w:lang w:val="en-US"/>
        </w:rPr>
        <w:t xml:space="preserve"> and</w:t>
      </w:r>
      <w:r w:rsidRPr="00951F7B">
        <w:rPr>
          <w:rFonts w:ascii="Times New Roman" w:hAnsi="Times New Roman" w:cs="Times New Roman"/>
          <w:sz w:val="24"/>
          <w:szCs w:val="24"/>
          <w:lang w:val="en-US"/>
        </w:rPr>
        <w:t xml:space="preserve"> </w:t>
      </w:r>
      <w:proofErr w:type="spellStart"/>
      <w:r w:rsidRPr="00951F7B">
        <w:rPr>
          <w:rFonts w:ascii="Times New Roman" w:hAnsi="Times New Roman" w:cs="Times New Roman"/>
          <w:sz w:val="24"/>
          <w:szCs w:val="24"/>
          <w:lang w:val="en-US"/>
        </w:rPr>
        <w:t>Fengting</w:t>
      </w:r>
      <w:proofErr w:type="spellEnd"/>
      <w:r w:rsidRPr="00951F7B">
        <w:rPr>
          <w:rFonts w:ascii="Times New Roman" w:hAnsi="Times New Roman" w:cs="Times New Roman"/>
          <w:sz w:val="24"/>
          <w:szCs w:val="24"/>
          <w:lang w:val="en-US"/>
        </w:rPr>
        <w:t xml:space="preserve">, L. (2019). Establishing transdisciplinary minor </w:t>
      </w:r>
      <w:proofErr w:type="spellStart"/>
      <w:r w:rsidRPr="00951F7B">
        <w:rPr>
          <w:rFonts w:ascii="Times New Roman" w:hAnsi="Times New Roman" w:cs="Times New Roman"/>
          <w:sz w:val="24"/>
          <w:szCs w:val="24"/>
          <w:lang w:val="en-US"/>
        </w:rPr>
        <w:t>programme</w:t>
      </w:r>
      <w:proofErr w:type="spellEnd"/>
      <w:r w:rsidRPr="00951F7B">
        <w:rPr>
          <w:rFonts w:ascii="Times New Roman" w:hAnsi="Times New Roman" w:cs="Times New Roman"/>
          <w:sz w:val="24"/>
          <w:szCs w:val="24"/>
          <w:lang w:val="en-US"/>
        </w:rPr>
        <w:t xml:space="preserve"> as a way to embed sustainable development into higher education system: Case by Tongji University, China. </w:t>
      </w:r>
      <w:r w:rsidRPr="00951F7B">
        <w:rPr>
          <w:rFonts w:ascii="Times New Roman" w:hAnsi="Times New Roman" w:cs="Times New Roman"/>
          <w:i/>
          <w:iCs/>
          <w:sz w:val="24"/>
          <w:szCs w:val="24"/>
          <w:lang w:val="en-US"/>
        </w:rPr>
        <w:t>International Journal of Sustainability in Higher Education</w:t>
      </w:r>
      <w:r w:rsidRPr="00951F7B">
        <w:rPr>
          <w:rFonts w:ascii="Times New Roman" w:hAnsi="Times New Roman" w:cs="Times New Roman"/>
          <w:sz w:val="24"/>
          <w:szCs w:val="24"/>
          <w:lang w:val="en-US"/>
        </w:rPr>
        <w:t xml:space="preserve">, </w:t>
      </w:r>
      <w:r w:rsidRPr="00951F7B">
        <w:rPr>
          <w:rFonts w:ascii="Times New Roman" w:hAnsi="Times New Roman" w:cs="Times New Roman"/>
          <w:i/>
          <w:iCs/>
          <w:sz w:val="24"/>
          <w:szCs w:val="24"/>
          <w:lang w:val="en-US"/>
        </w:rPr>
        <w:t>20</w:t>
      </w:r>
      <w:r w:rsidRPr="00951F7B">
        <w:rPr>
          <w:rFonts w:ascii="Times New Roman" w:hAnsi="Times New Roman" w:cs="Times New Roman"/>
          <w:sz w:val="24"/>
          <w:szCs w:val="24"/>
          <w:lang w:val="en-US"/>
        </w:rPr>
        <w:t>(1), 157</w:t>
      </w:r>
      <w:r w:rsidR="007B12C5">
        <w:rPr>
          <w:rFonts w:ascii="Times New Roman" w:hAnsi="Times New Roman" w:cs="Times New Roman"/>
          <w:sz w:val="24"/>
          <w:szCs w:val="24"/>
          <w:lang w:val="en-US"/>
        </w:rPr>
        <w:t>-</w:t>
      </w:r>
      <w:r w:rsidRPr="00951F7B">
        <w:rPr>
          <w:rFonts w:ascii="Times New Roman" w:hAnsi="Times New Roman" w:cs="Times New Roman"/>
          <w:sz w:val="24"/>
          <w:szCs w:val="24"/>
          <w:lang w:val="en-US"/>
        </w:rPr>
        <w:t>169.</w:t>
      </w:r>
      <w:r w:rsidR="00376E98">
        <w:rPr>
          <w:rFonts w:ascii="Times New Roman" w:hAnsi="Times New Roman" w:cs="Times New Roman"/>
          <w:sz w:val="24"/>
          <w:szCs w:val="24"/>
          <w:lang w:val="en-US"/>
        </w:rPr>
        <w:t xml:space="preserve"> Retrieved from</w:t>
      </w:r>
      <w:r w:rsidRPr="00951F7B">
        <w:rPr>
          <w:rFonts w:ascii="Times New Roman" w:hAnsi="Times New Roman" w:cs="Times New Roman"/>
          <w:sz w:val="24"/>
          <w:szCs w:val="24"/>
          <w:lang w:val="en-US"/>
        </w:rPr>
        <w:t xml:space="preserve"> https://doi.org/10.1108/IJSHE-05-2018-0095</w:t>
      </w:r>
      <w:r w:rsidR="00376E98">
        <w:rPr>
          <w:rFonts w:ascii="Times New Roman" w:hAnsi="Times New Roman" w:cs="Times New Roman"/>
          <w:sz w:val="24"/>
          <w:szCs w:val="24"/>
          <w:lang w:val="en-US"/>
        </w:rPr>
        <w:t>.</w:t>
      </w:r>
    </w:p>
    <w:p w14:paraId="2BBBBC26" w14:textId="19A998CB" w:rsidR="00794C67" w:rsidRPr="00951F7B" w:rsidRDefault="00794C67"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 xml:space="preserve">Jiménez, N. M. (2021). La sustentabilidad universitaria en México: </w:t>
      </w:r>
      <w:r w:rsidR="00DA0E8B">
        <w:rPr>
          <w:rFonts w:ascii="Times New Roman" w:hAnsi="Times New Roman" w:cs="Times New Roman"/>
          <w:sz w:val="24"/>
          <w:szCs w:val="24"/>
        </w:rPr>
        <w:t>a</w:t>
      </w:r>
      <w:r w:rsidR="00DA0E8B" w:rsidRPr="00951F7B">
        <w:rPr>
          <w:rFonts w:ascii="Times New Roman" w:hAnsi="Times New Roman" w:cs="Times New Roman"/>
          <w:sz w:val="24"/>
          <w:szCs w:val="24"/>
        </w:rPr>
        <w:t xml:space="preserve">vances </w:t>
      </w:r>
      <w:r w:rsidRPr="00951F7B">
        <w:rPr>
          <w:rFonts w:ascii="Times New Roman" w:hAnsi="Times New Roman" w:cs="Times New Roman"/>
          <w:sz w:val="24"/>
          <w:szCs w:val="24"/>
        </w:rPr>
        <w:t xml:space="preserve">y desafíos. </w:t>
      </w:r>
      <w:r w:rsidRPr="00145D7F">
        <w:rPr>
          <w:rFonts w:ascii="Times New Roman" w:hAnsi="Times New Roman" w:cs="Times New Roman"/>
          <w:i/>
          <w:iCs/>
          <w:sz w:val="24"/>
          <w:szCs w:val="24"/>
        </w:rPr>
        <w:t>Revista Iberoamericana Ambiente &amp; Sustentabilidad</w:t>
      </w:r>
      <w:r w:rsidRPr="00951F7B">
        <w:rPr>
          <w:rFonts w:ascii="Times New Roman" w:hAnsi="Times New Roman" w:cs="Times New Roman"/>
          <w:sz w:val="24"/>
          <w:szCs w:val="24"/>
        </w:rPr>
        <w:t xml:space="preserve">, </w:t>
      </w:r>
      <w:r w:rsidRPr="00145D7F">
        <w:rPr>
          <w:rFonts w:ascii="Times New Roman" w:hAnsi="Times New Roman" w:cs="Times New Roman"/>
          <w:i/>
          <w:iCs/>
          <w:sz w:val="24"/>
          <w:szCs w:val="24"/>
        </w:rPr>
        <w:t>4</w:t>
      </w:r>
      <w:r w:rsidRPr="00951F7B">
        <w:rPr>
          <w:rFonts w:ascii="Times New Roman" w:hAnsi="Times New Roman" w:cs="Times New Roman"/>
          <w:sz w:val="24"/>
          <w:szCs w:val="24"/>
        </w:rPr>
        <w:t>.</w:t>
      </w:r>
      <w:r w:rsidR="00DA0E8B">
        <w:rPr>
          <w:rFonts w:ascii="Times New Roman" w:hAnsi="Times New Roman" w:cs="Times New Roman"/>
          <w:sz w:val="24"/>
          <w:szCs w:val="24"/>
        </w:rPr>
        <w:t xml:space="preserve"> Recuperado de</w:t>
      </w:r>
      <w:r w:rsidRPr="00951F7B">
        <w:rPr>
          <w:rFonts w:ascii="Times New Roman" w:hAnsi="Times New Roman" w:cs="Times New Roman"/>
          <w:sz w:val="24"/>
          <w:szCs w:val="24"/>
        </w:rPr>
        <w:t xml:space="preserve"> </w:t>
      </w:r>
      <w:hyperlink r:id="rId9" w:history="1">
        <w:r w:rsidRPr="00951F7B">
          <w:rPr>
            <w:rFonts w:ascii="Times New Roman" w:hAnsi="Times New Roman" w:cs="Times New Roman"/>
            <w:sz w:val="24"/>
            <w:szCs w:val="24"/>
          </w:rPr>
          <w:t>https://doi.org/10.46380/rias.vol4.e152</w:t>
        </w:r>
      </w:hyperlink>
      <w:r w:rsidR="00DA0E8B">
        <w:rPr>
          <w:rFonts w:ascii="Times New Roman" w:hAnsi="Times New Roman" w:cs="Times New Roman"/>
          <w:sz w:val="24"/>
          <w:szCs w:val="24"/>
        </w:rPr>
        <w:t>.</w:t>
      </w:r>
    </w:p>
    <w:p w14:paraId="5084B126" w14:textId="277CEC0E" w:rsidR="002E24DD" w:rsidRPr="00951F7B" w:rsidRDefault="002E24DD" w:rsidP="00951F7B">
      <w:pPr>
        <w:pStyle w:val="Bibliografa"/>
        <w:spacing w:line="360" w:lineRule="auto"/>
        <w:ind w:left="709" w:hanging="709"/>
        <w:jc w:val="both"/>
        <w:rPr>
          <w:rFonts w:ascii="Times New Roman" w:hAnsi="Times New Roman" w:cs="Times New Roman"/>
          <w:sz w:val="24"/>
          <w:szCs w:val="24"/>
          <w:lang w:val="en-US"/>
        </w:rPr>
      </w:pPr>
      <w:r w:rsidRPr="00951F7B">
        <w:rPr>
          <w:rFonts w:ascii="Times New Roman" w:hAnsi="Times New Roman" w:cs="Times New Roman"/>
          <w:sz w:val="24"/>
          <w:szCs w:val="24"/>
          <w:lang w:val="en-US"/>
        </w:rPr>
        <w:t xml:space="preserve">March, J. G. (1981). Footnotes to Organizational Change. </w:t>
      </w:r>
      <w:r w:rsidRPr="00951F7B">
        <w:rPr>
          <w:rFonts w:ascii="Times New Roman" w:hAnsi="Times New Roman" w:cs="Times New Roman"/>
          <w:i/>
          <w:iCs/>
          <w:sz w:val="24"/>
          <w:szCs w:val="24"/>
          <w:lang w:val="en-US"/>
        </w:rPr>
        <w:t xml:space="preserve">Administrative Science </w:t>
      </w:r>
      <w:r w:rsidR="007E7AEE" w:rsidRPr="00951F7B">
        <w:rPr>
          <w:rFonts w:ascii="Times New Roman" w:hAnsi="Times New Roman" w:cs="Times New Roman"/>
          <w:i/>
          <w:iCs/>
          <w:sz w:val="24"/>
          <w:szCs w:val="24"/>
          <w:lang w:val="en-US"/>
        </w:rPr>
        <w:t>Quarterly</w:t>
      </w:r>
      <w:r w:rsidRPr="00951F7B">
        <w:rPr>
          <w:rFonts w:ascii="Times New Roman" w:hAnsi="Times New Roman" w:cs="Times New Roman"/>
          <w:sz w:val="24"/>
          <w:szCs w:val="24"/>
          <w:lang w:val="en-US"/>
        </w:rPr>
        <w:t xml:space="preserve">, </w:t>
      </w:r>
      <w:r w:rsidRPr="00951F7B">
        <w:rPr>
          <w:rFonts w:ascii="Times New Roman" w:hAnsi="Times New Roman" w:cs="Times New Roman"/>
          <w:i/>
          <w:iCs/>
          <w:sz w:val="24"/>
          <w:szCs w:val="24"/>
          <w:lang w:val="en-US"/>
        </w:rPr>
        <w:t>26</w:t>
      </w:r>
      <w:r w:rsidRPr="00951F7B">
        <w:rPr>
          <w:rFonts w:ascii="Times New Roman" w:hAnsi="Times New Roman" w:cs="Times New Roman"/>
          <w:sz w:val="24"/>
          <w:szCs w:val="24"/>
          <w:lang w:val="en-US"/>
        </w:rPr>
        <w:t>(4), 563</w:t>
      </w:r>
      <w:r w:rsidR="007B12C5">
        <w:rPr>
          <w:rFonts w:ascii="Times New Roman" w:hAnsi="Times New Roman" w:cs="Times New Roman"/>
          <w:sz w:val="24"/>
          <w:szCs w:val="24"/>
          <w:lang w:val="en-US"/>
        </w:rPr>
        <w:t>-</w:t>
      </w:r>
      <w:r w:rsidRPr="00951F7B">
        <w:rPr>
          <w:rFonts w:ascii="Times New Roman" w:hAnsi="Times New Roman" w:cs="Times New Roman"/>
          <w:sz w:val="24"/>
          <w:szCs w:val="24"/>
          <w:lang w:val="en-US"/>
        </w:rPr>
        <w:t>577.</w:t>
      </w:r>
    </w:p>
    <w:p w14:paraId="1B88ED6D" w14:textId="63D7FE60" w:rsidR="00A51331" w:rsidRPr="00951F7B" w:rsidRDefault="00A51331" w:rsidP="00951F7B">
      <w:pPr>
        <w:pStyle w:val="Bibliografa"/>
        <w:spacing w:line="360" w:lineRule="auto"/>
        <w:ind w:left="709" w:hanging="709"/>
        <w:jc w:val="both"/>
        <w:rPr>
          <w:rFonts w:ascii="Times New Roman" w:hAnsi="Times New Roman" w:cs="Times New Roman"/>
          <w:sz w:val="24"/>
          <w:szCs w:val="24"/>
        </w:rPr>
      </w:pPr>
      <w:proofErr w:type="spellStart"/>
      <w:r w:rsidRPr="00951F7B">
        <w:rPr>
          <w:rFonts w:ascii="Times New Roman" w:hAnsi="Times New Roman" w:cs="Times New Roman"/>
          <w:sz w:val="24"/>
          <w:szCs w:val="24"/>
          <w:lang w:val="en-US"/>
        </w:rPr>
        <w:t>Mayntz</w:t>
      </w:r>
      <w:proofErr w:type="spellEnd"/>
      <w:r w:rsidRPr="00951F7B">
        <w:rPr>
          <w:rFonts w:ascii="Times New Roman" w:hAnsi="Times New Roman" w:cs="Times New Roman"/>
          <w:sz w:val="24"/>
          <w:szCs w:val="24"/>
          <w:lang w:val="en-US"/>
        </w:rPr>
        <w:t xml:space="preserve">, R. (1980). </w:t>
      </w:r>
      <w:r w:rsidRPr="00951F7B">
        <w:rPr>
          <w:rFonts w:ascii="Times New Roman" w:hAnsi="Times New Roman" w:cs="Times New Roman"/>
          <w:sz w:val="24"/>
          <w:szCs w:val="24"/>
        </w:rPr>
        <w:t xml:space="preserve">La sociedad organizada. En Mayntz, </w:t>
      </w:r>
      <w:r w:rsidR="0067536B" w:rsidRPr="00951F7B">
        <w:rPr>
          <w:rFonts w:ascii="Times New Roman" w:hAnsi="Times New Roman" w:cs="Times New Roman"/>
          <w:sz w:val="24"/>
          <w:szCs w:val="24"/>
        </w:rPr>
        <w:t>R.</w:t>
      </w:r>
      <w:r w:rsidR="0067536B">
        <w:rPr>
          <w:rFonts w:ascii="Times New Roman" w:hAnsi="Times New Roman" w:cs="Times New Roman"/>
          <w:sz w:val="24"/>
          <w:szCs w:val="24"/>
        </w:rPr>
        <w:t>,</w:t>
      </w:r>
      <w:r w:rsidR="0067536B" w:rsidRPr="00951F7B">
        <w:rPr>
          <w:rFonts w:ascii="Times New Roman" w:hAnsi="Times New Roman" w:cs="Times New Roman"/>
          <w:sz w:val="24"/>
          <w:szCs w:val="24"/>
        </w:rPr>
        <w:t xml:space="preserve"> </w:t>
      </w:r>
      <w:r w:rsidRPr="00951F7B">
        <w:rPr>
          <w:rFonts w:ascii="Times New Roman" w:hAnsi="Times New Roman" w:cs="Times New Roman"/>
          <w:i/>
          <w:sz w:val="24"/>
          <w:szCs w:val="24"/>
        </w:rPr>
        <w:t xml:space="preserve">Sociología de </w:t>
      </w:r>
      <w:r w:rsidR="0067536B">
        <w:rPr>
          <w:rFonts w:ascii="Times New Roman" w:hAnsi="Times New Roman" w:cs="Times New Roman"/>
          <w:i/>
          <w:sz w:val="24"/>
          <w:szCs w:val="24"/>
        </w:rPr>
        <w:t>la o</w:t>
      </w:r>
      <w:r w:rsidRPr="00951F7B">
        <w:rPr>
          <w:rFonts w:ascii="Times New Roman" w:hAnsi="Times New Roman" w:cs="Times New Roman"/>
          <w:i/>
          <w:sz w:val="24"/>
          <w:szCs w:val="24"/>
        </w:rPr>
        <w:t>rganización</w:t>
      </w:r>
      <w:r w:rsidRPr="00951F7B">
        <w:rPr>
          <w:rFonts w:ascii="Times New Roman" w:hAnsi="Times New Roman" w:cs="Times New Roman"/>
          <w:sz w:val="24"/>
          <w:szCs w:val="24"/>
        </w:rPr>
        <w:t xml:space="preserve"> (3</w:t>
      </w:r>
      <w:r w:rsidR="0067536B">
        <w:rPr>
          <w:rFonts w:ascii="Times New Roman" w:hAnsi="Times New Roman" w:cs="Times New Roman"/>
          <w:sz w:val="24"/>
          <w:szCs w:val="24"/>
        </w:rPr>
        <w:t>.</w:t>
      </w:r>
      <w:r w:rsidRPr="00145D7F">
        <w:rPr>
          <w:rFonts w:ascii="Times New Roman" w:hAnsi="Times New Roman" w:cs="Times New Roman"/>
          <w:sz w:val="24"/>
          <w:szCs w:val="24"/>
          <w:vertAlign w:val="superscript"/>
        </w:rPr>
        <w:t>a</w:t>
      </w:r>
      <w:r w:rsidRPr="00951F7B">
        <w:rPr>
          <w:rFonts w:ascii="Times New Roman" w:hAnsi="Times New Roman" w:cs="Times New Roman"/>
          <w:sz w:val="24"/>
          <w:szCs w:val="24"/>
        </w:rPr>
        <w:t xml:space="preserve"> ed.</w:t>
      </w:r>
      <w:r w:rsidR="0067536B">
        <w:rPr>
          <w:rFonts w:ascii="Times New Roman" w:hAnsi="Times New Roman" w:cs="Times New Roman"/>
          <w:sz w:val="24"/>
          <w:szCs w:val="24"/>
        </w:rPr>
        <w:t>)</w:t>
      </w:r>
      <w:r w:rsidRPr="00951F7B">
        <w:rPr>
          <w:rFonts w:ascii="Times New Roman" w:hAnsi="Times New Roman" w:cs="Times New Roman"/>
          <w:sz w:val="24"/>
          <w:szCs w:val="24"/>
        </w:rPr>
        <w:t xml:space="preserve"> </w:t>
      </w:r>
      <w:r w:rsidR="0067536B">
        <w:rPr>
          <w:rFonts w:ascii="Times New Roman" w:hAnsi="Times New Roman" w:cs="Times New Roman"/>
          <w:sz w:val="24"/>
          <w:szCs w:val="24"/>
        </w:rPr>
        <w:t>(</w:t>
      </w:r>
      <w:r w:rsidRPr="00951F7B">
        <w:rPr>
          <w:rFonts w:ascii="Times New Roman" w:hAnsi="Times New Roman" w:cs="Times New Roman"/>
          <w:sz w:val="24"/>
          <w:szCs w:val="24"/>
        </w:rPr>
        <w:t>pp. 11</w:t>
      </w:r>
      <w:r w:rsidR="007B12C5">
        <w:rPr>
          <w:rFonts w:ascii="Times New Roman" w:hAnsi="Times New Roman" w:cs="Times New Roman"/>
          <w:sz w:val="24"/>
          <w:szCs w:val="24"/>
        </w:rPr>
        <w:t>-</w:t>
      </w:r>
      <w:r w:rsidRPr="00951F7B">
        <w:rPr>
          <w:rFonts w:ascii="Times New Roman" w:hAnsi="Times New Roman" w:cs="Times New Roman"/>
          <w:sz w:val="24"/>
          <w:szCs w:val="24"/>
        </w:rPr>
        <w:t xml:space="preserve">34). </w:t>
      </w:r>
      <w:r w:rsidR="0067536B">
        <w:rPr>
          <w:rFonts w:ascii="Times New Roman" w:hAnsi="Times New Roman" w:cs="Times New Roman"/>
          <w:sz w:val="24"/>
          <w:szCs w:val="24"/>
        </w:rPr>
        <w:t xml:space="preserve">Madrid, España: </w:t>
      </w:r>
      <w:r w:rsidRPr="00951F7B">
        <w:rPr>
          <w:rFonts w:ascii="Times New Roman" w:hAnsi="Times New Roman" w:cs="Times New Roman"/>
          <w:sz w:val="24"/>
          <w:szCs w:val="24"/>
        </w:rPr>
        <w:t>Alianza Editorial.</w:t>
      </w:r>
    </w:p>
    <w:p w14:paraId="3A66B038" w14:textId="2E80C3FF" w:rsidR="00930EFB" w:rsidRPr="00951F7B" w:rsidRDefault="002E24D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 xml:space="preserve">Mintzberg, H. (2012). </w:t>
      </w:r>
      <w:r w:rsidRPr="00951F7B">
        <w:rPr>
          <w:rFonts w:ascii="Times New Roman" w:hAnsi="Times New Roman" w:cs="Times New Roman"/>
          <w:i/>
          <w:sz w:val="24"/>
          <w:szCs w:val="24"/>
        </w:rPr>
        <w:t>La estructuración de las organizaciones</w:t>
      </w:r>
      <w:r w:rsidRPr="00951F7B">
        <w:rPr>
          <w:rFonts w:ascii="Times New Roman" w:hAnsi="Times New Roman" w:cs="Times New Roman"/>
          <w:sz w:val="24"/>
          <w:szCs w:val="24"/>
        </w:rPr>
        <w:t>.</w:t>
      </w:r>
      <w:r w:rsidR="00EF5D95" w:rsidRPr="00951F7B">
        <w:rPr>
          <w:rFonts w:ascii="Times New Roman" w:hAnsi="Times New Roman" w:cs="Times New Roman"/>
          <w:sz w:val="24"/>
          <w:szCs w:val="24"/>
        </w:rPr>
        <w:t xml:space="preserve"> </w:t>
      </w:r>
      <w:r w:rsidR="00D031B5">
        <w:rPr>
          <w:rFonts w:ascii="Times New Roman" w:hAnsi="Times New Roman" w:cs="Times New Roman"/>
          <w:sz w:val="24"/>
          <w:szCs w:val="24"/>
        </w:rPr>
        <w:t xml:space="preserve">Barcelona, España: </w:t>
      </w:r>
      <w:r w:rsidR="00EF5D95" w:rsidRPr="00951F7B">
        <w:rPr>
          <w:rFonts w:ascii="Times New Roman" w:hAnsi="Times New Roman" w:cs="Times New Roman"/>
          <w:sz w:val="24"/>
          <w:szCs w:val="24"/>
        </w:rPr>
        <w:t xml:space="preserve">Editorial </w:t>
      </w:r>
      <w:r w:rsidRPr="00951F7B">
        <w:rPr>
          <w:rFonts w:ascii="Times New Roman" w:hAnsi="Times New Roman" w:cs="Times New Roman"/>
          <w:sz w:val="24"/>
          <w:szCs w:val="24"/>
        </w:rPr>
        <w:t>Ariel.</w:t>
      </w:r>
    </w:p>
    <w:p w14:paraId="5EC7B3DF" w14:textId="55DF9531" w:rsidR="002E24DD" w:rsidRPr="00951F7B" w:rsidRDefault="002E24DD" w:rsidP="00951F7B">
      <w:pPr>
        <w:pStyle w:val="Bibliografa"/>
        <w:spacing w:line="360" w:lineRule="auto"/>
        <w:ind w:left="709" w:hanging="709"/>
        <w:jc w:val="both"/>
        <w:rPr>
          <w:rFonts w:ascii="Times New Roman" w:hAnsi="Times New Roman" w:cs="Times New Roman"/>
          <w:sz w:val="24"/>
          <w:szCs w:val="24"/>
        </w:rPr>
      </w:pPr>
      <w:proofErr w:type="spellStart"/>
      <w:r w:rsidRPr="00951F7B">
        <w:rPr>
          <w:rFonts w:ascii="Times New Roman" w:hAnsi="Times New Roman" w:cs="Times New Roman"/>
          <w:sz w:val="24"/>
          <w:szCs w:val="24"/>
        </w:rPr>
        <w:t>Ordorika</w:t>
      </w:r>
      <w:proofErr w:type="spellEnd"/>
      <w:r w:rsidRPr="00951F7B">
        <w:rPr>
          <w:rFonts w:ascii="Times New Roman" w:hAnsi="Times New Roman" w:cs="Times New Roman"/>
          <w:sz w:val="24"/>
          <w:szCs w:val="24"/>
        </w:rPr>
        <w:t xml:space="preserve">, I., Martínez, J. </w:t>
      </w:r>
      <w:r w:rsidR="007A49EE">
        <w:rPr>
          <w:rFonts w:ascii="Times New Roman" w:hAnsi="Times New Roman" w:cs="Times New Roman"/>
          <w:sz w:val="24"/>
          <w:szCs w:val="24"/>
        </w:rPr>
        <w:t>y</w:t>
      </w:r>
      <w:r w:rsidRPr="00951F7B">
        <w:rPr>
          <w:rFonts w:ascii="Times New Roman" w:hAnsi="Times New Roman" w:cs="Times New Roman"/>
          <w:sz w:val="24"/>
          <w:szCs w:val="24"/>
        </w:rPr>
        <w:t xml:space="preserve"> Ramírez, R. M. (2011). La transformación de las formas de gobierno en el sistema universitario público mexicano: Una asignatura pendiente. </w:t>
      </w:r>
      <w:r w:rsidRPr="00951F7B">
        <w:rPr>
          <w:rFonts w:ascii="Times New Roman" w:hAnsi="Times New Roman" w:cs="Times New Roman"/>
          <w:i/>
          <w:iCs/>
          <w:sz w:val="24"/>
          <w:szCs w:val="24"/>
        </w:rPr>
        <w:t>Revista de la Educación Superior</w:t>
      </w:r>
      <w:r w:rsidRPr="00951F7B">
        <w:rPr>
          <w:rFonts w:ascii="Times New Roman" w:hAnsi="Times New Roman" w:cs="Times New Roman"/>
          <w:sz w:val="24"/>
          <w:szCs w:val="24"/>
        </w:rPr>
        <w:t xml:space="preserve">, </w:t>
      </w:r>
      <w:r w:rsidRPr="00951F7B">
        <w:rPr>
          <w:rFonts w:ascii="Times New Roman" w:hAnsi="Times New Roman" w:cs="Times New Roman"/>
          <w:i/>
          <w:iCs/>
          <w:sz w:val="24"/>
          <w:szCs w:val="24"/>
        </w:rPr>
        <w:t>40</w:t>
      </w:r>
      <w:r w:rsidRPr="00951F7B">
        <w:rPr>
          <w:rFonts w:ascii="Times New Roman" w:hAnsi="Times New Roman" w:cs="Times New Roman"/>
          <w:sz w:val="24"/>
          <w:szCs w:val="24"/>
        </w:rPr>
        <w:t>(160), 51</w:t>
      </w:r>
      <w:r w:rsidR="007B12C5">
        <w:rPr>
          <w:rFonts w:ascii="Times New Roman" w:hAnsi="Times New Roman" w:cs="Times New Roman"/>
          <w:sz w:val="24"/>
          <w:szCs w:val="24"/>
        </w:rPr>
        <w:t>-</w:t>
      </w:r>
      <w:r w:rsidRPr="00951F7B">
        <w:rPr>
          <w:rFonts w:ascii="Times New Roman" w:hAnsi="Times New Roman" w:cs="Times New Roman"/>
          <w:sz w:val="24"/>
          <w:szCs w:val="24"/>
        </w:rPr>
        <w:t>68.</w:t>
      </w:r>
    </w:p>
    <w:p w14:paraId="38859377" w14:textId="77777777" w:rsidR="0031541C" w:rsidRPr="00951F7B" w:rsidRDefault="0031541C" w:rsidP="0031541C">
      <w:pPr>
        <w:pStyle w:val="Bibliografa"/>
        <w:spacing w:line="360" w:lineRule="auto"/>
        <w:ind w:left="709" w:hanging="709"/>
        <w:jc w:val="both"/>
        <w:rPr>
          <w:rFonts w:ascii="Times New Roman" w:hAnsi="Times New Roman" w:cs="Times New Roman"/>
          <w:sz w:val="24"/>
          <w:szCs w:val="24"/>
        </w:rPr>
      </w:pPr>
      <w:r w:rsidRPr="000E3377">
        <w:rPr>
          <w:rFonts w:ascii="Times New Roman" w:hAnsi="Times New Roman" w:cs="Times New Roman"/>
          <w:sz w:val="24"/>
          <w:szCs w:val="24"/>
        </w:rPr>
        <w:t>Organización de las Naciones Unidas para la Educación, la Ciencia y la Cultura</w:t>
      </w:r>
      <w:r>
        <w:rPr>
          <w:rFonts w:ascii="Times New Roman" w:hAnsi="Times New Roman" w:cs="Times New Roman"/>
          <w:sz w:val="24"/>
          <w:szCs w:val="24"/>
        </w:rPr>
        <w:t xml:space="preserve"> </w:t>
      </w:r>
      <w:r w:rsidRPr="00951F7B">
        <w:rPr>
          <w:rFonts w:ascii="Times New Roman" w:hAnsi="Times New Roman" w:cs="Times New Roman"/>
          <w:sz w:val="24"/>
          <w:szCs w:val="24"/>
        </w:rPr>
        <w:t xml:space="preserve">[Unesco]. (2016). </w:t>
      </w:r>
      <w:r w:rsidRPr="00951F7B">
        <w:rPr>
          <w:rFonts w:ascii="Times New Roman" w:hAnsi="Times New Roman" w:cs="Times New Roman"/>
          <w:i/>
          <w:iCs/>
          <w:sz w:val="24"/>
          <w:szCs w:val="24"/>
        </w:rPr>
        <w:t>Desglosar el objetivo de Desarrollo Sostenible 4 Educación 2030. Guía</w:t>
      </w:r>
      <w:r w:rsidRPr="00951F7B">
        <w:rPr>
          <w:rFonts w:ascii="Times New Roman" w:hAnsi="Times New Roman" w:cs="Times New Roman"/>
          <w:sz w:val="24"/>
          <w:szCs w:val="24"/>
        </w:rPr>
        <w:t xml:space="preserve">. </w:t>
      </w:r>
      <w:r w:rsidRPr="000E3377">
        <w:rPr>
          <w:rFonts w:ascii="Times New Roman" w:hAnsi="Times New Roman" w:cs="Times New Roman"/>
          <w:sz w:val="24"/>
          <w:szCs w:val="24"/>
        </w:rPr>
        <w:t>Organización de las Naciones Unidas para la Educación, la Ciencia y la Cultura</w:t>
      </w:r>
      <w:r>
        <w:rPr>
          <w:rFonts w:ascii="Times New Roman" w:hAnsi="Times New Roman" w:cs="Times New Roman"/>
          <w:sz w:val="24"/>
          <w:szCs w:val="24"/>
        </w:rPr>
        <w:t xml:space="preserve">. Recuperado de </w:t>
      </w:r>
      <w:proofErr w:type="gramStart"/>
      <w:r w:rsidRPr="00701714">
        <w:rPr>
          <w:rFonts w:ascii="Times New Roman" w:hAnsi="Times New Roman" w:cs="Times New Roman"/>
          <w:sz w:val="24"/>
          <w:szCs w:val="24"/>
        </w:rPr>
        <w:t>buenosaires.iiep.unesco.org/sites/default/files/archivos/ODS4_0.pdf</w:t>
      </w:r>
      <w:r w:rsidRPr="00701714" w:rsidDel="000E3377">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1416C97D" w14:textId="7D6B50EA" w:rsidR="00F507FC" w:rsidRPr="00951F7B" w:rsidRDefault="00F507FC" w:rsidP="00951F7B">
      <w:pPr>
        <w:spacing w:after="0" w:line="360" w:lineRule="auto"/>
        <w:ind w:left="709" w:hanging="709"/>
        <w:jc w:val="both"/>
        <w:rPr>
          <w:rFonts w:ascii="Times New Roman" w:hAnsi="Times New Roman" w:cs="Times New Roman"/>
          <w:sz w:val="24"/>
          <w:szCs w:val="24"/>
        </w:rPr>
      </w:pPr>
      <w:r w:rsidRPr="00951F7B">
        <w:rPr>
          <w:rFonts w:ascii="Times New Roman" w:eastAsia="Times New Roman" w:hAnsi="Times New Roman" w:cs="Times New Roman"/>
          <w:sz w:val="24"/>
          <w:szCs w:val="24"/>
          <w:lang w:eastAsia="es-MX"/>
        </w:rPr>
        <w:t xml:space="preserve">Piñero, M. (2014). Investigación retrospectiva para dar respuesta al origen de una enfermedad ocupacional músculo-esquelética. </w:t>
      </w:r>
      <w:r w:rsidRPr="00951F7B">
        <w:rPr>
          <w:rFonts w:ascii="Times New Roman" w:eastAsia="Times New Roman" w:hAnsi="Times New Roman" w:cs="Times New Roman"/>
          <w:i/>
          <w:iCs/>
          <w:sz w:val="24"/>
          <w:szCs w:val="24"/>
          <w:lang w:eastAsia="es-MX"/>
        </w:rPr>
        <w:t>Salud de los Trabajadores</w:t>
      </w:r>
      <w:r w:rsidRPr="00951F7B">
        <w:rPr>
          <w:rFonts w:ascii="Times New Roman" w:eastAsia="Times New Roman" w:hAnsi="Times New Roman" w:cs="Times New Roman"/>
          <w:sz w:val="24"/>
          <w:szCs w:val="24"/>
          <w:lang w:eastAsia="es-MX"/>
        </w:rPr>
        <w:t xml:space="preserve">, </w:t>
      </w:r>
      <w:r w:rsidRPr="00951F7B">
        <w:rPr>
          <w:rFonts w:ascii="Times New Roman" w:eastAsia="Times New Roman" w:hAnsi="Times New Roman" w:cs="Times New Roman"/>
          <w:i/>
          <w:iCs/>
          <w:sz w:val="24"/>
          <w:szCs w:val="24"/>
          <w:lang w:eastAsia="es-MX"/>
        </w:rPr>
        <w:t>22</w:t>
      </w:r>
      <w:r w:rsidRPr="00951F7B">
        <w:rPr>
          <w:rFonts w:ascii="Times New Roman" w:eastAsia="Times New Roman" w:hAnsi="Times New Roman" w:cs="Times New Roman"/>
          <w:sz w:val="24"/>
          <w:szCs w:val="24"/>
          <w:lang w:eastAsia="es-MX"/>
        </w:rPr>
        <w:t>(1), 65</w:t>
      </w:r>
      <w:r w:rsidR="007B12C5">
        <w:rPr>
          <w:rFonts w:ascii="Times New Roman" w:eastAsia="Times New Roman" w:hAnsi="Times New Roman" w:cs="Times New Roman"/>
          <w:sz w:val="24"/>
          <w:szCs w:val="24"/>
          <w:lang w:eastAsia="es-MX"/>
        </w:rPr>
        <w:t>-</w:t>
      </w:r>
      <w:r w:rsidRPr="00951F7B">
        <w:rPr>
          <w:rFonts w:ascii="Times New Roman" w:eastAsia="Times New Roman" w:hAnsi="Times New Roman" w:cs="Times New Roman"/>
          <w:sz w:val="24"/>
          <w:szCs w:val="24"/>
          <w:lang w:eastAsia="es-MX"/>
        </w:rPr>
        <w:t>70.</w:t>
      </w:r>
    </w:p>
    <w:p w14:paraId="1B363E40" w14:textId="7F24003A" w:rsidR="004B6A3D" w:rsidRPr="00951F7B" w:rsidRDefault="004B6A3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 xml:space="preserve">Rendón, R. R. (2019). Antecedentes y hechos en torno a la Ley de Universidades de 1958. </w:t>
      </w:r>
      <w:r w:rsidRPr="00145D7F">
        <w:rPr>
          <w:rFonts w:ascii="Times New Roman" w:hAnsi="Times New Roman" w:cs="Times New Roman"/>
          <w:i/>
          <w:iCs/>
          <w:sz w:val="24"/>
          <w:szCs w:val="24"/>
        </w:rPr>
        <w:t>Educere. Revista Venezolana de Educación</w:t>
      </w:r>
      <w:r w:rsidRPr="00951F7B">
        <w:rPr>
          <w:rFonts w:ascii="Times New Roman" w:hAnsi="Times New Roman" w:cs="Times New Roman"/>
          <w:sz w:val="24"/>
          <w:szCs w:val="24"/>
        </w:rPr>
        <w:t xml:space="preserve">, </w:t>
      </w:r>
      <w:r w:rsidRPr="00145D7F">
        <w:rPr>
          <w:rFonts w:ascii="Times New Roman" w:hAnsi="Times New Roman" w:cs="Times New Roman"/>
          <w:i/>
          <w:iCs/>
          <w:sz w:val="24"/>
          <w:szCs w:val="24"/>
        </w:rPr>
        <w:t>23</w:t>
      </w:r>
      <w:r w:rsidRPr="00951F7B">
        <w:rPr>
          <w:rFonts w:ascii="Times New Roman" w:hAnsi="Times New Roman" w:cs="Times New Roman"/>
          <w:sz w:val="24"/>
          <w:szCs w:val="24"/>
        </w:rPr>
        <w:t>(75), 367</w:t>
      </w:r>
      <w:r w:rsidR="007B12C5">
        <w:rPr>
          <w:rFonts w:ascii="Times New Roman" w:hAnsi="Times New Roman" w:cs="Times New Roman"/>
          <w:sz w:val="24"/>
          <w:szCs w:val="24"/>
        </w:rPr>
        <w:t>-</w:t>
      </w:r>
      <w:r w:rsidRPr="00951F7B">
        <w:rPr>
          <w:rFonts w:ascii="Times New Roman" w:hAnsi="Times New Roman" w:cs="Times New Roman"/>
          <w:sz w:val="24"/>
          <w:szCs w:val="24"/>
        </w:rPr>
        <w:t>377.</w:t>
      </w:r>
    </w:p>
    <w:p w14:paraId="240CB77D" w14:textId="51141BA7" w:rsidR="002E24DD" w:rsidRPr="00951F7B" w:rsidRDefault="002E24D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lastRenderedPageBreak/>
        <w:t>Universidad de Guadalajara</w:t>
      </w:r>
      <w:r w:rsidR="0031541C">
        <w:rPr>
          <w:rFonts w:ascii="Times New Roman" w:hAnsi="Times New Roman" w:cs="Times New Roman"/>
          <w:sz w:val="24"/>
          <w:szCs w:val="24"/>
        </w:rPr>
        <w:t xml:space="preserve"> [UdeG]</w:t>
      </w:r>
      <w:r w:rsidRPr="00951F7B">
        <w:rPr>
          <w:rFonts w:ascii="Times New Roman" w:hAnsi="Times New Roman" w:cs="Times New Roman"/>
          <w:sz w:val="24"/>
          <w:szCs w:val="24"/>
        </w:rPr>
        <w:t xml:space="preserve">. (2014). </w:t>
      </w:r>
      <w:r w:rsidRPr="00951F7B">
        <w:rPr>
          <w:rFonts w:ascii="Times New Roman" w:hAnsi="Times New Roman" w:cs="Times New Roman"/>
          <w:i/>
          <w:iCs/>
          <w:sz w:val="24"/>
          <w:szCs w:val="24"/>
        </w:rPr>
        <w:t>Plan de desarrollo institucional 2014-2030</w:t>
      </w:r>
      <w:r w:rsidRPr="00951F7B">
        <w:rPr>
          <w:rFonts w:ascii="Times New Roman" w:hAnsi="Times New Roman" w:cs="Times New Roman"/>
          <w:sz w:val="24"/>
          <w:szCs w:val="24"/>
        </w:rPr>
        <w:t xml:space="preserve">. </w:t>
      </w:r>
      <w:r w:rsidR="0031541C">
        <w:rPr>
          <w:rFonts w:ascii="Times New Roman" w:hAnsi="Times New Roman" w:cs="Times New Roman"/>
          <w:sz w:val="24"/>
          <w:szCs w:val="24"/>
        </w:rPr>
        <w:t xml:space="preserve">Guadalajara, México: </w:t>
      </w:r>
      <w:r w:rsidRPr="00951F7B">
        <w:rPr>
          <w:rFonts w:ascii="Times New Roman" w:hAnsi="Times New Roman" w:cs="Times New Roman"/>
          <w:sz w:val="24"/>
          <w:szCs w:val="24"/>
        </w:rPr>
        <w:t>Universidad de Guadalajara.</w:t>
      </w:r>
    </w:p>
    <w:p w14:paraId="16E7EDEF" w14:textId="2D928461" w:rsidR="002E24DD" w:rsidRPr="00951F7B" w:rsidRDefault="002E24D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Universidad de Guadalajara</w:t>
      </w:r>
      <w:r w:rsidR="0031541C">
        <w:rPr>
          <w:rFonts w:ascii="Times New Roman" w:hAnsi="Times New Roman" w:cs="Times New Roman"/>
          <w:sz w:val="24"/>
          <w:szCs w:val="24"/>
        </w:rPr>
        <w:t xml:space="preserve"> [UdeG]</w:t>
      </w:r>
      <w:r w:rsidRPr="00951F7B">
        <w:rPr>
          <w:rFonts w:ascii="Times New Roman" w:hAnsi="Times New Roman" w:cs="Times New Roman"/>
          <w:sz w:val="24"/>
          <w:szCs w:val="24"/>
        </w:rPr>
        <w:t xml:space="preserve">. (2017). </w:t>
      </w:r>
      <w:r w:rsidRPr="00951F7B">
        <w:rPr>
          <w:rFonts w:ascii="Times New Roman" w:hAnsi="Times New Roman" w:cs="Times New Roman"/>
          <w:i/>
          <w:iCs/>
          <w:sz w:val="24"/>
          <w:szCs w:val="24"/>
        </w:rPr>
        <w:t>Estadística institucional 2016-2017</w:t>
      </w:r>
      <w:r w:rsidRPr="00951F7B">
        <w:rPr>
          <w:rFonts w:ascii="Times New Roman" w:hAnsi="Times New Roman" w:cs="Times New Roman"/>
          <w:sz w:val="24"/>
          <w:szCs w:val="24"/>
        </w:rPr>
        <w:t xml:space="preserve">. </w:t>
      </w:r>
      <w:r w:rsidR="0031541C">
        <w:rPr>
          <w:rFonts w:ascii="Times New Roman" w:hAnsi="Times New Roman" w:cs="Times New Roman"/>
          <w:sz w:val="24"/>
          <w:szCs w:val="24"/>
        </w:rPr>
        <w:t xml:space="preserve">Guadalajara, México: </w:t>
      </w:r>
      <w:r w:rsidRPr="00951F7B">
        <w:rPr>
          <w:rFonts w:ascii="Times New Roman" w:hAnsi="Times New Roman" w:cs="Times New Roman"/>
          <w:sz w:val="24"/>
          <w:szCs w:val="24"/>
        </w:rPr>
        <w:t>Universidad de Guadalajara.</w:t>
      </w:r>
    </w:p>
    <w:p w14:paraId="5A9FB427" w14:textId="33346BE0" w:rsidR="002E24DD" w:rsidRPr="00951F7B" w:rsidRDefault="002E24D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rPr>
        <w:t>Universidad de Guadalajara</w:t>
      </w:r>
      <w:r w:rsidR="0031541C">
        <w:rPr>
          <w:rFonts w:ascii="Times New Roman" w:hAnsi="Times New Roman" w:cs="Times New Roman"/>
          <w:sz w:val="24"/>
          <w:szCs w:val="24"/>
        </w:rPr>
        <w:t xml:space="preserve"> [UdeG]</w:t>
      </w:r>
      <w:r w:rsidRPr="00951F7B">
        <w:rPr>
          <w:rFonts w:ascii="Times New Roman" w:hAnsi="Times New Roman" w:cs="Times New Roman"/>
          <w:sz w:val="24"/>
          <w:szCs w:val="24"/>
        </w:rPr>
        <w:t xml:space="preserve">. (2020). </w:t>
      </w:r>
      <w:r w:rsidRPr="00951F7B">
        <w:rPr>
          <w:rFonts w:ascii="Times New Roman" w:hAnsi="Times New Roman" w:cs="Times New Roman"/>
          <w:i/>
          <w:iCs/>
          <w:sz w:val="24"/>
          <w:szCs w:val="24"/>
        </w:rPr>
        <w:t>Anexo estadístico 2019</w:t>
      </w:r>
      <w:r w:rsidRPr="00951F7B">
        <w:rPr>
          <w:rFonts w:ascii="Times New Roman" w:hAnsi="Times New Roman" w:cs="Times New Roman"/>
          <w:sz w:val="24"/>
          <w:szCs w:val="24"/>
        </w:rPr>
        <w:t xml:space="preserve">. </w:t>
      </w:r>
      <w:r w:rsidR="0031541C">
        <w:rPr>
          <w:rFonts w:ascii="Times New Roman" w:hAnsi="Times New Roman" w:cs="Times New Roman"/>
          <w:sz w:val="24"/>
          <w:szCs w:val="24"/>
        </w:rPr>
        <w:t xml:space="preserve">Guadalajara, México: </w:t>
      </w:r>
      <w:r w:rsidRPr="00951F7B">
        <w:rPr>
          <w:rFonts w:ascii="Times New Roman" w:hAnsi="Times New Roman" w:cs="Times New Roman"/>
          <w:sz w:val="24"/>
          <w:szCs w:val="24"/>
        </w:rPr>
        <w:t>Universidad de Guadalajara.</w:t>
      </w:r>
    </w:p>
    <w:p w14:paraId="3BCF1D33" w14:textId="6696978A" w:rsidR="002E24DD" w:rsidRPr="00145D7F" w:rsidRDefault="002E24DD" w:rsidP="00951F7B">
      <w:pPr>
        <w:pStyle w:val="Bibliografa"/>
        <w:spacing w:line="360" w:lineRule="auto"/>
        <w:ind w:left="709" w:hanging="709"/>
        <w:jc w:val="both"/>
        <w:rPr>
          <w:rFonts w:ascii="Times New Roman" w:hAnsi="Times New Roman" w:cs="Times New Roman"/>
          <w:sz w:val="24"/>
          <w:szCs w:val="24"/>
        </w:rPr>
      </w:pPr>
      <w:proofErr w:type="spellStart"/>
      <w:r w:rsidRPr="00951F7B">
        <w:rPr>
          <w:rFonts w:ascii="Times New Roman" w:hAnsi="Times New Roman" w:cs="Times New Roman"/>
          <w:sz w:val="24"/>
          <w:szCs w:val="24"/>
        </w:rPr>
        <w:t>Vallaeys</w:t>
      </w:r>
      <w:proofErr w:type="spellEnd"/>
      <w:r w:rsidRPr="00951F7B">
        <w:rPr>
          <w:rFonts w:ascii="Times New Roman" w:hAnsi="Times New Roman" w:cs="Times New Roman"/>
          <w:sz w:val="24"/>
          <w:szCs w:val="24"/>
        </w:rPr>
        <w:t xml:space="preserve">, F., </w:t>
      </w:r>
      <w:r w:rsidR="005E1939">
        <w:rPr>
          <w:rFonts w:ascii="Times New Roman" w:hAnsi="Times New Roman" w:cs="Times New Roman"/>
          <w:sz w:val="24"/>
          <w:szCs w:val="24"/>
        </w:rPr>
        <w:t>d</w:t>
      </w:r>
      <w:r w:rsidR="005E1939" w:rsidRPr="00951F7B">
        <w:rPr>
          <w:rFonts w:ascii="Times New Roman" w:hAnsi="Times New Roman" w:cs="Times New Roman"/>
          <w:sz w:val="24"/>
          <w:szCs w:val="24"/>
        </w:rPr>
        <w:t xml:space="preserve">e </w:t>
      </w:r>
      <w:r w:rsidRPr="00951F7B">
        <w:rPr>
          <w:rFonts w:ascii="Times New Roman" w:hAnsi="Times New Roman" w:cs="Times New Roman"/>
          <w:sz w:val="24"/>
          <w:szCs w:val="24"/>
        </w:rPr>
        <w:t xml:space="preserve">la Cruz, C. </w:t>
      </w:r>
      <w:r w:rsidR="0001275C">
        <w:rPr>
          <w:rFonts w:ascii="Times New Roman" w:hAnsi="Times New Roman" w:cs="Times New Roman"/>
          <w:sz w:val="24"/>
          <w:szCs w:val="24"/>
        </w:rPr>
        <w:t>y</w:t>
      </w:r>
      <w:r w:rsidRPr="00951F7B">
        <w:rPr>
          <w:rFonts w:ascii="Times New Roman" w:hAnsi="Times New Roman" w:cs="Times New Roman"/>
          <w:sz w:val="24"/>
          <w:szCs w:val="24"/>
        </w:rPr>
        <w:t xml:space="preserve"> </w:t>
      </w:r>
      <w:proofErr w:type="spellStart"/>
      <w:r w:rsidRPr="00951F7B">
        <w:rPr>
          <w:rFonts w:ascii="Times New Roman" w:hAnsi="Times New Roman" w:cs="Times New Roman"/>
          <w:sz w:val="24"/>
          <w:szCs w:val="24"/>
        </w:rPr>
        <w:t>Sasia</w:t>
      </w:r>
      <w:proofErr w:type="spellEnd"/>
      <w:r w:rsidRPr="00951F7B">
        <w:rPr>
          <w:rFonts w:ascii="Times New Roman" w:hAnsi="Times New Roman" w:cs="Times New Roman"/>
          <w:sz w:val="24"/>
          <w:szCs w:val="24"/>
        </w:rPr>
        <w:t>, P.</w:t>
      </w:r>
      <w:r w:rsidR="005E1939">
        <w:rPr>
          <w:rFonts w:ascii="Times New Roman" w:hAnsi="Times New Roman" w:cs="Times New Roman"/>
          <w:sz w:val="24"/>
          <w:szCs w:val="24"/>
        </w:rPr>
        <w:t xml:space="preserve"> M.</w:t>
      </w:r>
      <w:r w:rsidRPr="00951F7B">
        <w:rPr>
          <w:rFonts w:ascii="Times New Roman" w:hAnsi="Times New Roman" w:cs="Times New Roman"/>
          <w:sz w:val="24"/>
          <w:szCs w:val="24"/>
        </w:rPr>
        <w:t xml:space="preserve"> (2009). </w:t>
      </w:r>
      <w:r w:rsidRPr="00951F7B">
        <w:rPr>
          <w:rFonts w:ascii="Times New Roman" w:hAnsi="Times New Roman" w:cs="Times New Roman"/>
          <w:i/>
          <w:iCs/>
          <w:sz w:val="24"/>
          <w:szCs w:val="24"/>
        </w:rPr>
        <w:t xml:space="preserve">Responsabilidad </w:t>
      </w:r>
      <w:r w:rsidR="0001275C" w:rsidRPr="00951F7B">
        <w:rPr>
          <w:rFonts w:ascii="Times New Roman" w:hAnsi="Times New Roman" w:cs="Times New Roman"/>
          <w:i/>
          <w:iCs/>
          <w:sz w:val="24"/>
          <w:szCs w:val="24"/>
        </w:rPr>
        <w:t>social universitaria</w:t>
      </w:r>
      <w:r w:rsidRPr="00951F7B">
        <w:rPr>
          <w:rFonts w:ascii="Times New Roman" w:hAnsi="Times New Roman" w:cs="Times New Roman"/>
          <w:i/>
          <w:iCs/>
          <w:sz w:val="24"/>
          <w:szCs w:val="24"/>
        </w:rPr>
        <w:t>. Manual de primeros pasos</w:t>
      </w:r>
      <w:r w:rsidRPr="00951F7B">
        <w:rPr>
          <w:rFonts w:ascii="Times New Roman" w:hAnsi="Times New Roman" w:cs="Times New Roman"/>
          <w:sz w:val="24"/>
          <w:szCs w:val="24"/>
        </w:rPr>
        <w:t xml:space="preserve">. </w:t>
      </w:r>
      <w:r w:rsidR="006A28F6">
        <w:rPr>
          <w:rFonts w:ascii="Times New Roman" w:hAnsi="Times New Roman" w:cs="Times New Roman"/>
          <w:sz w:val="24"/>
          <w:szCs w:val="24"/>
        </w:rPr>
        <w:t xml:space="preserve">Ciudad de México, México: </w:t>
      </w:r>
      <w:r w:rsidRPr="00145D7F">
        <w:rPr>
          <w:rFonts w:ascii="Times New Roman" w:hAnsi="Times New Roman" w:cs="Times New Roman"/>
          <w:sz w:val="24"/>
          <w:szCs w:val="24"/>
        </w:rPr>
        <w:t>McGraw-Hill-B</w:t>
      </w:r>
      <w:r w:rsidR="006A28F6" w:rsidRPr="00145D7F">
        <w:rPr>
          <w:rFonts w:ascii="Times New Roman" w:hAnsi="Times New Roman" w:cs="Times New Roman"/>
          <w:sz w:val="24"/>
          <w:szCs w:val="24"/>
        </w:rPr>
        <w:t xml:space="preserve">anco </w:t>
      </w:r>
      <w:r w:rsidRPr="00145D7F">
        <w:rPr>
          <w:rFonts w:ascii="Times New Roman" w:hAnsi="Times New Roman" w:cs="Times New Roman"/>
          <w:sz w:val="24"/>
          <w:szCs w:val="24"/>
        </w:rPr>
        <w:t>I</w:t>
      </w:r>
      <w:r w:rsidR="006A28F6" w:rsidRPr="00145D7F">
        <w:rPr>
          <w:rFonts w:ascii="Times New Roman" w:hAnsi="Times New Roman" w:cs="Times New Roman"/>
          <w:sz w:val="24"/>
          <w:szCs w:val="24"/>
        </w:rPr>
        <w:t xml:space="preserve">nteramericano de </w:t>
      </w:r>
      <w:r w:rsidRPr="00145D7F">
        <w:rPr>
          <w:rFonts w:ascii="Times New Roman" w:hAnsi="Times New Roman" w:cs="Times New Roman"/>
          <w:sz w:val="24"/>
          <w:szCs w:val="24"/>
        </w:rPr>
        <w:t>D</w:t>
      </w:r>
      <w:r w:rsidR="006A28F6">
        <w:rPr>
          <w:rFonts w:ascii="Times New Roman" w:hAnsi="Times New Roman" w:cs="Times New Roman"/>
          <w:sz w:val="24"/>
          <w:szCs w:val="24"/>
        </w:rPr>
        <w:t>esarrollo</w:t>
      </w:r>
      <w:r w:rsidRPr="00145D7F">
        <w:rPr>
          <w:rFonts w:ascii="Times New Roman" w:hAnsi="Times New Roman" w:cs="Times New Roman"/>
          <w:sz w:val="24"/>
          <w:szCs w:val="24"/>
        </w:rPr>
        <w:t>.</w:t>
      </w:r>
    </w:p>
    <w:p w14:paraId="13A00FFC" w14:textId="295CE82A" w:rsidR="002E24DD" w:rsidRPr="00145D7F" w:rsidRDefault="002E24DD" w:rsidP="00951F7B">
      <w:pPr>
        <w:pStyle w:val="Bibliografa"/>
        <w:spacing w:line="360" w:lineRule="auto"/>
        <w:ind w:left="709" w:hanging="709"/>
        <w:jc w:val="both"/>
        <w:rPr>
          <w:rFonts w:ascii="Times New Roman" w:hAnsi="Times New Roman" w:cs="Times New Roman"/>
          <w:sz w:val="24"/>
          <w:szCs w:val="24"/>
        </w:rPr>
      </w:pPr>
      <w:r w:rsidRPr="00951F7B">
        <w:rPr>
          <w:rFonts w:ascii="Times New Roman" w:hAnsi="Times New Roman" w:cs="Times New Roman"/>
          <w:sz w:val="24"/>
          <w:szCs w:val="24"/>
          <w:lang w:val="en-US"/>
        </w:rPr>
        <w:t xml:space="preserve">Wright, T. S. A. (2002). Definitions and Frameworks for Environmental Sustainability in Higher Education. </w:t>
      </w:r>
      <w:proofErr w:type="spellStart"/>
      <w:r w:rsidR="00495B97" w:rsidRPr="00145D7F">
        <w:rPr>
          <w:rFonts w:ascii="Times New Roman" w:hAnsi="Times New Roman" w:cs="Times New Roman"/>
          <w:i/>
          <w:iCs/>
          <w:sz w:val="24"/>
          <w:szCs w:val="24"/>
        </w:rPr>
        <w:t>Higher</w:t>
      </w:r>
      <w:proofErr w:type="spellEnd"/>
      <w:r w:rsidR="00495B97" w:rsidRPr="00145D7F">
        <w:rPr>
          <w:rFonts w:ascii="Times New Roman" w:hAnsi="Times New Roman" w:cs="Times New Roman"/>
          <w:i/>
          <w:iCs/>
          <w:sz w:val="24"/>
          <w:szCs w:val="24"/>
        </w:rPr>
        <w:t xml:space="preserve"> </w:t>
      </w:r>
      <w:proofErr w:type="spellStart"/>
      <w:r w:rsidR="00495B97" w:rsidRPr="00145D7F">
        <w:rPr>
          <w:rFonts w:ascii="Times New Roman" w:hAnsi="Times New Roman" w:cs="Times New Roman"/>
          <w:i/>
          <w:iCs/>
          <w:sz w:val="24"/>
          <w:szCs w:val="24"/>
        </w:rPr>
        <w:t>Education</w:t>
      </w:r>
      <w:proofErr w:type="spellEnd"/>
      <w:r w:rsidR="00495B97" w:rsidRPr="00145D7F">
        <w:rPr>
          <w:rFonts w:ascii="Times New Roman" w:hAnsi="Times New Roman" w:cs="Times New Roman"/>
          <w:i/>
          <w:iCs/>
          <w:sz w:val="24"/>
          <w:szCs w:val="24"/>
        </w:rPr>
        <w:t xml:space="preserve"> </w:t>
      </w:r>
      <w:proofErr w:type="spellStart"/>
      <w:r w:rsidR="00495B97" w:rsidRPr="00145D7F">
        <w:rPr>
          <w:rFonts w:ascii="Times New Roman" w:hAnsi="Times New Roman" w:cs="Times New Roman"/>
          <w:i/>
          <w:iCs/>
          <w:sz w:val="24"/>
          <w:szCs w:val="24"/>
        </w:rPr>
        <w:t>Policy</w:t>
      </w:r>
      <w:proofErr w:type="spellEnd"/>
      <w:r w:rsidRPr="00145D7F">
        <w:rPr>
          <w:rFonts w:ascii="Times New Roman" w:hAnsi="Times New Roman" w:cs="Times New Roman"/>
          <w:sz w:val="24"/>
          <w:szCs w:val="24"/>
        </w:rPr>
        <w:t xml:space="preserve">, </w:t>
      </w:r>
      <w:r w:rsidR="00F86BFC" w:rsidRPr="00145D7F">
        <w:rPr>
          <w:rFonts w:ascii="Times New Roman" w:hAnsi="Times New Roman" w:cs="Times New Roman"/>
          <w:i/>
          <w:iCs/>
          <w:sz w:val="24"/>
          <w:szCs w:val="24"/>
        </w:rPr>
        <w:t>15</w:t>
      </w:r>
      <w:r w:rsidRPr="00145D7F">
        <w:rPr>
          <w:rFonts w:ascii="Times New Roman" w:hAnsi="Times New Roman" w:cs="Times New Roman"/>
          <w:sz w:val="24"/>
          <w:szCs w:val="24"/>
        </w:rPr>
        <w:t>(</w:t>
      </w:r>
      <w:r w:rsidR="00F86BFC" w:rsidRPr="00145D7F">
        <w:rPr>
          <w:rFonts w:ascii="Times New Roman" w:hAnsi="Times New Roman" w:cs="Times New Roman"/>
          <w:sz w:val="24"/>
          <w:szCs w:val="24"/>
        </w:rPr>
        <w:t>2</w:t>
      </w:r>
      <w:r w:rsidRPr="00145D7F">
        <w:rPr>
          <w:rFonts w:ascii="Times New Roman" w:hAnsi="Times New Roman" w:cs="Times New Roman"/>
          <w:sz w:val="24"/>
          <w:szCs w:val="24"/>
        </w:rPr>
        <w:t xml:space="preserve">), </w:t>
      </w:r>
      <w:r w:rsidR="00F86BFC" w:rsidRPr="00145D7F">
        <w:rPr>
          <w:rFonts w:ascii="Times New Roman" w:hAnsi="Times New Roman" w:cs="Times New Roman"/>
          <w:sz w:val="24"/>
          <w:szCs w:val="24"/>
        </w:rPr>
        <w:t>105</w:t>
      </w:r>
      <w:r w:rsidR="007B12C5" w:rsidRPr="00145D7F">
        <w:rPr>
          <w:rFonts w:ascii="Times New Roman" w:hAnsi="Times New Roman" w:cs="Times New Roman"/>
          <w:sz w:val="24"/>
          <w:szCs w:val="24"/>
        </w:rPr>
        <w:t>-</w:t>
      </w:r>
      <w:r w:rsidR="00F86BFC" w:rsidRPr="00145D7F">
        <w:rPr>
          <w:rFonts w:ascii="Times New Roman" w:hAnsi="Times New Roman" w:cs="Times New Roman"/>
          <w:sz w:val="24"/>
          <w:szCs w:val="24"/>
        </w:rPr>
        <w:t>120</w:t>
      </w:r>
      <w:r w:rsidRPr="00145D7F">
        <w:rPr>
          <w:rFonts w:ascii="Times New Roman" w:hAnsi="Times New Roman" w:cs="Times New Roman"/>
          <w:sz w:val="24"/>
          <w:szCs w:val="24"/>
        </w:rPr>
        <w:t>.</w:t>
      </w:r>
    </w:p>
    <w:p w14:paraId="7E9203F2" w14:textId="6C43678D" w:rsidR="002E24DD" w:rsidRPr="00951F7B" w:rsidRDefault="002E24DD" w:rsidP="00951F7B">
      <w:pPr>
        <w:pStyle w:val="Bibliografa"/>
        <w:spacing w:line="360" w:lineRule="auto"/>
        <w:ind w:left="709" w:hanging="709"/>
        <w:jc w:val="both"/>
        <w:rPr>
          <w:rFonts w:ascii="Times New Roman" w:hAnsi="Times New Roman" w:cs="Times New Roman"/>
          <w:sz w:val="24"/>
          <w:szCs w:val="24"/>
        </w:rPr>
      </w:pPr>
      <w:r w:rsidRPr="00145D7F">
        <w:rPr>
          <w:rFonts w:ascii="Times New Roman" w:hAnsi="Times New Roman" w:cs="Times New Roman"/>
          <w:sz w:val="24"/>
          <w:szCs w:val="24"/>
        </w:rPr>
        <w:t xml:space="preserve">Zúñiga, O. (2021). </w:t>
      </w:r>
      <w:r w:rsidRPr="00951F7B">
        <w:rPr>
          <w:rFonts w:ascii="Times New Roman" w:hAnsi="Times New Roman" w:cs="Times New Roman"/>
          <w:sz w:val="24"/>
          <w:szCs w:val="24"/>
        </w:rPr>
        <w:t xml:space="preserve">El reto de las universidades públicas de México para incorporar una educación pertinente acorde con la sustentabilidad. </w:t>
      </w:r>
      <w:r w:rsidRPr="00951F7B">
        <w:rPr>
          <w:rFonts w:ascii="Times New Roman" w:hAnsi="Times New Roman" w:cs="Times New Roman"/>
          <w:i/>
          <w:iCs/>
          <w:sz w:val="24"/>
          <w:szCs w:val="24"/>
        </w:rPr>
        <w:t>RIDE Revista Iberoamericana para la Investigación y el Desarrollo Educativo</w:t>
      </w:r>
      <w:r w:rsidRPr="00951F7B">
        <w:rPr>
          <w:rFonts w:ascii="Times New Roman" w:hAnsi="Times New Roman" w:cs="Times New Roman"/>
          <w:sz w:val="24"/>
          <w:szCs w:val="24"/>
        </w:rPr>
        <w:t xml:space="preserve">, </w:t>
      </w:r>
      <w:r w:rsidRPr="00951F7B">
        <w:rPr>
          <w:rFonts w:ascii="Times New Roman" w:hAnsi="Times New Roman" w:cs="Times New Roman"/>
          <w:i/>
          <w:iCs/>
          <w:sz w:val="24"/>
          <w:szCs w:val="24"/>
        </w:rPr>
        <w:t>11</w:t>
      </w:r>
      <w:r w:rsidRPr="00951F7B">
        <w:rPr>
          <w:rFonts w:ascii="Times New Roman" w:hAnsi="Times New Roman" w:cs="Times New Roman"/>
          <w:sz w:val="24"/>
          <w:szCs w:val="24"/>
        </w:rPr>
        <w:t xml:space="preserve">(22). </w:t>
      </w:r>
      <w:r w:rsidR="00090CE2">
        <w:rPr>
          <w:rFonts w:ascii="Times New Roman" w:hAnsi="Times New Roman" w:cs="Times New Roman"/>
          <w:sz w:val="24"/>
          <w:szCs w:val="24"/>
        </w:rPr>
        <w:t xml:space="preserve">Recuperado de </w:t>
      </w:r>
      <w:r w:rsidRPr="00951F7B">
        <w:rPr>
          <w:rFonts w:ascii="Times New Roman" w:hAnsi="Times New Roman" w:cs="Times New Roman"/>
          <w:sz w:val="24"/>
          <w:szCs w:val="24"/>
        </w:rPr>
        <w:t>https://doi.org/10.23913/ride.v11i22.952</w:t>
      </w:r>
      <w:r w:rsidR="00090CE2">
        <w:rPr>
          <w:rFonts w:ascii="Times New Roman" w:hAnsi="Times New Roman" w:cs="Times New Roman"/>
          <w:sz w:val="24"/>
          <w:szCs w:val="24"/>
        </w:rPr>
        <w:t>.</w:t>
      </w:r>
    </w:p>
    <w:p w14:paraId="42AE4D1B" w14:textId="77777777" w:rsidR="00D949D5" w:rsidRPr="007D554D" w:rsidRDefault="00D949D5" w:rsidP="00951F7B">
      <w:pPr>
        <w:spacing w:after="0" w:line="360" w:lineRule="auto"/>
        <w:jc w:val="both"/>
        <w:rPr>
          <w:rFonts w:ascii="Times New Roman" w:hAnsi="Times New Roman" w:cs="Times New Roman"/>
          <w:sz w:val="24"/>
          <w:szCs w:val="24"/>
        </w:rPr>
      </w:pPr>
    </w:p>
    <w:sectPr w:rsidR="00D949D5" w:rsidRPr="007D554D" w:rsidSect="00274328">
      <w:headerReference w:type="default" r:id="rId10"/>
      <w:footerReference w:type="default" r:id="rId11"/>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2F5F" w14:textId="77777777" w:rsidR="00FC445E" w:rsidRDefault="00FC445E" w:rsidP="00872DD9">
      <w:pPr>
        <w:spacing w:after="0" w:line="240" w:lineRule="auto"/>
      </w:pPr>
      <w:r>
        <w:separator/>
      </w:r>
    </w:p>
  </w:endnote>
  <w:endnote w:type="continuationSeparator" w:id="0">
    <w:p w14:paraId="7DF64D6B" w14:textId="77777777" w:rsidR="00FC445E" w:rsidRDefault="00FC445E" w:rsidP="0087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3470" w14:textId="06BB0E9D" w:rsidR="00145D7F" w:rsidRDefault="00145D7F">
    <w:pPr>
      <w:pStyle w:val="Piedepgina"/>
    </w:pPr>
    <w:r>
      <w:t xml:space="preserve">              </w:t>
    </w:r>
    <w:r w:rsidRPr="002A3D98">
      <w:rPr>
        <w:noProof/>
        <w:lang w:eastAsia="es-MX"/>
      </w:rPr>
      <w:drawing>
        <wp:inline distT="0" distB="0" distL="0" distR="0" wp14:anchorId="257423F2" wp14:editId="7393C218">
          <wp:extent cx="1600200" cy="419100"/>
          <wp:effectExtent l="0" t="0" r="0" b="0"/>
          <wp:docPr id="33"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A1CC0">
      <w:rPr>
        <w:rFonts w:cstheme="minorHAnsi"/>
        <w:b/>
        <w:szCs w:val="16"/>
      </w:rPr>
      <w:t xml:space="preserve">Vol. 12, Núm. 24 </w:t>
    </w:r>
    <w:proofErr w:type="gramStart"/>
    <w:r w:rsidRPr="004A1CC0">
      <w:rPr>
        <w:rFonts w:cstheme="minorHAnsi"/>
        <w:b/>
        <w:szCs w:val="16"/>
      </w:rPr>
      <w:t>Enero</w:t>
    </w:r>
    <w:proofErr w:type="gramEnd"/>
    <w:r w:rsidRPr="004A1CC0">
      <w:rPr>
        <w:rFonts w:cstheme="minorHAnsi"/>
        <w:b/>
        <w:szCs w:val="16"/>
      </w:rPr>
      <w:t xml:space="preserve"> - Junio 202</w:t>
    </w:r>
    <w:r>
      <w:rPr>
        <w:rFonts w:cstheme="minorHAnsi"/>
        <w:b/>
        <w:szCs w:val="16"/>
      </w:rPr>
      <w:t>2</w:t>
    </w:r>
    <w:r w:rsidRPr="004A1CC0">
      <w:rPr>
        <w:rFonts w:cstheme="minorHAnsi"/>
        <w:b/>
        <w:szCs w:val="16"/>
      </w:rPr>
      <w:t>, e</w:t>
    </w:r>
    <w:r w:rsidR="00125B15">
      <w:rPr>
        <w:rFonts w:cstheme="minorHAnsi"/>
        <w:b/>
        <w:szCs w:val="16"/>
      </w:rPr>
      <w:t>334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EC75" w14:textId="77777777" w:rsidR="00FC445E" w:rsidRDefault="00FC445E" w:rsidP="00872DD9">
      <w:pPr>
        <w:spacing w:after="0" w:line="240" w:lineRule="auto"/>
      </w:pPr>
      <w:r>
        <w:separator/>
      </w:r>
    </w:p>
  </w:footnote>
  <w:footnote w:type="continuationSeparator" w:id="0">
    <w:p w14:paraId="5FC9FE66" w14:textId="77777777" w:rsidR="00FC445E" w:rsidRDefault="00FC445E" w:rsidP="00872DD9">
      <w:pPr>
        <w:spacing w:after="0" w:line="240" w:lineRule="auto"/>
      </w:pPr>
      <w:r>
        <w:continuationSeparator/>
      </w:r>
    </w:p>
  </w:footnote>
  <w:footnote w:id="1">
    <w:p w14:paraId="636D230D" w14:textId="4109A9B3" w:rsidR="00E01C76" w:rsidRPr="00145D7F" w:rsidRDefault="00E01C76" w:rsidP="001536A1">
      <w:pPr>
        <w:pStyle w:val="Textonotapie"/>
        <w:rPr>
          <w:rFonts w:ascii="Times New Roman" w:hAnsi="Times New Roman" w:cs="Times New Roman"/>
        </w:rPr>
      </w:pPr>
      <w:r w:rsidRPr="00145D7F">
        <w:rPr>
          <w:rStyle w:val="Refdenotaalpie"/>
          <w:rFonts w:ascii="Times New Roman" w:hAnsi="Times New Roman" w:cs="Times New Roman"/>
        </w:rPr>
        <w:footnoteRef/>
      </w:r>
      <w:r w:rsidRPr="00145D7F">
        <w:rPr>
          <w:rFonts w:ascii="Times New Roman" w:hAnsi="Times New Roman" w:cs="Times New Roman"/>
        </w:rPr>
        <w:t xml:space="preserve"> Este dato contempla el número de dictámenes aprobados en conjunto entre las comisiones, educación, hacienda y normatividad</w:t>
      </w:r>
      <w:r w:rsidR="007F039B">
        <w:rPr>
          <w:rFonts w:ascii="Times New Roman" w:hAnsi="Times New Roman" w:cs="Times New Roman"/>
        </w:rPr>
        <w:t>.</w:t>
      </w:r>
    </w:p>
  </w:footnote>
  <w:footnote w:id="2">
    <w:p w14:paraId="6CE69F6F" w14:textId="278B2B87" w:rsidR="00E01C76" w:rsidRPr="00145D7F" w:rsidRDefault="00E01C76" w:rsidP="009E4F65">
      <w:pPr>
        <w:pStyle w:val="Textonotapie"/>
        <w:rPr>
          <w:rFonts w:ascii="Times New Roman" w:hAnsi="Times New Roman" w:cs="Times New Roman"/>
        </w:rPr>
      </w:pPr>
      <w:r w:rsidRPr="00145D7F">
        <w:rPr>
          <w:rStyle w:val="Refdenotaalpie"/>
          <w:rFonts w:ascii="Times New Roman" w:hAnsi="Times New Roman" w:cs="Times New Roman"/>
        </w:rPr>
        <w:footnoteRef/>
      </w:r>
      <w:r w:rsidRPr="00145D7F">
        <w:rPr>
          <w:rFonts w:ascii="Times New Roman" w:hAnsi="Times New Roman" w:cs="Times New Roman"/>
        </w:rPr>
        <w:t xml:space="preserve"> </w:t>
      </w:r>
      <w:r w:rsidR="002E2520">
        <w:rPr>
          <w:rFonts w:ascii="Times New Roman" w:hAnsi="Times New Roman" w:cs="Times New Roman"/>
        </w:rPr>
        <w:t>Tomados del</w:t>
      </w:r>
      <w:r w:rsidRPr="00145D7F">
        <w:rPr>
          <w:rFonts w:ascii="Times New Roman" w:hAnsi="Times New Roman" w:cs="Times New Roman"/>
        </w:rPr>
        <w:t xml:space="preserve"> Sistema Institucional de Indicadores </w:t>
      </w:r>
      <w:r w:rsidR="002E2520">
        <w:rPr>
          <w:rFonts w:ascii="Times New Roman" w:hAnsi="Times New Roman" w:cs="Times New Roman"/>
        </w:rPr>
        <w:t>(</w:t>
      </w:r>
      <w:r w:rsidRPr="00145D7F">
        <w:rPr>
          <w:rFonts w:ascii="Times New Roman" w:hAnsi="Times New Roman" w:cs="Times New Roman"/>
        </w:rPr>
        <w:t>www.copladi.udg.mx</w:t>
      </w:r>
      <w:r w:rsidR="002E2520">
        <w:rPr>
          <w:rFonts w:ascii="Times New Roman" w:hAnsi="Times New Roman" w:cs="Times New Roman"/>
        </w:rPr>
        <w:t>)</w:t>
      </w:r>
      <w:r w:rsidRPr="00145D7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62A3" w14:textId="0EA439A0" w:rsidR="00145D7F" w:rsidRDefault="00145D7F" w:rsidP="00145D7F">
    <w:pPr>
      <w:pStyle w:val="Encabezado"/>
      <w:jc w:val="center"/>
    </w:pPr>
    <w:r w:rsidRPr="002A3D98">
      <w:rPr>
        <w:noProof/>
        <w:lang w:eastAsia="es-MX"/>
      </w:rPr>
      <w:drawing>
        <wp:inline distT="0" distB="0" distL="0" distR="0" wp14:anchorId="4D437961" wp14:editId="3094584E">
          <wp:extent cx="5397500" cy="635000"/>
          <wp:effectExtent l="0" t="0" r="0" b="0"/>
          <wp:docPr id="32"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D2400"/>
    <w:multiLevelType w:val="hybridMultilevel"/>
    <w:tmpl w:val="B652F59C"/>
    <w:lvl w:ilvl="0" w:tplc="FD72AF46">
      <w:start w:val="1"/>
      <w:numFmt w:val="bullet"/>
      <w:lvlText w:val="•"/>
      <w:lvlJc w:val="left"/>
      <w:pPr>
        <w:tabs>
          <w:tab w:val="num" w:pos="720"/>
        </w:tabs>
        <w:ind w:left="720" w:hanging="360"/>
      </w:pPr>
      <w:rPr>
        <w:rFonts w:ascii="Arial" w:hAnsi="Arial" w:hint="default"/>
      </w:rPr>
    </w:lvl>
    <w:lvl w:ilvl="1" w:tplc="9CB20A4E" w:tentative="1">
      <w:start w:val="1"/>
      <w:numFmt w:val="bullet"/>
      <w:lvlText w:val="•"/>
      <w:lvlJc w:val="left"/>
      <w:pPr>
        <w:tabs>
          <w:tab w:val="num" w:pos="1440"/>
        </w:tabs>
        <w:ind w:left="1440" w:hanging="360"/>
      </w:pPr>
      <w:rPr>
        <w:rFonts w:ascii="Arial" w:hAnsi="Arial" w:hint="default"/>
      </w:rPr>
    </w:lvl>
    <w:lvl w:ilvl="2" w:tplc="C8367378" w:tentative="1">
      <w:start w:val="1"/>
      <w:numFmt w:val="bullet"/>
      <w:lvlText w:val="•"/>
      <w:lvlJc w:val="left"/>
      <w:pPr>
        <w:tabs>
          <w:tab w:val="num" w:pos="2160"/>
        </w:tabs>
        <w:ind w:left="2160" w:hanging="360"/>
      </w:pPr>
      <w:rPr>
        <w:rFonts w:ascii="Arial" w:hAnsi="Arial" w:hint="default"/>
      </w:rPr>
    </w:lvl>
    <w:lvl w:ilvl="3" w:tplc="576092E6" w:tentative="1">
      <w:start w:val="1"/>
      <w:numFmt w:val="bullet"/>
      <w:lvlText w:val="•"/>
      <w:lvlJc w:val="left"/>
      <w:pPr>
        <w:tabs>
          <w:tab w:val="num" w:pos="2880"/>
        </w:tabs>
        <w:ind w:left="2880" w:hanging="360"/>
      </w:pPr>
      <w:rPr>
        <w:rFonts w:ascii="Arial" w:hAnsi="Arial" w:hint="default"/>
      </w:rPr>
    </w:lvl>
    <w:lvl w:ilvl="4" w:tplc="E8C4669E" w:tentative="1">
      <w:start w:val="1"/>
      <w:numFmt w:val="bullet"/>
      <w:lvlText w:val="•"/>
      <w:lvlJc w:val="left"/>
      <w:pPr>
        <w:tabs>
          <w:tab w:val="num" w:pos="3600"/>
        </w:tabs>
        <w:ind w:left="3600" w:hanging="360"/>
      </w:pPr>
      <w:rPr>
        <w:rFonts w:ascii="Arial" w:hAnsi="Arial" w:hint="default"/>
      </w:rPr>
    </w:lvl>
    <w:lvl w:ilvl="5" w:tplc="4B0EAB4E" w:tentative="1">
      <w:start w:val="1"/>
      <w:numFmt w:val="bullet"/>
      <w:lvlText w:val="•"/>
      <w:lvlJc w:val="left"/>
      <w:pPr>
        <w:tabs>
          <w:tab w:val="num" w:pos="4320"/>
        </w:tabs>
        <w:ind w:left="4320" w:hanging="360"/>
      </w:pPr>
      <w:rPr>
        <w:rFonts w:ascii="Arial" w:hAnsi="Arial" w:hint="default"/>
      </w:rPr>
    </w:lvl>
    <w:lvl w:ilvl="6" w:tplc="4872BC14" w:tentative="1">
      <w:start w:val="1"/>
      <w:numFmt w:val="bullet"/>
      <w:lvlText w:val="•"/>
      <w:lvlJc w:val="left"/>
      <w:pPr>
        <w:tabs>
          <w:tab w:val="num" w:pos="5040"/>
        </w:tabs>
        <w:ind w:left="5040" w:hanging="360"/>
      </w:pPr>
      <w:rPr>
        <w:rFonts w:ascii="Arial" w:hAnsi="Arial" w:hint="default"/>
      </w:rPr>
    </w:lvl>
    <w:lvl w:ilvl="7" w:tplc="C400D8E6" w:tentative="1">
      <w:start w:val="1"/>
      <w:numFmt w:val="bullet"/>
      <w:lvlText w:val="•"/>
      <w:lvlJc w:val="left"/>
      <w:pPr>
        <w:tabs>
          <w:tab w:val="num" w:pos="5760"/>
        </w:tabs>
        <w:ind w:left="5760" w:hanging="360"/>
      </w:pPr>
      <w:rPr>
        <w:rFonts w:ascii="Arial" w:hAnsi="Arial" w:hint="default"/>
      </w:rPr>
    </w:lvl>
    <w:lvl w:ilvl="8" w:tplc="A0E279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2F3BD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054CF3"/>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D02"/>
    <w:rsid w:val="00002BF6"/>
    <w:rsid w:val="0000373C"/>
    <w:rsid w:val="000066F1"/>
    <w:rsid w:val="00011337"/>
    <w:rsid w:val="0001275C"/>
    <w:rsid w:val="00012AD6"/>
    <w:rsid w:val="00012D43"/>
    <w:rsid w:val="00021D49"/>
    <w:rsid w:val="000224AE"/>
    <w:rsid w:val="000244B6"/>
    <w:rsid w:val="000253AA"/>
    <w:rsid w:val="00027437"/>
    <w:rsid w:val="000279BA"/>
    <w:rsid w:val="00030D35"/>
    <w:rsid w:val="00033BF0"/>
    <w:rsid w:val="00034EC0"/>
    <w:rsid w:val="000350C7"/>
    <w:rsid w:val="00035DCD"/>
    <w:rsid w:val="000368D3"/>
    <w:rsid w:val="00041C97"/>
    <w:rsid w:val="000469D6"/>
    <w:rsid w:val="00046C06"/>
    <w:rsid w:val="00051726"/>
    <w:rsid w:val="00052AB4"/>
    <w:rsid w:val="0005446E"/>
    <w:rsid w:val="000641EB"/>
    <w:rsid w:val="000652CB"/>
    <w:rsid w:val="00066446"/>
    <w:rsid w:val="000715AB"/>
    <w:rsid w:val="0007241A"/>
    <w:rsid w:val="00074258"/>
    <w:rsid w:val="00075FCE"/>
    <w:rsid w:val="000773F7"/>
    <w:rsid w:val="00077A99"/>
    <w:rsid w:val="0008053F"/>
    <w:rsid w:val="00080EF2"/>
    <w:rsid w:val="00082BD2"/>
    <w:rsid w:val="00084507"/>
    <w:rsid w:val="00085182"/>
    <w:rsid w:val="000904C7"/>
    <w:rsid w:val="00090CE2"/>
    <w:rsid w:val="0009145C"/>
    <w:rsid w:val="00095CB1"/>
    <w:rsid w:val="000A0B76"/>
    <w:rsid w:val="000A1958"/>
    <w:rsid w:val="000A1FA1"/>
    <w:rsid w:val="000A69FB"/>
    <w:rsid w:val="000B18CF"/>
    <w:rsid w:val="000B1E6E"/>
    <w:rsid w:val="000B1F1E"/>
    <w:rsid w:val="000B3727"/>
    <w:rsid w:val="000B4A5F"/>
    <w:rsid w:val="000B7509"/>
    <w:rsid w:val="000B76F0"/>
    <w:rsid w:val="000C0FD7"/>
    <w:rsid w:val="000C178B"/>
    <w:rsid w:val="000C5EAC"/>
    <w:rsid w:val="000C5EED"/>
    <w:rsid w:val="000C798C"/>
    <w:rsid w:val="000D0627"/>
    <w:rsid w:val="000D737A"/>
    <w:rsid w:val="000E1FA4"/>
    <w:rsid w:val="000E3377"/>
    <w:rsid w:val="000E3A49"/>
    <w:rsid w:val="000E7847"/>
    <w:rsid w:val="000F086F"/>
    <w:rsid w:val="000F5B1E"/>
    <w:rsid w:val="000F7CFB"/>
    <w:rsid w:val="00103B9F"/>
    <w:rsid w:val="00104A23"/>
    <w:rsid w:val="001055B4"/>
    <w:rsid w:val="00112FA6"/>
    <w:rsid w:val="0011676D"/>
    <w:rsid w:val="00117C4E"/>
    <w:rsid w:val="00123ACC"/>
    <w:rsid w:val="001247FD"/>
    <w:rsid w:val="00125B15"/>
    <w:rsid w:val="00130DD7"/>
    <w:rsid w:val="00133B51"/>
    <w:rsid w:val="00134273"/>
    <w:rsid w:val="00135545"/>
    <w:rsid w:val="00145D7F"/>
    <w:rsid w:val="001474EF"/>
    <w:rsid w:val="001508ED"/>
    <w:rsid w:val="001509B6"/>
    <w:rsid w:val="001514B5"/>
    <w:rsid w:val="00152E88"/>
    <w:rsid w:val="00153336"/>
    <w:rsid w:val="00153429"/>
    <w:rsid w:val="001536A1"/>
    <w:rsid w:val="001550B4"/>
    <w:rsid w:val="001558DB"/>
    <w:rsid w:val="00155F78"/>
    <w:rsid w:val="0015653A"/>
    <w:rsid w:val="00162497"/>
    <w:rsid w:val="00163CD3"/>
    <w:rsid w:val="00167CF1"/>
    <w:rsid w:val="00171317"/>
    <w:rsid w:val="00171E20"/>
    <w:rsid w:val="0017278F"/>
    <w:rsid w:val="00172AF5"/>
    <w:rsid w:val="00175653"/>
    <w:rsid w:val="00175CDB"/>
    <w:rsid w:val="00177033"/>
    <w:rsid w:val="0017784B"/>
    <w:rsid w:val="001810C4"/>
    <w:rsid w:val="00192ED4"/>
    <w:rsid w:val="00193906"/>
    <w:rsid w:val="00195942"/>
    <w:rsid w:val="001A1EBB"/>
    <w:rsid w:val="001A334B"/>
    <w:rsid w:val="001A3FB5"/>
    <w:rsid w:val="001A5C31"/>
    <w:rsid w:val="001B09FF"/>
    <w:rsid w:val="001B3473"/>
    <w:rsid w:val="001B34E4"/>
    <w:rsid w:val="001B352E"/>
    <w:rsid w:val="001B4AB0"/>
    <w:rsid w:val="001B7353"/>
    <w:rsid w:val="001C0F76"/>
    <w:rsid w:val="001C1A26"/>
    <w:rsid w:val="001C62A4"/>
    <w:rsid w:val="001C64B6"/>
    <w:rsid w:val="001C66FC"/>
    <w:rsid w:val="001D1356"/>
    <w:rsid w:val="001D1414"/>
    <w:rsid w:val="001D4862"/>
    <w:rsid w:val="001E1D54"/>
    <w:rsid w:val="001E2D22"/>
    <w:rsid w:val="001E356A"/>
    <w:rsid w:val="001E43C5"/>
    <w:rsid w:val="001E4CFC"/>
    <w:rsid w:val="001E68A2"/>
    <w:rsid w:val="001F0820"/>
    <w:rsid w:val="001F1898"/>
    <w:rsid w:val="001F4AF9"/>
    <w:rsid w:val="001F57D2"/>
    <w:rsid w:val="001F5B09"/>
    <w:rsid w:val="00200B40"/>
    <w:rsid w:val="0020121D"/>
    <w:rsid w:val="00201462"/>
    <w:rsid w:val="00201CB9"/>
    <w:rsid w:val="002045E0"/>
    <w:rsid w:val="0020505D"/>
    <w:rsid w:val="00207614"/>
    <w:rsid w:val="00210919"/>
    <w:rsid w:val="0021384C"/>
    <w:rsid w:val="002147D0"/>
    <w:rsid w:val="0021556B"/>
    <w:rsid w:val="00215577"/>
    <w:rsid w:val="002161DA"/>
    <w:rsid w:val="00217E1F"/>
    <w:rsid w:val="0022138A"/>
    <w:rsid w:val="002215AF"/>
    <w:rsid w:val="002242DB"/>
    <w:rsid w:val="0022439C"/>
    <w:rsid w:val="002263F9"/>
    <w:rsid w:val="00226E0C"/>
    <w:rsid w:val="00226F1E"/>
    <w:rsid w:val="002312C1"/>
    <w:rsid w:val="00231B1D"/>
    <w:rsid w:val="00232E8B"/>
    <w:rsid w:val="0023449C"/>
    <w:rsid w:val="00241AB1"/>
    <w:rsid w:val="00244698"/>
    <w:rsid w:val="00250B65"/>
    <w:rsid w:val="00250FAF"/>
    <w:rsid w:val="0025339F"/>
    <w:rsid w:val="0025348E"/>
    <w:rsid w:val="00266789"/>
    <w:rsid w:val="002708D2"/>
    <w:rsid w:val="00274328"/>
    <w:rsid w:val="00277293"/>
    <w:rsid w:val="0027752E"/>
    <w:rsid w:val="00282D3A"/>
    <w:rsid w:val="00283CC2"/>
    <w:rsid w:val="00286CCC"/>
    <w:rsid w:val="00290525"/>
    <w:rsid w:val="002914DD"/>
    <w:rsid w:val="002921FF"/>
    <w:rsid w:val="002A18F3"/>
    <w:rsid w:val="002A1F14"/>
    <w:rsid w:val="002A1F5F"/>
    <w:rsid w:val="002A4430"/>
    <w:rsid w:val="002A488F"/>
    <w:rsid w:val="002A5587"/>
    <w:rsid w:val="002A795F"/>
    <w:rsid w:val="002B00AF"/>
    <w:rsid w:val="002B02BC"/>
    <w:rsid w:val="002B1CDE"/>
    <w:rsid w:val="002B2915"/>
    <w:rsid w:val="002B3DB4"/>
    <w:rsid w:val="002B764A"/>
    <w:rsid w:val="002C2B52"/>
    <w:rsid w:val="002C632D"/>
    <w:rsid w:val="002D0320"/>
    <w:rsid w:val="002D58CB"/>
    <w:rsid w:val="002E24DD"/>
    <w:rsid w:val="002E2520"/>
    <w:rsid w:val="002E50A5"/>
    <w:rsid w:val="002E54D3"/>
    <w:rsid w:val="002F26E4"/>
    <w:rsid w:val="002F53DA"/>
    <w:rsid w:val="002F78FC"/>
    <w:rsid w:val="00300DAA"/>
    <w:rsid w:val="00301826"/>
    <w:rsid w:val="00314810"/>
    <w:rsid w:val="0031541C"/>
    <w:rsid w:val="003163B8"/>
    <w:rsid w:val="00321879"/>
    <w:rsid w:val="003303A9"/>
    <w:rsid w:val="00331D1D"/>
    <w:rsid w:val="00332F73"/>
    <w:rsid w:val="00341442"/>
    <w:rsid w:val="00341F92"/>
    <w:rsid w:val="00343CDC"/>
    <w:rsid w:val="003447D1"/>
    <w:rsid w:val="00347068"/>
    <w:rsid w:val="0035213C"/>
    <w:rsid w:val="00354631"/>
    <w:rsid w:val="00357A1D"/>
    <w:rsid w:val="00361672"/>
    <w:rsid w:val="00361B77"/>
    <w:rsid w:val="0036403B"/>
    <w:rsid w:val="003650D3"/>
    <w:rsid w:val="003670F0"/>
    <w:rsid w:val="00372B4B"/>
    <w:rsid w:val="00372C21"/>
    <w:rsid w:val="00374337"/>
    <w:rsid w:val="0037487C"/>
    <w:rsid w:val="00376E98"/>
    <w:rsid w:val="00377E37"/>
    <w:rsid w:val="00381E6B"/>
    <w:rsid w:val="00384069"/>
    <w:rsid w:val="00384D8F"/>
    <w:rsid w:val="00385205"/>
    <w:rsid w:val="003862FA"/>
    <w:rsid w:val="00387557"/>
    <w:rsid w:val="00390CA5"/>
    <w:rsid w:val="003916A7"/>
    <w:rsid w:val="00391D12"/>
    <w:rsid w:val="00394599"/>
    <w:rsid w:val="00396338"/>
    <w:rsid w:val="00397B1A"/>
    <w:rsid w:val="003A001C"/>
    <w:rsid w:val="003A1A5C"/>
    <w:rsid w:val="003A23A6"/>
    <w:rsid w:val="003A2FFF"/>
    <w:rsid w:val="003A3931"/>
    <w:rsid w:val="003B1A3C"/>
    <w:rsid w:val="003B30D0"/>
    <w:rsid w:val="003B31AD"/>
    <w:rsid w:val="003B4E89"/>
    <w:rsid w:val="003B51E7"/>
    <w:rsid w:val="003B7FA7"/>
    <w:rsid w:val="003C34D3"/>
    <w:rsid w:val="003C3689"/>
    <w:rsid w:val="003C40C9"/>
    <w:rsid w:val="003C42E8"/>
    <w:rsid w:val="003C481F"/>
    <w:rsid w:val="003D194B"/>
    <w:rsid w:val="003D5692"/>
    <w:rsid w:val="003D5854"/>
    <w:rsid w:val="003D6B04"/>
    <w:rsid w:val="003D78FB"/>
    <w:rsid w:val="003D7AFE"/>
    <w:rsid w:val="003E1C7E"/>
    <w:rsid w:val="003E2A85"/>
    <w:rsid w:val="003E73A8"/>
    <w:rsid w:val="003F0144"/>
    <w:rsid w:val="003F018E"/>
    <w:rsid w:val="003F0DF3"/>
    <w:rsid w:val="003F60EA"/>
    <w:rsid w:val="003F736B"/>
    <w:rsid w:val="003F73AB"/>
    <w:rsid w:val="00400483"/>
    <w:rsid w:val="0040099D"/>
    <w:rsid w:val="00400ADF"/>
    <w:rsid w:val="00402E77"/>
    <w:rsid w:val="00402FB7"/>
    <w:rsid w:val="00405557"/>
    <w:rsid w:val="004064B0"/>
    <w:rsid w:val="004148A6"/>
    <w:rsid w:val="00414C5A"/>
    <w:rsid w:val="004203E4"/>
    <w:rsid w:val="00420A2D"/>
    <w:rsid w:val="00426883"/>
    <w:rsid w:val="00426B55"/>
    <w:rsid w:val="00426E8A"/>
    <w:rsid w:val="004314F6"/>
    <w:rsid w:val="00433A01"/>
    <w:rsid w:val="004359AD"/>
    <w:rsid w:val="0043739E"/>
    <w:rsid w:val="00443F12"/>
    <w:rsid w:val="004467CA"/>
    <w:rsid w:val="00450A9E"/>
    <w:rsid w:val="00452A0F"/>
    <w:rsid w:val="00453C04"/>
    <w:rsid w:val="00454B1D"/>
    <w:rsid w:val="00455EA6"/>
    <w:rsid w:val="004561E0"/>
    <w:rsid w:val="00460783"/>
    <w:rsid w:val="00460F91"/>
    <w:rsid w:val="004631E9"/>
    <w:rsid w:val="004631F7"/>
    <w:rsid w:val="004649C1"/>
    <w:rsid w:val="004677F5"/>
    <w:rsid w:val="00471BCE"/>
    <w:rsid w:val="00481AC3"/>
    <w:rsid w:val="00484D26"/>
    <w:rsid w:val="0048525D"/>
    <w:rsid w:val="00486BAA"/>
    <w:rsid w:val="00486C82"/>
    <w:rsid w:val="00490C26"/>
    <w:rsid w:val="00494A97"/>
    <w:rsid w:val="00495B97"/>
    <w:rsid w:val="00495DE2"/>
    <w:rsid w:val="004A3DE8"/>
    <w:rsid w:val="004A74CA"/>
    <w:rsid w:val="004A79D8"/>
    <w:rsid w:val="004B132D"/>
    <w:rsid w:val="004B424F"/>
    <w:rsid w:val="004B6A3D"/>
    <w:rsid w:val="004C3FCA"/>
    <w:rsid w:val="004C536F"/>
    <w:rsid w:val="004C6DE4"/>
    <w:rsid w:val="004C7AF0"/>
    <w:rsid w:val="004D2985"/>
    <w:rsid w:val="004D4D29"/>
    <w:rsid w:val="004D508B"/>
    <w:rsid w:val="004D6319"/>
    <w:rsid w:val="004E06D2"/>
    <w:rsid w:val="004E19DA"/>
    <w:rsid w:val="004E2D59"/>
    <w:rsid w:val="004E3D9D"/>
    <w:rsid w:val="004E51F2"/>
    <w:rsid w:val="004E71B8"/>
    <w:rsid w:val="004F630F"/>
    <w:rsid w:val="004F6C84"/>
    <w:rsid w:val="00502054"/>
    <w:rsid w:val="0050430D"/>
    <w:rsid w:val="005071FE"/>
    <w:rsid w:val="00510C51"/>
    <w:rsid w:val="00512D1F"/>
    <w:rsid w:val="00515817"/>
    <w:rsid w:val="00517B50"/>
    <w:rsid w:val="0052163A"/>
    <w:rsid w:val="00522FCC"/>
    <w:rsid w:val="00523C1D"/>
    <w:rsid w:val="00525BD0"/>
    <w:rsid w:val="00526B2F"/>
    <w:rsid w:val="00531C81"/>
    <w:rsid w:val="00531F5E"/>
    <w:rsid w:val="00534755"/>
    <w:rsid w:val="005354B5"/>
    <w:rsid w:val="0053571C"/>
    <w:rsid w:val="00536E78"/>
    <w:rsid w:val="0053736A"/>
    <w:rsid w:val="00542110"/>
    <w:rsid w:val="005421F6"/>
    <w:rsid w:val="005560AB"/>
    <w:rsid w:val="0055641C"/>
    <w:rsid w:val="00557477"/>
    <w:rsid w:val="005607C6"/>
    <w:rsid w:val="00562463"/>
    <w:rsid w:val="0056322B"/>
    <w:rsid w:val="0056434E"/>
    <w:rsid w:val="005648DD"/>
    <w:rsid w:val="00565D12"/>
    <w:rsid w:val="005660FF"/>
    <w:rsid w:val="00567AB6"/>
    <w:rsid w:val="005709AB"/>
    <w:rsid w:val="00570E74"/>
    <w:rsid w:val="0057203E"/>
    <w:rsid w:val="00591896"/>
    <w:rsid w:val="005A00C7"/>
    <w:rsid w:val="005A2126"/>
    <w:rsid w:val="005B2D21"/>
    <w:rsid w:val="005B35F7"/>
    <w:rsid w:val="005B3F01"/>
    <w:rsid w:val="005B4B40"/>
    <w:rsid w:val="005B7599"/>
    <w:rsid w:val="005C04CB"/>
    <w:rsid w:val="005C2A0A"/>
    <w:rsid w:val="005C3A92"/>
    <w:rsid w:val="005C4833"/>
    <w:rsid w:val="005C6197"/>
    <w:rsid w:val="005D2FB1"/>
    <w:rsid w:val="005D3016"/>
    <w:rsid w:val="005D413C"/>
    <w:rsid w:val="005D6281"/>
    <w:rsid w:val="005D737B"/>
    <w:rsid w:val="005D7E3C"/>
    <w:rsid w:val="005E15DB"/>
    <w:rsid w:val="005E1939"/>
    <w:rsid w:val="005E1E5B"/>
    <w:rsid w:val="005E2895"/>
    <w:rsid w:val="005E42DB"/>
    <w:rsid w:val="005F0B45"/>
    <w:rsid w:val="005F2E79"/>
    <w:rsid w:val="005F4992"/>
    <w:rsid w:val="005F750D"/>
    <w:rsid w:val="00620A47"/>
    <w:rsid w:val="00623BA1"/>
    <w:rsid w:val="006243E0"/>
    <w:rsid w:val="0062460F"/>
    <w:rsid w:val="0062543F"/>
    <w:rsid w:val="00627E2A"/>
    <w:rsid w:val="00630DD6"/>
    <w:rsid w:val="00631D21"/>
    <w:rsid w:val="00632C7A"/>
    <w:rsid w:val="00634CFB"/>
    <w:rsid w:val="0064503A"/>
    <w:rsid w:val="00647D41"/>
    <w:rsid w:val="00652354"/>
    <w:rsid w:val="00653667"/>
    <w:rsid w:val="00654717"/>
    <w:rsid w:val="006562A7"/>
    <w:rsid w:val="00656329"/>
    <w:rsid w:val="00660AC0"/>
    <w:rsid w:val="00660C72"/>
    <w:rsid w:val="00661D21"/>
    <w:rsid w:val="00661FF2"/>
    <w:rsid w:val="00663951"/>
    <w:rsid w:val="006702A1"/>
    <w:rsid w:val="00671474"/>
    <w:rsid w:val="00673359"/>
    <w:rsid w:val="00674AB5"/>
    <w:rsid w:val="0067536B"/>
    <w:rsid w:val="00677DBC"/>
    <w:rsid w:val="00686742"/>
    <w:rsid w:val="00686F45"/>
    <w:rsid w:val="00691481"/>
    <w:rsid w:val="00693690"/>
    <w:rsid w:val="00693DB1"/>
    <w:rsid w:val="0069402C"/>
    <w:rsid w:val="00694BF2"/>
    <w:rsid w:val="00697162"/>
    <w:rsid w:val="006A09D3"/>
    <w:rsid w:val="006A28F6"/>
    <w:rsid w:val="006A4874"/>
    <w:rsid w:val="006A4AE3"/>
    <w:rsid w:val="006A4D23"/>
    <w:rsid w:val="006A5F52"/>
    <w:rsid w:val="006A6CD7"/>
    <w:rsid w:val="006B0AF1"/>
    <w:rsid w:val="006B1650"/>
    <w:rsid w:val="006B276A"/>
    <w:rsid w:val="006B2A67"/>
    <w:rsid w:val="006B30BF"/>
    <w:rsid w:val="006B52A4"/>
    <w:rsid w:val="006C5034"/>
    <w:rsid w:val="006D0D47"/>
    <w:rsid w:val="006D0DC6"/>
    <w:rsid w:val="006D1021"/>
    <w:rsid w:val="006D302F"/>
    <w:rsid w:val="006D3B6A"/>
    <w:rsid w:val="006D6D8B"/>
    <w:rsid w:val="006D79E5"/>
    <w:rsid w:val="006E0E8B"/>
    <w:rsid w:val="006E1CF3"/>
    <w:rsid w:val="006E2801"/>
    <w:rsid w:val="006E74ED"/>
    <w:rsid w:val="006F0E8D"/>
    <w:rsid w:val="006F1A84"/>
    <w:rsid w:val="006F30D2"/>
    <w:rsid w:val="006F539C"/>
    <w:rsid w:val="006F5770"/>
    <w:rsid w:val="006F5F0B"/>
    <w:rsid w:val="006F600E"/>
    <w:rsid w:val="006F73D5"/>
    <w:rsid w:val="00701714"/>
    <w:rsid w:val="007031CA"/>
    <w:rsid w:val="00704063"/>
    <w:rsid w:val="00706A0D"/>
    <w:rsid w:val="007106F1"/>
    <w:rsid w:val="007116B5"/>
    <w:rsid w:val="00711E63"/>
    <w:rsid w:val="00715082"/>
    <w:rsid w:val="00717DD4"/>
    <w:rsid w:val="0072100A"/>
    <w:rsid w:val="0072152F"/>
    <w:rsid w:val="00723696"/>
    <w:rsid w:val="007263D5"/>
    <w:rsid w:val="00730B32"/>
    <w:rsid w:val="00731F2E"/>
    <w:rsid w:val="00733282"/>
    <w:rsid w:val="00733BE4"/>
    <w:rsid w:val="0073449B"/>
    <w:rsid w:val="00734F1A"/>
    <w:rsid w:val="007419F1"/>
    <w:rsid w:val="00741E9C"/>
    <w:rsid w:val="007424D6"/>
    <w:rsid w:val="007465D1"/>
    <w:rsid w:val="00746823"/>
    <w:rsid w:val="00746C78"/>
    <w:rsid w:val="00747CB2"/>
    <w:rsid w:val="007558B0"/>
    <w:rsid w:val="0075712A"/>
    <w:rsid w:val="007617BF"/>
    <w:rsid w:val="00764793"/>
    <w:rsid w:val="00767083"/>
    <w:rsid w:val="007760EF"/>
    <w:rsid w:val="00776CDD"/>
    <w:rsid w:val="00777FDE"/>
    <w:rsid w:val="007825E9"/>
    <w:rsid w:val="00783DBA"/>
    <w:rsid w:val="00784838"/>
    <w:rsid w:val="00784AF2"/>
    <w:rsid w:val="007862B2"/>
    <w:rsid w:val="0078703C"/>
    <w:rsid w:val="007876D3"/>
    <w:rsid w:val="007877A7"/>
    <w:rsid w:val="00794C67"/>
    <w:rsid w:val="00797726"/>
    <w:rsid w:val="007A49EE"/>
    <w:rsid w:val="007A7B20"/>
    <w:rsid w:val="007B013D"/>
    <w:rsid w:val="007B12C5"/>
    <w:rsid w:val="007B20D6"/>
    <w:rsid w:val="007C047E"/>
    <w:rsid w:val="007C0D49"/>
    <w:rsid w:val="007C14E9"/>
    <w:rsid w:val="007C60D1"/>
    <w:rsid w:val="007C6720"/>
    <w:rsid w:val="007C67A4"/>
    <w:rsid w:val="007C6B6F"/>
    <w:rsid w:val="007D4F46"/>
    <w:rsid w:val="007D554D"/>
    <w:rsid w:val="007E08CB"/>
    <w:rsid w:val="007E28C2"/>
    <w:rsid w:val="007E3A01"/>
    <w:rsid w:val="007E774E"/>
    <w:rsid w:val="007E7AEE"/>
    <w:rsid w:val="007F039B"/>
    <w:rsid w:val="007F1335"/>
    <w:rsid w:val="007F1742"/>
    <w:rsid w:val="007F5371"/>
    <w:rsid w:val="007F54E5"/>
    <w:rsid w:val="007F5723"/>
    <w:rsid w:val="007F6A6E"/>
    <w:rsid w:val="00804EB1"/>
    <w:rsid w:val="00805E29"/>
    <w:rsid w:val="00806D64"/>
    <w:rsid w:val="00807CE4"/>
    <w:rsid w:val="0081002D"/>
    <w:rsid w:val="00810C06"/>
    <w:rsid w:val="00810FF5"/>
    <w:rsid w:val="00811A75"/>
    <w:rsid w:val="00813157"/>
    <w:rsid w:val="008134C7"/>
    <w:rsid w:val="00813B6A"/>
    <w:rsid w:val="00816870"/>
    <w:rsid w:val="00817974"/>
    <w:rsid w:val="00817D7C"/>
    <w:rsid w:val="00820712"/>
    <w:rsid w:val="00820932"/>
    <w:rsid w:val="00835580"/>
    <w:rsid w:val="00836723"/>
    <w:rsid w:val="00837AF0"/>
    <w:rsid w:val="00840648"/>
    <w:rsid w:val="00840BA3"/>
    <w:rsid w:val="00841852"/>
    <w:rsid w:val="00842A77"/>
    <w:rsid w:val="008431A3"/>
    <w:rsid w:val="00843428"/>
    <w:rsid w:val="00852EB7"/>
    <w:rsid w:val="008538D5"/>
    <w:rsid w:val="00860E97"/>
    <w:rsid w:val="00862616"/>
    <w:rsid w:val="00863728"/>
    <w:rsid w:val="008639FB"/>
    <w:rsid w:val="00865928"/>
    <w:rsid w:val="00865E0B"/>
    <w:rsid w:val="00872B0A"/>
    <w:rsid w:val="00872DD9"/>
    <w:rsid w:val="00873089"/>
    <w:rsid w:val="0087453E"/>
    <w:rsid w:val="00875759"/>
    <w:rsid w:val="0087790A"/>
    <w:rsid w:val="00881549"/>
    <w:rsid w:val="008834C4"/>
    <w:rsid w:val="00891554"/>
    <w:rsid w:val="00892007"/>
    <w:rsid w:val="00892D4B"/>
    <w:rsid w:val="008938D2"/>
    <w:rsid w:val="008969C5"/>
    <w:rsid w:val="00897CA4"/>
    <w:rsid w:val="008A0054"/>
    <w:rsid w:val="008A04B8"/>
    <w:rsid w:val="008A0A7C"/>
    <w:rsid w:val="008A48D0"/>
    <w:rsid w:val="008A491C"/>
    <w:rsid w:val="008A5580"/>
    <w:rsid w:val="008A6773"/>
    <w:rsid w:val="008B0960"/>
    <w:rsid w:val="008B6C69"/>
    <w:rsid w:val="008C04B4"/>
    <w:rsid w:val="008C3395"/>
    <w:rsid w:val="008D0A57"/>
    <w:rsid w:val="008D209F"/>
    <w:rsid w:val="008D5E6A"/>
    <w:rsid w:val="008D7EC6"/>
    <w:rsid w:val="008E0A33"/>
    <w:rsid w:val="008E1123"/>
    <w:rsid w:val="008E1B5F"/>
    <w:rsid w:val="008E1F73"/>
    <w:rsid w:val="008E3AFC"/>
    <w:rsid w:val="008E6BBE"/>
    <w:rsid w:val="008E74B2"/>
    <w:rsid w:val="008F16B5"/>
    <w:rsid w:val="008F4E49"/>
    <w:rsid w:val="008F5287"/>
    <w:rsid w:val="009005CC"/>
    <w:rsid w:val="00900766"/>
    <w:rsid w:val="0090383B"/>
    <w:rsid w:val="009114DF"/>
    <w:rsid w:val="00912DD6"/>
    <w:rsid w:val="009132B3"/>
    <w:rsid w:val="0091454F"/>
    <w:rsid w:val="00920D25"/>
    <w:rsid w:val="009211B6"/>
    <w:rsid w:val="00921781"/>
    <w:rsid w:val="009237FD"/>
    <w:rsid w:val="00923995"/>
    <w:rsid w:val="00927D15"/>
    <w:rsid w:val="00930EFB"/>
    <w:rsid w:val="00943A47"/>
    <w:rsid w:val="00944342"/>
    <w:rsid w:val="0094519D"/>
    <w:rsid w:val="0095058E"/>
    <w:rsid w:val="009506BB"/>
    <w:rsid w:val="00950B1B"/>
    <w:rsid w:val="00951076"/>
    <w:rsid w:val="00951863"/>
    <w:rsid w:val="00951F7B"/>
    <w:rsid w:val="00952293"/>
    <w:rsid w:val="00952FF4"/>
    <w:rsid w:val="00953BC4"/>
    <w:rsid w:val="009550F1"/>
    <w:rsid w:val="00956078"/>
    <w:rsid w:val="00957BED"/>
    <w:rsid w:val="00962FF6"/>
    <w:rsid w:val="009677A3"/>
    <w:rsid w:val="00967EC4"/>
    <w:rsid w:val="00971EE9"/>
    <w:rsid w:val="00975239"/>
    <w:rsid w:val="009759F7"/>
    <w:rsid w:val="00977A85"/>
    <w:rsid w:val="00980043"/>
    <w:rsid w:val="009809EB"/>
    <w:rsid w:val="00981FCD"/>
    <w:rsid w:val="00982CDB"/>
    <w:rsid w:val="0098375C"/>
    <w:rsid w:val="0098423D"/>
    <w:rsid w:val="009853F7"/>
    <w:rsid w:val="0098740C"/>
    <w:rsid w:val="00990992"/>
    <w:rsid w:val="00990BC9"/>
    <w:rsid w:val="00995FF7"/>
    <w:rsid w:val="009A0BC0"/>
    <w:rsid w:val="009A14AD"/>
    <w:rsid w:val="009A2CD5"/>
    <w:rsid w:val="009A53E9"/>
    <w:rsid w:val="009A5CC1"/>
    <w:rsid w:val="009A7D00"/>
    <w:rsid w:val="009B2C03"/>
    <w:rsid w:val="009C7533"/>
    <w:rsid w:val="009D0EB3"/>
    <w:rsid w:val="009D390B"/>
    <w:rsid w:val="009D47B4"/>
    <w:rsid w:val="009D6367"/>
    <w:rsid w:val="009E2124"/>
    <w:rsid w:val="009E2495"/>
    <w:rsid w:val="009E36DB"/>
    <w:rsid w:val="009E45E8"/>
    <w:rsid w:val="009E4B4A"/>
    <w:rsid w:val="009E4F65"/>
    <w:rsid w:val="009E76B5"/>
    <w:rsid w:val="009F4F20"/>
    <w:rsid w:val="009F7443"/>
    <w:rsid w:val="00A002BC"/>
    <w:rsid w:val="00A03563"/>
    <w:rsid w:val="00A05E08"/>
    <w:rsid w:val="00A06713"/>
    <w:rsid w:val="00A073E2"/>
    <w:rsid w:val="00A0740C"/>
    <w:rsid w:val="00A11D3C"/>
    <w:rsid w:val="00A121C9"/>
    <w:rsid w:val="00A1332A"/>
    <w:rsid w:val="00A15D02"/>
    <w:rsid w:val="00A171AB"/>
    <w:rsid w:val="00A20A78"/>
    <w:rsid w:val="00A21773"/>
    <w:rsid w:val="00A22007"/>
    <w:rsid w:val="00A225EC"/>
    <w:rsid w:val="00A271F7"/>
    <w:rsid w:val="00A30325"/>
    <w:rsid w:val="00A31DA1"/>
    <w:rsid w:val="00A31FEF"/>
    <w:rsid w:val="00A3247A"/>
    <w:rsid w:val="00A34DB0"/>
    <w:rsid w:val="00A3661C"/>
    <w:rsid w:val="00A379ED"/>
    <w:rsid w:val="00A41C8D"/>
    <w:rsid w:val="00A45C0E"/>
    <w:rsid w:val="00A465B6"/>
    <w:rsid w:val="00A46856"/>
    <w:rsid w:val="00A51106"/>
    <w:rsid w:val="00A51331"/>
    <w:rsid w:val="00A53E25"/>
    <w:rsid w:val="00A600C8"/>
    <w:rsid w:val="00A607C3"/>
    <w:rsid w:val="00A67880"/>
    <w:rsid w:val="00A70B73"/>
    <w:rsid w:val="00A71C14"/>
    <w:rsid w:val="00A7244A"/>
    <w:rsid w:val="00A7374A"/>
    <w:rsid w:val="00A865B9"/>
    <w:rsid w:val="00A872D5"/>
    <w:rsid w:val="00A87F80"/>
    <w:rsid w:val="00A910BC"/>
    <w:rsid w:val="00A92B56"/>
    <w:rsid w:val="00A9359B"/>
    <w:rsid w:val="00A93FEF"/>
    <w:rsid w:val="00A94E7A"/>
    <w:rsid w:val="00A951E2"/>
    <w:rsid w:val="00A957D4"/>
    <w:rsid w:val="00A96AF4"/>
    <w:rsid w:val="00A97416"/>
    <w:rsid w:val="00AA027A"/>
    <w:rsid w:val="00AA03ED"/>
    <w:rsid w:val="00AA1DCC"/>
    <w:rsid w:val="00AA3FCE"/>
    <w:rsid w:val="00AB0AD9"/>
    <w:rsid w:val="00AB32BC"/>
    <w:rsid w:val="00AB357C"/>
    <w:rsid w:val="00AB3E53"/>
    <w:rsid w:val="00AB44D6"/>
    <w:rsid w:val="00AB585C"/>
    <w:rsid w:val="00AB61A9"/>
    <w:rsid w:val="00AB6B4E"/>
    <w:rsid w:val="00AC0555"/>
    <w:rsid w:val="00AC0F14"/>
    <w:rsid w:val="00AC2F0A"/>
    <w:rsid w:val="00AC77D5"/>
    <w:rsid w:val="00AD1875"/>
    <w:rsid w:val="00AD6378"/>
    <w:rsid w:val="00AD677D"/>
    <w:rsid w:val="00AD7396"/>
    <w:rsid w:val="00AD78AA"/>
    <w:rsid w:val="00AE1B84"/>
    <w:rsid w:val="00AE35B7"/>
    <w:rsid w:val="00AE4EBF"/>
    <w:rsid w:val="00AE5B60"/>
    <w:rsid w:val="00AF1A7D"/>
    <w:rsid w:val="00AF26B3"/>
    <w:rsid w:val="00AF64EE"/>
    <w:rsid w:val="00B00C0A"/>
    <w:rsid w:val="00B02071"/>
    <w:rsid w:val="00B14920"/>
    <w:rsid w:val="00B15A69"/>
    <w:rsid w:val="00B16A63"/>
    <w:rsid w:val="00B23285"/>
    <w:rsid w:val="00B33C3D"/>
    <w:rsid w:val="00B35D6D"/>
    <w:rsid w:val="00B41BD1"/>
    <w:rsid w:val="00B46E93"/>
    <w:rsid w:val="00B52D7F"/>
    <w:rsid w:val="00B5367D"/>
    <w:rsid w:val="00B60C25"/>
    <w:rsid w:val="00B61921"/>
    <w:rsid w:val="00B61BB6"/>
    <w:rsid w:val="00B62530"/>
    <w:rsid w:val="00B63B70"/>
    <w:rsid w:val="00B64E7A"/>
    <w:rsid w:val="00B679D6"/>
    <w:rsid w:val="00B7112F"/>
    <w:rsid w:val="00B7164F"/>
    <w:rsid w:val="00B76D4E"/>
    <w:rsid w:val="00B809F9"/>
    <w:rsid w:val="00B810B3"/>
    <w:rsid w:val="00B8293C"/>
    <w:rsid w:val="00B9135C"/>
    <w:rsid w:val="00B92A3A"/>
    <w:rsid w:val="00B95C9B"/>
    <w:rsid w:val="00B9744D"/>
    <w:rsid w:val="00B97534"/>
    <w:rsid w:val="00B975DF"/>
    <w:rsid w:val="00BB5B94"/>
    <w:rsid w:val="00BB639E"/>
    <w:rsid w:val="00BC278D"/>
    <w:rsid w:val="00BC7887"/>
    <w:rsid w:val="00BD4329"/>
    <w:rsid w:val="00BD5CE4"/>
    <w:rsid w:val="00BD6B6E"/>
    <w:rsid w:val="00BE02C6"/>
    <w:rsid w:val="00BE22A6"/>
    <w:rsid w:val="00BE26C5"/>
    <w:rsid w:val="00BF0A42"/>
    <w:rsid w:val="00BF31FE"/>
    <w:rsid w:val="00BF407A"/>
    <w:rsid w:val="00BF4B26"/>
    <w:rsid w:val="00BF6AAD"/>
    <w:rsid w:val="00BF7636"/>
    <w:rsid w:val="00C00D7D"/>
    <w:rsid w:val="00C010C6"/>
    <w:rsid w:val="00C01BE5"/>
    <w:rsid w:val="00C037FA"/>
    <w:rsid w:val="00C059D8"/>
    <w:rsid w:val="00C124F2"/>
    <w:rsid w:val="00C125A4"/>
    <w:rsid w:val="00C12C7D"/>
    <w:rsid w:val="00C17912"/>
    <w:rsid w:val="00C20A16"/>
    <w:rsid w:val="00C2377E"/>
    <w:rsid w:val="00C264AB"/>
    <w:rsid w:val="00C26EC6"/>
    <w:rsid w:val="00C272DB"/>
    <w:rsid w:val="00C304DC"/>
    <w:rsid w:val="00C3236E"/>
    <w:rsid w:val="00C370DF"/>
    <w:rsid w:val="00C3719B"/>
    <w:rsid w:val="00C41CFB"/>
    <w:rsid w:val="00C42C15"/>
    <w:rsid w:val="00C455D8"/>
    <w:rsid w:val="00C4612D"/>
    <w:rsid w:val="00C46398"/>
    <w:rsid w:val="00C46D34"/>
    <w:rsid w:val="00C47EC0"/>
    <w:rsid w:val="00C51746"/>
    <w:rsid w:val="00C52E62"/>
    <w:rsid w:val="00C6135F"/>
    <w:rsid w:val="00C62DFD"/>
    <w:rsid w:val="00C63FDF"/>
    <w:rsid w:val="00C654B2"/>
    <w:rsid w:val="00C66AF0"/>
    <w:rsid w:val="00C66D3D"/>
    <w:rsid w:val="00C67E39"/>
    <w:rsid w:val="00C67FBD"/>
    <w:rsid w:val="00C7198E"/>
    <w:rsid w:val="00C71F19"/>
    <w:rsid w:val="00C76DE0"/>
    <w:rsid w:val="00C76FBA"/>
    <w:rsid w:val="00C835EB"/>
    <w:rsid w:val="00C83EBA"/>
    <w:rsid w:val="00C84224"/>
    <w:rsid w:val="00C8491A"/>
    <w:rsid w:val="00C90581"/>
    <w:rsid w:val="00C9313F"/>
    <w:rsid w:val="00C9405D"/>
    <w:rsid w:val="00C94AAC"/>
    <w:rsid w:val="00C96D34"/>
    <w:rsid w:val="00C97FA0"/>
    <w:rsid w:val="00CA1BAF"/>
    <w:rsid w:val="00CA3490"/>
    <w:rsid w:val="00CA7E08"/>
    <w:rsid w:val="00CB2D67"/>
    <w:rsid w:val="00CB3658"/>
    <w:rsid w:val="00CB3C38"/>
    <w:rsid w:val="00CB5382"/>
    <w:rsid w:val="00CB70AB"/>
    <w:rsid w:val="00CC0045"/>
    <w:rsid w:val="00CC2A5F"/>
    <w:rsid w:val="00CC2EBC"/>
    <w:rsid w:val="00CC4012"/>
    <w:rsid w:val="00CC4181"/>
    <w:rsid w:val="00CC5046"/>
    <w:rsid w:val="00CC6389"/>
    <w:rsid w:val="00CD7730"/>
    <w:rsid w:val="00CE2C45"/>
    <w:rsid w:val="00CE3C64"/>
    <w:rsid w:val="00CE4D3E"/>
    <w:rsid w:val="00CE743F"/>
    <w:rsid w:val="00CF069A"/>
    <w:rsid w:val="00CF0A18"/>
    <w:rsid w:val="00CF1A78"/>
    <w:rsid w:val="00CF2C9A"/>
    <w:rsid w:val="00CF6F43"/>
    <w:rsid w:val="00CF7B42"/>
    <w:rsid w:val="00D0196A"/>
    <w:rsid w:val="00D01998"/>
    <w:rsid w:val="00D01D48"/>
    <w:rsid w:val="00D031B5"/>
    <w:rsid w:val="00D04E78"/>
    <w:rsid w:val="00D05226"/>
    <w:rsid w:val="00D06541"/>
    <w:rsid w:val="00D069AA"/>
    <w:rsid w:val="00D06FD5"/>
    <w:rsid w:val="00D114EE"/>
    <w:rsid w:val="00D13611"/>
    <w:rsid w:val="00D136A9"/>
    <w:rsid w:val="00D14236"/>
    <w:rsid w:val="00D14642"/>
    <w:rsid w:val="00D14978"/>
    <w:rsid w:val="00D157C7"/>
    <w:rsid w:val="00D16FBA"/>
    <w:rsid w:val="00D2041D"/>
    <w:rsid w:val="00D21D25"/>
    <w:rsid w:val="00D21F5F"/>
    <w:rsid w:val="00D254D0"/>
    <w:rsid w:val="00D270AF"/>
    <w:rsid w:val="00D27BE9"/>
    <w:rsid w:val="00D3082D"/>
    <w:rsid w:val="00D30908"/>
    <w:rsid w:val="00D32986"/>
    <w:rsid w:val="00D3357A"/>
    <w:rsid w:val="00D3361A"/>
    <w:rsid w:val="00D358FC"/>
    <w:rsid w:val="00D363E0"/>
    <w:rsid w:val="00D45D00"/>
    <w:rsid w:val="00D465C2"/>
    <w:rsid w:val="00D474EC"/>
    <w:rsid w:val="00D47C43"/>
    <w:rsid w:val="00D50332"/>
    <w:rsid w:val="00D50C25"/>
    <w:rsid w:val="00D5212D"/>
    <w:rsid w:val="00D54812"/>
    <w:rsid w:val="00D54FEC"/>
    <w:rsid w:val="00D555C5"/>
    <w:rsid w:val="00D6025B"/>
    <w:rsid w:val="00D65A40"/>
    <w:rsid w:val="00D67B37"/>
    <w:rsid w:val="00D70765"/>
    <w:rsid w:val="00D71F65"/>
    <w:rsid w:val="00D74132"/>
    <w:rsid w:val="00D76EBE"/>
    <w:rsid w:val="00D76F5A"/>
    <w:rsid w:val="00D8003B"/>
    <w:rsid w:val="00D8149E"/>
    <w:rsid w:val="00D81E39"/>
    <w:rsid w:val="00D824A5"/>
    <w:rsid w:val="00D854BA"/>
    <w:rsid w:val="00D86F08"/>
    <w:rsid w:val="00D91765"/>
    <w:rsid w:val="00D949D5"/>
    <w:rsid w:val="00D96641"/>
    <w:rsid w:val="00D97090"/>
    <w:rsid w:val="00DA0613"/>
    <w:rsid w:val="00DA0E8B"/>
    <w:rsid w:val="00DA1A14"/>
    <w:rsid w:val="00DB2C9C"/>
    <w:rsid w:val="00DB65F9"/>
    <w:rsid w:val="00DB7145"/>
    <w:rsid w:val="00DC12EC"/>
    <w:rsid w:val="00DD06BD"/>
    <w:rsid w:val="00DE0590"/>
    <w:rsid w:val="00DE119D"/>
    <w:rsid w:val="00DE5B51"/>
    <w:rsid w:val="00DF163A"/>
    <w:rsid w:val="00DF3A2B"/>
    <w:rsid w:val="00DF651C"/>
    <w:rsid w:val="00DF6F08"/>
    <w:rsid w:val="00E01C76"/>
    <w:rsid w:val="00E100D9"/>
    <w:rsid w:val="00E1148D"/>
    <w:rsid w:val="00E13930"/>
    <w:rsid w:val="00E21C3B"/>
    <w:rsid w:val="00E2358F"/>
    <w:rsid w:val="00E32B97"/>
    <w:rsid w:val="00E331E0"/>
    <w:rsid w:val="00E36167"/>
    <w:rsid w:val="00E41D92"/>
    <w:rsid w:val="00E425E6"/>
    <w:rsid w:val="00E43432"/>
    <w:rsid w:val="00E457F7"/>
    <w:rsid w:val="00E46250"/>
    <w:rsid w:val="00E50525"/>
    <w:rsid w:val="00E528BC"/>
    <w:rsid w:val="00E5633B"/>
    <w:rsid w:val="00E5727D"/>
    <w:rsid w:val="00E574BB"/>
    <w:rsid w:val="00E6203F"/>
    <w:rsid w:val="00E62E29"/>
    <w:rsid w:val="00E6390F"/>
    <w:rsid w:val="00E64790"/>
    <w:rsid w:val="00E70281"/>
    <w:rsid w:val="00E70425"/>
    <w:rsid w:val="00E70E8E"/>
    <w:rsid w:val="00E73186"/>
    <w:rsid w:val="00E75446"/>
    <w:rsid w:val="00E77947"/>
    <w:rsid w:val="00E8563D"/>
    <w:rsid w:val="00E87E22"/>
    <w:rsid w:val="00E931A6"/>
    <w:rsid w:val="00E937CC"/>
    <w:rsid w:val="00E9389A"/>
    <w:rsid w:val="00E9580A"/>
    <w:rsid w:val="00E978D6"/>
    <w:rsid w:val="00EA02A5"/>
    <w:rsid w:val="00EA326A"/>
    <w:rsid w:val="00EA615D"/>
    <w:rsid w:val="00EA6FBF"/>
    <w:rsid w:val="00EA7F8B"/>
    <w:rsid w:val="00EB2D89"/>
    <w:rsid w:val="00EB48C8"/>
    <w:rsid w:val="00EB5219"/>
    <w:rsid w:val="00EB7E6D"/>
    <w:rsid w:val="00EC0D24"/>
    <w:rsid w:val="00EC2A86"/>
    <w:rsid w:val="00EC3290"/>
    <w:rsid w:val="00ED3BF9"/>
    <w:rsid w:val="00EE21B1"/>
    <w:rsid w:val="00EE34ED"/>
    <w:rsid w:val="00EF4D1F"/>
    <w:rsid w:val="00EF5456"/>
    <w:rsid w:val="00EF5D95"/>
    <w:rsid w:val="00EF6ACD"/>
    <w:rsid w:val="00EF6EB4"/>
    <w:rsid w:val="00F007B3"/>
    <w:rsid w:val="00F01FBA"/>
    <w:rsid w:val="00F03C2D"/>
    <w:rsid w:val="00F11B3F"/>
    <w:rsid w:val="00F12862"/>
    <w:rsid w:val="00F15948"/>
    <w:rsid w:val="00F23B3C"/>
    <w:rsid w:val="00F27195"/>
    <w:rsid w:val="00F3286C"/>
    <w:rsid w:val="00F37A34"/>
    <w:rsid w:val="00F41C1B"/>
    <w:rsid w:val="00F4318D"/>
    <w:rsid w:val="00F43DAA"/>
    <w:rsid w:val="00F507FC"/>
    <w:rsid w:val="00F5369C"/>
    <w:rsid w:val="00F566A7"/>
    <w:rsid w:val="00F57D09"/>
    <w:rsid w:val="00F65E81"/>
    <w:rsid w:val="00F67B4B"/>
    <w:rsid w:val="00F70292"/>
    <w:rsid w:val="00F82ACA"/>
    <w:rsid w:val="00F84FB7"/>
    <w:rsid w:val="00F86BFC"/>
    <w:rsid w:val="00F87D84"/>
    <w:rsid w:val="00F87EB8"/>
    <w:rsid w:val="00F92896"/>
    <w:rsid w:val="00F94812"/>
    <w:rsid w:val="00F95137"/>
    <w:rsid w:val="00F954B4"/>
    <w:rsid w:val="00FA429E"/>
    <w:rsid w:val="00FA4DC1"/>
    <w:rsid w:val="00FA4F00"/>
    <w:rsid w:val="00FA51AA"/>
    <w:rsid w:val="00FA6C6B"/>
    <w:rsid w:val="00FB3454"/>
    <w:rsid w:val="00FB357B"/>
    <w:rsid w:val="00FB391C"/>
    <w:rsid w:val="00FC1932"/>
    <w:rsid w:val="00FC19EB"/>
    <w:rsid w:val="00FC2408"/>
    <w:rsid w:val="00FC445E"/>
    <w:rsid w:val="00FC45E3"/>
    <w:rsid w:val="00FC4D1D"/>
    <w:rsid w:val="00FC702A"/>
    <w:rsid w:val="00FD2AC3"/>
    <w:rsid w:val="00FD303B"/>
    <w:rsid w:val="00FD3538"/>
    <w:rsid w:val="00FD49FF"/>
    <w:rsid w:val="00FD4D01"/>
    <w:rsid w:val="00FE0026"/>
    <w:rsid w:val="00FE1D58"/>
    <w:rsid w:val="00FE2B9A"/>
    <w:rsid w:val="00FE3421"/>
    <w:rsid w:val="00FE3961"/>
    <w:rsid w:val="00FE476A"/>
    <w:rsid w:val="00FF0EFC"/>
    <w:rsid w:val="00FF286F"/>
    <w:rsid w:val="00FF5A22"/>
    <w:rsid w:val="00FF5EC5"/>
    <w:rsid w:val="00FF7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09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52AB4"/>
    <w:pPr>
      <w:keepNext/>
      <w:keepLines/>
      <w:spacing w:before="120" w:after="240" w:line="360" w:lineRule="auto"/>
      <w:outlineLvl w:val="1"/>
    </w:pPr>
    <w:rPr>
      <w:rFonts w:ascii="Arial" w:eastAsiaTheme="majorEastAsia" w:hAnsi="Arial" w:cstheme="majorBidi"/>
      <w:color w:val="2E74B5" w:themeColor="accent1" w:themeShade="BF"/>
      <w:sz w:val="26"/>
      <w:szCs w:val="26"/>
    </w:rPr>
  </w:style>
  <w:style w:type="paragraph" w:styleId="Ttulo3">
    <w:name w:val="heading 3"/>
    <w:basedOn w:val="Normal"/>
    <w:next w:val="Normal"/>
    <w:link w:val="Ttulo3Car"/>
    <w:uiPriority w:val="9"/>
    <w:unhideWhenUsed/>
    <w:qFormat/>
    <w:rsid w:val="00052AB4"/>
    <w:pPr>
      <w:keepNext/>
      <w:keepLines/>
      <w:spacing w:before="40" w:after="240" w:line="360" w:lineRule="auto"/>
      <w:outlineLvl w:val="2"/>
    </w:pPr>
    <w:rPr>
      <w:rFonts w:ascii="Arial" w:eastAsiaTheme="majorEastAsia" w:hAnsi="Arial"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7CC"/>
    <w:pPr>
      <w:ind w:left="720"/>
      <w:contextualSpacing/>
    </w:pPr>
  </w:style>
  <w:style w:type="paragraph" w:styleId="NormalWeb">
    <w:name w:val="Normal (Web)"/>
    <w:basedOn w:val="Normal"/>
    <w:uiPriority w:val="99"/>
    <w:unhideWhenUsed/>
    <w:rsid w:val="00450A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5607C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5607C6"/>
    <w:rPr>
      <w:rFonts w:asciiTheme="majorHAnsi" w:eastAsiaTheme="majorEastAsia" w:hAnsiTheme="majorHAnsi" w:cstheme="majorBidi"/>
      <w:color w:val="323E4F" w:themeColor="text2" w:themeShade="BF"/>
      <w:spacing w:val="5"/>
      <w:kern w:val="28"/>
      <w:sz w:val="52"/>
      <w:szCs w:val="52"/>
    </w:rPr>
  </w:style>
  <w:style w:type="paragraph" w:styleId="Bibliografa">
    <w:name w:val="Bibliography"/>
    <w:basedOn w:val="Normal"/>
    <w:next w:val="Normal"/>
    <w:uiPriority w:val="37"/>
    <w:unhideWhenUsed/>
    <w:rsid w:val="00D949D5"/>
    <w:pPr>
      <w:spacing w:after="0" w:line="480" w:lineRule="auto"/>
      <w:ind w:left="720" w:hanging="720"/>
    </w:pPr>
  </w:style>
  <w:style w:type="table" w:styleId="Tablaconcuadrcula">
    <w:name w:val="Table Grid"/>
    <w:basedOn w:val="Tablanormal"/>
    <w:uiPriority w:val="39"/>
    <w:rsid w:val="00D47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2D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2DD9"/>
    <w:rPr>
      <w:sz w:val="20"/>
      <w:szCs w:val="20"/>
    </w:rPr>
  </w:style>
  <w:style w:type="character" w:styleId="Refdenotaalpie">
    <w:name w:val="footnote reference"/>
    <w:basedOn w:val="Fuentedeprrafopredeter"/>
    <w:uiPriority w:val="99"/>
    <w:semiHidden/>
    <w:unhideWhenUsed/>
    <w:rsid w:val="00872DD9"/>
    <w:rPr>
      <w:vertAlign w:val="superscript"/>
    </w:rPr>
  </w:style>
  <w:style w:type="character" w:styleId="Hipervnculo">
    <w:name w:val="Hyperlink"/>
    <w:basedOn w:val="Fuentedeprrafopredeter"/>
    <w:uiPriority w:val="99"/>
    <w:unhideWhenUsed/>
    <w:rsid w:val="00052AB4"/>
    <w:rPr>
      <w:color w:val="0563C1" w:themeColor="hyperlink"/>
      <w:u w:val="single"/>
    </w:rPr>
  </w:style>
  <w:style w:type="character" w:customStyle="1" w:styleId="Ttulo3Car">
    <w:name w:val="Título 3 Car"/>
    <w:basedOn w:val="Fuentedeprrafopredeter"/>
    <w:link w:val="Ttulo3"/>
    <w:uiPriority w:val="9"/>
    <w:rsid w:val="00052AB4"/>
    <w:rPr>
      <w:rFonts w:ascii="Arial" w:eastAsiaTheme="majorEastAsia" w:hAnsi="Arial" w:cstheme="majorBidi"/>
      <w:color w:val="1F4D78" w:themeColor="accent1" w:themeShade="7F"/>
      <w:sz w:val="24"/>
      <w:szCs w:val="24"/>
    </w:rPr>
  </w:style>
  <w:style w:type="character" w:customStyle="1" w:styleId="Ttulo2Car">
    <w:name w:val="Título 2 Car"/>
    <w:basedOn w:val="Fuentedeprrafopredeter"/>
    <w:link w:val="Ttulo2"/>
    <w:uiPriority w:val="9"/>
    <w:rsid w:val="00052AB4"/>
    <w:rPr>
      <w:rFonts w:ascii="Arial" w:eastAsiaTheme="majorEastAsia" w:hAnsi="Arial" w:cstheme="majorBidi"/>
      <w:color w:val="2E74B5" w:themeColor="accent1" w:themeShade="BF"/>
      <w:sz w:val="26"/>
      <w:szCs w:val="26"/>
    </w:rPr>
  </w:style>
  <w:style w:type="character" w:styleId="Refdenotaalfinal">
    <w:name w:val="endnote reference"/>
    <w:basedOn w:val="Fuentedeprrafopredeter"/>
    <w:uiPriority w:val="99"/>
    <w:semiHidden/>
    <w:unhideWhenUsed/>
    <w:rsid w:val="00523C1D"/>
    <w:rPr>
      <w:vertAlign w:val="superscript"/>
    </w:rPr>
  </w:style>
  <w:style w:type="character" w:styleId="Refdecomentario">
    <w:name w:val="annotation reference"/>
    <w:basedOn w:val="Fuentedeprrafopredeter"/>
    <w:uiPriority w:val="99"/>
    <w:semiHidden/>
    <w:unhideWhenUsed/>
    <w:rsid w:val="00F67B4B"/>
    <w:rPr>
      <w:sz w:val="16"/>
      <w:szCs w:val="16"/>
    </w:rPr>
  </w:style>
  <w:style w:type="paragraph" w:styleId="Textocomentario">
    <w:name w:val="annotation text"/>
    <w:basedOn w:val="Normal"/>
    <w:link w:val="TextocomentarioCar"/>
    <w:uiPriority w:val="99"/>
    <w:unhideWhenUsed/>
    <w:rsid w:val="00F67B4B"/>
    <w:pPr>
      <w:spacing w:line="240" w:lineRule="auto"/>
    </w:pPr>
    <w:rPr>
      <w:sz w:val="20"/>
      <w:szCs w:val="20"/>
    </w:rPr>
  </w:style>
  <w:style w:type="character" w:customStyle="1" w:styleId="TextocomentarioCar">
    <w:name w:val="Texto comentario Car"/>
    <w:basedOn w:val="Fuentedeprrafopredeter"/>
    <w:link w:val="Textocomentario"/>
    <w:uiPriority w:val="99"/>
    <w:rsid w:val="00F67B4B"/>
    <w:rPr>
      <w:sz w:val="20"/>
      <w:szCs w:val="20"/>
    </w:rPr>
  </w:style>
  <w:style w:type="paragraph" w:styleId="Asuntodelcomentario">
    <w:name w:val="annotation subject"/>
    <w:basedOn w:val="Textocomentario"/>
    <w:next w:val="Textocomentario"/>
    <w:link w:val="AsuntodelcomentarioCar"/>
    <w:uiPriority w:val="99"/>
    <w:semiHidden/>
    <w:unhideWhenUsed/>
    <w:rsid w:val="00F67B4B"/>
    <w:rPr>
      <w:b/>
      <w:bCs/>
    </w:rPr>
  </w:style>
  <w:style w:type="character" w:customStyle="1" w:styleId="AsuntodelcomentarioCar">
    <w:name w:val="Asunto del comentario Car"/>
    <w:basedOn w:val="TextocomentarioCar"/>
    <w:link w:val="Asuntodelcomentario"/>
    <w:uiPriority w:val="99"/>
    <w:semiHidden/>
    <w:rsid w:val="00F67B4B"/>
    <w:rPr>
      <w:b/>
      <w:bCs/>
      <w:sz w:val="20"/>
      <w:szCs w:val="20"/>
    </w:rPr>
  </w:style>
  <w:style w:type="paragraph" w:styleId="Textodeglobo">
    <w:name w:val="Balloon Text"/>
    <w:basedOn w:val="Normal"/>
    <w:link w:val="TextodegloboCar"/>
    <w:uiPriority w:val="99"/>
    <w:semiHidden/>
    <w:unhideWhenUsed/>
    <w:rsid w:val="00F67B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B4B"/>
    <w:rPr>
      <w:rFonts w:ascii="Segoe UI" w:hAnsi="Segoe UI" w:cs="Segoe UI"/>
      <w:sz w:val="18"/>
      <w:szCs w:val="18"/>
    </w:rPr>
  </w:style>
  <w:style w:type="paragraph" w:customStyle="1" w:styleId="Default">
    <w:name w:val="Default"/>
    <w:rsid w:val="00C62DFD"/>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951F7B"/>
    <w:pPr>
      <w:spacing w:after="0" w:line="240" w:lineRule="auto"/>
    </w:pPr>
  </w:style>
  <w:style w:type="character" w:styleId="Hipervnculovisitado">
    <w:name w:val="FollowedHyperlink"/>
    <w:basedOn w:val="Fuentedeprrafopredeter"/>
    <w:uiPriority w:val="99"/>
    <w:semiHidden/>
    <w:unhideWhenUsed/>
    <w:rsid w:val="002A1F14"/>
    <w:rPr>
      <w:color w:val="954F72" w:themeColor="followedHyperlink"/>
      <w:u w:val="single"/>
    </w:rPr>
  </w:style>
  <w:style w:type="character" w:customStyle="1" w:styleId="Mencinsinresolver1">
    <w:name w:val="Mención sin resolver1"/>
    <w:basedOn w:val="Fuentedeprrafopredeter"/>
    <w:uiPriority w:val="99"/>
    <w:semiHidden/>
    <w:unhideWhenUsed/>
    <w:rsid w:val="00B61921"/>
    <w:rPr>
      <w:color w:val="605E5C"/>
      <w:shd w:val="clear" w:color="auto" w:fill="E1DFDD"/>
    </w:rPr>
  </w:style>
  <w:style w:type="paragraph" w:styleId="Encabezado">
    <w:name w:val="header"/>
    <w:basedOn w:val="Normal"/>
    <w:link w:val="EncabezadoCar"/>
    <w:uiPriority w:val="99"/>
    <w:unhideWhenUsed/>
    <w:rsid w:val="007F03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039B"/>
  </w:style>
  <w:style w:type="paragraph" w:styleId="Piedepgina">
    <w:name w:val="footer"/>
    <w:basedOn w:val="Normal"/>
    <w:link w:val="PiedepginaCar"/>
    <w:uiPriority w:val="99"/>
    <w:unhideWhenUsed/>
    <w:rsid w:val="007F03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039B"/>
  </w:style>
  <w:style w:type="paragraph" w:styleId="HTMLconformatoprevio">
    <w:name w:val="HTML Preformatted"/>
    <w:basedOn w:val="Normal"/>
    <w:link w:val="HTMLconformatoprevioCar"/>
    <w:uiPriority w:val="99"/>
    <w:unhideWhenUsed/>
    <w:rsid w:val="00145D7F"/>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145D7F"/>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9293">
      <w:bodyDiv w:val="1"/>
      <w:marLeft w:val="0"/>
      <w:marRight w:val="0"/>
      <w:marTop w:val="0"/>
      <w:marBottom w:val="0"/>
      <w:divBdr>
        <w:top w:val="none" w:sz="0" w:space="0" w:color="auto"/>
        <w:left w:val="none" w:sz="0" w:space="0" w:color="auto"/>
        <w:bottom w:val="none" w:sz="0" w:space="0" w:color="auto"/>
        <w:right w:val="none" w:sz="0" w:space="0" w:color="auto"/>
      </w:divBdr>
      <w:divsChild>
        <w:div w:id="148139159">
          <w:marLeft w:val="480"/>
          <w:marRight w:val="0"/>
          <w:marTop w:val="0"/>
          <w:marBottom w:val="0"/>
          <w:divBdr>
            <w:top w:val="none" w:sz="0" w:space="0" w:color="auto"/>
            <w:left w:val="none" w:sz="0" w:space="0" w:color="auto"/>
            <w:bottom w:val="none" w:sz="0" w:space="0" w:color="auto"/>
            <w:right w:val="none" w:sz="0" w:space="0" w:color="auto"/>
          </w:divBdr>
          <w:divsChild>
            <w:div w:id="400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1209">
      <w:bodyDiv w:val="1"/>
      <w:marLeft w:val="0"/>
      <w:marRight w:val="0"/>
      <w:marTop w:val="0"/>
      <w:marBottom w:val="0"/>
      <w:divBdr>
        <w:top w:val="none" w:sz="0" w:space="0" w:color="auto"/>
        <w:left w:val="none" w:sz="0" w:space="0" w:color="auto"/>
        <w:bottom w:val="none" w:sz="0" w:space="0" w:color="auto"/>
        <w:right w:val="none" w:sz="0" w:space="0" w:color="auto"/>
      </w:divBdr>
      <w:divsChild>
        <w:div w:id="1054113324">
          <w:marLeft w:val="480"/>
          <w:marRight w:val="0"/>
          <w:marTop w:val="0"/>
          <w:marBottom w:val="0"/>
          <w:divBdr>
            <w:top w:val="none" w:sz="0" w:space="0" w:color="auto"/>
            <w:left w:val="none" w:sz="0" w:space="0" w:color="auto"/>
            <w:bottom w:val="none" w:sz="0" w:space="0" w:color="auto"/>
            <w:right w:val="none" w:sz="0" w:space="0" w:color="auto"/>
          </w:divBdr>
          <w:divsChild>
            <w:div w:id="20845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355">
      <w:bodyDiv w:val="1"/>
      <w:marLeft w:val="0"/>
      <w:marRight w:val="0"/>
      <w:marTop w:val="0"/>
      <w:marBottom w:val="0"/>
      <w:divBdr>
        <w:top w:val="none" w:sz="0" w:space="0" w:color="auto"/>
        <w:left w:val="none" w:sz="0" w:space="0" w:color="auto"/>
        <w:bottom w:val="none" w:sz="0" w:space="0" w:color="auto"/>
        <w:right w:val="none" w:sz="0" w:space="0" w:color="auto"/>
      </w:divBdr>
      <w:divsChild>
        <w:div w:id="30959702">
          <w:marLeft w:val="446"/>
          <w:marRight w:val="0"/>
          <w:marTop w:val="0"/>
          <w:marBottom w:val="0"/>
          <w:divBdr>
            <w:top w:val="none" w:sz="0" w:space="0" w:color="auto"/>
            <w:left w:val="none" w:sz="0" w:space="0" w:color="auto"/>
            <w:bottom w:val="none" w:sz="0" w:space="0" w:color="auto"/>
            <w:right w:val="none" w:sz="0" w:space="0" w:color="auto"/>
          </w:divBdr>
        </w:div>
        <w:div w:id="2036614720">
          <w:marLeft w:val="446"/>
          <w:marRight w:val="0"/>
          <w:marTop w:val="0"/>
          <w:marBottom w:val="0"/>
          <w:divBdr>
            <w:top w:val="none" w:sz="0" w:space="0" w:color="auto"/>
            <w:left w:val="none" w:sz="0" w:space="0" w:color="auto"/>
            <w:bottom w:val="none" w:sz="0" w:space="0" w:color="auto"/>
            <w:right w:val="none" w:sz="0" w:space="0" w:color="auto"/>
          </w:divBdr>
        </w:div>
        <w:div w:id="283050293">
          <w:marLeft w:val="446"/>
          <w:marRight w:val="0"/>
          <w:marTop w:val="0"/>
          <w:marBottom w:val="0"/>
          <w:divBdr>
            <w:top w:val="none" w:sz="0" w:space="0" w:color="auto"/>
            <w:left w:val="none" w:sz="0" w:space="0" w:color="auto"/>
            <w:bottom w:val="none" w:sz="0" w:space="0" w:color="auto"/>
            <w:right w:val="none" w:sz="0" w:space="0" w:color="auto"/>
          </w:divBdr>
        </w:div>
        <w:div w:id="276987333">
          <w:marLeft w:val="446"/>
          <w:marRight w:val="0"/>
          <w:marTop w:val="0"/>
          <w:marBottom w:val="0"/>
          <w:divBdr>
            <w:top w:val="none" w:sz="0" w:space="0" w:color="auto"/>
            <w:left w:val="none" w:sz="0" w:space="0" w:color="auto"/>
            <w:bottom w:val="none" w:sz="0" w:space="0" w:color="auto"/>
            <w:right w:val="none" w:sz="0" w:space="0" w:color="auto"/>
          </w:divBdr>
        </w:div>
      </w:divsChild>
    </w:div>
    <w:div w:id="295766985">
      <w:bodyDiv w:val="1"/>
      <w:marLeft w:val="0"/>
      <w:marRight w:val="0"/>
      <w:marTop w:val="0"/>
      <w:marBottom w:val="0"/>
      <w:divBdr>
        <w:top w:val="none" w:sz="0" w:space="0" w:color="auto"/>
        <w:left w:val="none" w:sz="0" w:space="0" w:color="auto"/>
        <w:bottom w:val="none" w:sz="0" w:space="0" w:color="auto"/>
        <w:right w:val="none" w:sz="0" w:space="0" w:color="auto"/>
      </w:divBdr>
    </w:div>
    <w:div w:id="306469999">
      <w:bodyDiv w:val="1"/>
      <w:marLeft w:val="0"/>
      <w:marRight w:val="0"/>
      <w:marTop w:val="0"/>
      <w:marBottom w:val="0"/>
      <w:divBdr>
        <w:top w:val="none" w:sz="0" w:space="0" w:color="auto"/>
        <w:left w:val="none" w:sz="0" w:space="0" w:color="auto"/>
        <w:bottom w:val="none" w:sz="0" w:space="0" w:color="auto"/>
        <w:right w:val="none" w:sz="0" w:space="0" w:color="auto"/>
      </w:divBdr>
    </w:div>
    <w:div w:id="536772100">
      <w:bodyDiv w:val="1"/>
      <w:marLeft w:val="0"/>
      <w:marRight w:val="0"/>
      <w:marTop w:val="0"/>
      <w:marBottom w:val="0"/>
      <w:divBdr>
        <w:top w:val="none" w:sz="0" w:space="0" w:color="auto"/>
        <w:left w:val="none" w:sz="0" w:space="0" w:color="auto"/>
        <w:bottom w:val="none" w:sz="0" w:space="0" w:color="auto"/>
        <w:right w:val="none" w:sz="0" w:space="0" w:color="auto"/>
      </w:divBdr>
    </w:div>
    <w:div w:id="743720716">
      <w:bodyDiv w:val="1"/>
      <w:marLeft w:val="0"/>
      <w:marRight w:val="0"/>
      <w:marTop w:val="0"/>
      <w:marBottom w:val="0"/>
      <w:divBdr>
        <w:top w:val="none" w:sz="0" w:space="0" w:color="auto"/>
        <w:left w:val="none" w:sz="0" w:space="0" w:color="auto"/>
        <w:bottom w:val="none" w:sz="0" w:space="0" w:color="auto"/>
        <w:right w:val="none" w:sz="0" w:space="0" w:color="auto"/>
      </w:divBdr>
      <w:divsChild>
        <w:div w:id="1186407237">
          <w:marLeft w:val="480"/>
          <w:marRight w:val="0"/>
          <w:marTop w:val="0"/>
          <w:marBottom w:val="0"/>
          <w:divBdr>
            <w:top w:val="none" w:sz="0" w:space="0" w:color="auto"/>
            <w:left w:val="none" w:sz="0" w:space="0" w:color="auto"/>
            <w:bottom w:val="none" w:sz="0" w:space="0" w:color="auto"/>
            <w:right w:val="none" w:sz="0" w:space="0" w:color="auto"/>
          </w:divBdr>
          <w:divsChild>
            <w:div w:id="5634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864">
      <w:bodyDiv w:val="1"/>
      <w:marLeft w:val="0"/>
      <w:marRight w:val="0"/>
      <w:marTop w:val="0"/>
      <w:marBottom w:val="0"/>
      <w:divBdr>
        <w:top w:val="none" w:sz="0" w:space="0" w:color="auto"/>
        <w:left w:val="none" w:sz="0" w:space="0" w:color="auto"/>
        <w:bottom w:val="none" w:sz="0" w:space="0" w:color="auto"/>
        <w:right w:val="none" w:sz="0" w:space="0" w:color="auto"/>
      </w:divBdr>
      <w:divsChild>
        <w:div w:id="807287797">
          <w:marLeft w:val="480"/>
          <w:marRight w:val="0"/>
          <w:marTop w:val="0"/>
          <w:marBottom w:val="0"/>
          <w:divBdr>
            <w:top w:val="none" w:sz="0" w:space="0" w:color="auto"/>
            <w:left w:val="none" w:sz="0" w:space="0" w:color="auto"/>
            <w:bottom w:val="none" w:sz="0" w:space="0" w:color="auto"/>
            <w:right w:val="none" w:sz="0" w:space="0" w:color="auto"/>
          </w:divBdr>
          <w:divsChild>
            <w:div w:id="4076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5054">
      <w:bodyDiv w:val="1"/>
      <w:marLeft w:val="0"/>
      <w:marRight w:val="0"/>
      <w:marTop w:val="0"/>
      <w:marBottom w:val="0"/>
      <w:divBdr>
        <w:top w:val="none" w:sz="0" w:space="0" w:color="auto"/>
        <w:left w:val="none" w:sz="0" w:space="0" w:color="auto"/>
        <w:bottom w:val="none" w:sz="0" w:space="0" w:color="auto"/>
        <w:right w:val="none" w:sz="0" w:space="0" w:color="auto"/>
      </w:divBdr>
    </w:div>
    <w:div w:id="1090391037">
      <w:bodyDiv w:val="1"/>
      <w:marLeft w:val="0"/>
      <w:marRight w:val="0"/>
      <w:marTop w:val="0"/>
      <w:marBottom w:val="0"/>
      <w:divBdr>
        <w:top w:val="none" w:sz="0" w:space="0" w:color="auto"/>
        <w:left w:val="none" w:sz="0" w:space="0" w:color="auto"/>
        <w:bottom w:val="none" w:sz="0" w:space="0" w:color="auto"/>
        <w:right w:val="none" w:sz="0" w:space="0" w:color="auto"/>
      </w:divBdr>
      <w:divsChild>
        <w:div w:id="193663913">
          <w:marLeft w:val="480"/>
          <w:marRight w:val="0"/>
          <w:marTop w:val="0"/>
          <w:marBottom w:val="0"/>
          <w:divBdr>
            <w:top w:val="none" w:sz="0" w:space="0" w:color="auto"/>
            <w:left w:val="none" w:sz="0" w:space="0" w:color="auto"/>
            <w:bottom w:val="none" w:sz="0" w:space="0" w:color="auto"/>
            <w:right w:val="none" w:sz="0" w:space="0" w:color="auto"/>
          </w:divBdr>
          <w:divsChild>
            <w:div w:id="19555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971">
      <w:bodyDiv w:val="1"/>
      <w:marLeft w:val="0"/>
      <w:marRight w:val="0"/>
      <w:marTop w:val="0"/>
      <w:marBottom w:val="0"/>
      <w:divBdr>
        <w:top w:val="none" w:sz="0" w:space="0" w:color="auto"/>
        <w:left w:val="none" w:sz="0" w:space="0" w:color="auto"/>
        <w:bottom w:val="none" w:sz="0" w:space="0" w:color="auto"/>
        <w:right w:val="none" w:sz="0" w:space="0" w:color="auto"/>
      </w:divBdr>
      <w:divsChild>
        <w:div w:id="1569343538">
          <w:marLeft w:val="480"/>
          <w:marRight w:val="0"/>
          <w:marTop w:val="0"/>
          <w:marBottom w:val="0"/>
          <w:divBdr>
            <w:top w:val="none" w:sz="0" w:space="0" w:color="auto"/>
            <w:left w:val="none" w:sz="0" w:space="0" w:color="auto"/>
            <w:bottom w:val="none" w:sz="0" w:space="0" w:color="auto"/>
            <w:right w:val="none" w:sz="0" w:space="0" w:color="auto"/>
          </w:divBdr>
          <w:divsChild>
            <w:div w:id="682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670">
      <w:bodyDiv w:val="1"/>
      <w:marLeft w:val="0"/>
      <w:marRight w:val="0"/>
      <w:marTop w:val="0"/>
      <w:marBottom w:val="0"/>
      <w:divBdr>
        <w:top w:val="none" w:sz="0" w:space="0" w:color="auto"/>
        <w:left w:val="none" w:sz="0" w:space="0" w:color="auto"/>
        <w:bottom w:val="none" w:sz="0" w:space="0" w:color="auto"/>
        <w:right w:val="none" w:sz="0" w:space="0" w:color="auto"/>
      </w:divBdr>
      <w:divsChild>
        <w:div w:id="2090804255">
          <w:marLeft w:val="480"/>
          <w:marRight w:val="0"/>
          <w:marTop w:val="0"/>
          <w:marBottom w:val="0"/>
          <w:divBdr>
            <w:top w:val="none" w:sz="0" w:space="0" w:color="auto"/>
            <w:left w:val="none" w:sz="0" w:space="0" w:color="auto"/>
            <w:bottom w:val="none" w:sz="0" w:space="0" w:color="auto"/>
            <w:right w:val="none" w:sz="0" w:space="0" w:color="auto"/>
          </w:divBdr>
          <w:divsChild>
            <w:div w:id="17424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401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658">
          <w:marLeft w:val="480"/>
          <w:marRight w:val="0"/>
          <w:marTop w:val="0"/>
          <w:marBottom w:val="0"/>
          <w:divBdr>
            <w:top w:val="none" w:sz="0" w:space="0" w:color="auto"/>
            <w:left w:val="none" w:sz="0" w:space="0" w:color="auto"/>
            <w:bottom w:val="none" w:sz="0" w:space="0" w:color="auto"/>
            <w:right w:val="none" w:sz="0" w:space="0" w:color="auto"/>
          </w:divBdr>
          <w:divsChild>
            <w:div w:id="703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3254">
      <w:bodyDiv w:val="1"/>
      <w:marLeft w:val="0"/>
      <w:marRight w:val="0"/>
      <w:marTop w:val="0"/>
      <w:marBottom w:val="0"/>
      <w:divBdr>
        <w:top w:val="none" w:sz="0" w:space="0" w:color="auto"/>
        <w:left w:val="none" w:sz="0" w:space="0" w:color="auto"/>
        <w:bottom w:val="none" w:sz="0" w:space="0" w:color="auto"/>
        <w:right w:val="none" w:sz="0" w:space="0" w:color="auto"/>
      </w:divBdr>
      <w:divsChild>
        <w:div w:id="862398322">
          <w:marLeft w:val="480"/>
          <w:marRight w:val="0"/>
          <w:marTop w:val="0"/>
          <w:marBottom w:val="0"/>
          <w:divBdr>
            <w:top w:val="none" w:sz="0" w:space="0" w:color="auto"/>
            <w:left w:val="none" w:sz="0" w:space="0" w:color="auto"/>
            <w:bottom w:val="none" w:sz="0" w:space="0" w:color="auto"/>
            <w:right w:val="none" w:sz="0" w:space="0" w:color="auto"/>
          </w:divBdr>
          <w:divsChild>
            <w:div w:id="4495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1074">
      <w:bodyDiv w:val="1"/>
      <w:marLeft w:val="0"/>
      <w:marRight w:val="0"/>
      <w:marTop w:val="0"/>
      <w:marBottom w:val="0"/>
      <w:divBdr>
        <w:top w:val="none" w:sz="0" w:space="0" w:color="auto"/>
        <w:left w:val="none" w:sz="0" w:space="0" w:color="auto"/>
        <w:bottom w:val="none" w:sz="0" w:space="0" w:color="auto"/>
        <w:right w:val="none" w:sz="0" w:space="0" w:color="auto"/>
      </w:divBdr>
      <w:divsChild>
        <w:div w:id="1178350281">
          <w:marLeft w:val="480"/>
          <w:marRight w:val="0"/>
          <w:marTop w:val="0"/>
          <w:marBottom w:val="0"/>
          <w:divBdr>
            <w:top w:val="none" w:sz="0" w:space="0" w:color="auto"/>
            <w:left w:val="none" w:sz="0" w:space="0" w:color="auto"/>
            <w:bottom w:val="none" w:sz="0" w:space="0" w:color="auto"/>
            <w:right w:val="none" w:sz="0" w:space="0" w:color="auto"/>
          </w:divBdr>
          <w:divsChild>
            <w:div w:id="2714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3935">
      <w:bodyDiv w:val="1"/>
      <w:marLeft w:val="0"/>
      <w:marRight w:val="0"/>
      <w:marTop w:val="0"/>
      <w:marBottom w:val="0"/>
      <w:divBdr>
        <w:top w:val="none" w:sz="0" w:space="0" w:color="auto"/>
        <w:left w:val="none" w:sz="0" w:space="0" w:color="auto"/>
        <w:bottom w:val="none" w:sz="0" w:space="0" w:color="auto"/>
        <w:right w:val="none" w:sz="0" w:space="0" w:color="auto"/>
      </w:divBdr>
    </w:div>
    <w:div w:id="2053578851">
      <w:bodyDiv w:val="1"/>
      <w:marLeft w:val="0"/>
      <w:marRight w:val="0"/>
      <w:marTop w:val="0"/>
      <w:marBottom w:val="0"/>
      <w:divBdr>
        <w:top w:val="none" w:sz="0" w:space="0" w:color="auto"/>
        <w:left w:val="none" w:sz="0" w:space="0" w:color="auto"/>
        <w:bottom w:val="none" w:sz="0" w:space="0" w:color="auto"/>
        <w:right w:val="none" w:sz="0" w:space="0" w:color="auto"/>
      </w:divBdr>
    </w:div>
    <w:div w:id="2094661662">
      <w:bodyDiv w:val="1"/>
      <w:marLeft w:val="0"/>
      <w:marRight w:val="0"/>
      <w:marTop w:val="0"/>
      <w:marBottom w:val="0"/>
      <w:divBdr>
        <w:top w:val="none" w:sz="0" w:space="0" w:color="auto"/>
        <w:left w:val="none" w:sz="0" w:space="0" w:color="auto"/>
        <w:bottom w:val="none" w:sz="0" w:space="0" w:color="auto"/>
        <w:right w:val="none" w:sz="0" w:space="0" w:color="auto"/>
      </w:divBdr>
      <w:divsChild>
        <w:div w:id="1416433361">
          <w:marLeft w:val="480"/>
          <w:marRight w:val="0"/>
          <w:marTop w:val="0"/>
          <w:marBottom w:val="0"/>
          <w:divBdr>
            <w:top w:val="none" w:sz="0" w:space="0" w:color="auto"/>
            <w:left w:val="none" w:sz="0" w:space="0" w:color="auto"/>
            <w:bottom w:val="none" w:sz="0" w:space="0" w:color="auto"/>
            <w:right w:val="none" w:sz="0" w:space="0" w:color="auto"/>
          </w:divBdr>
          <w:divsChild>
            <w:div w:id="15368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01/iisue.20072872e.2020.30.5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46380/rias.vol4.e15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07CA-DD15-497C-92B5-01135309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7078</Words>
  <Characters>38929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2022-03-17T00:19:00Z</dcterms:created>
  <dcterms:modified xsi:type="dcterms:W3CDTF">2022-03-17T20:36:00Z</dcterms:modified>
</cp:coreProperties>
</file>