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FD16D" w14:textId="4270812F" w:rsidR="00610B97" w:rsidRDefault="00610B97" w:rsidP="002363C6">
      <w:pPr>
        <w:spacing w:after="0" w:line="240" w:lineRule="auto"/>
        <w:jc w:val="right"/>
        <w:rPr>
          <w:rFonts w:ascii="Calibri" w:eastAsia="Times New Roman" w:hAnsi="Calibri" w:cs="Calibri"/>
          <w:color w:val="7030A0"/>
          <w:sz w:val="36"/>
          <w:szCs w:val="36"/>
          <w:shd w:val="solid" w:color="FFFFFF" w:fill="auto"/>
          <w:lang w:eastAsia="ru-RU"/>
        </w:rPr>
      </w:pPr>
      <w:r w:rsidRPr="002363C6">
        <w:rPr>
          <w:rFonts w:ascii="Calibri" w:eastAsia="Times New Roman" w:hAnsi="Calibri" w:cs="Calibri"/>
          <w:color w:val="7030A0"/>
          <w:sz w:val="36"/>
          <w:szCs w:val="36"/>
          <w:shd w:val="solid" w:color="FFFFFF" w:fill="auto"/>
          <w:lang w:eastAsia="ru-RU"/>
        </w:rPr>
        <w:t>Planeación, seguimiento y evaluación de indicadores de calidad educativa: el caso de dos programas en la Universidad Autónoma de Sinaloa</w:t>
      </w:r>
    </w:p>
    <w:p w14:paraId="51E7D2B9" w14:textId="77777777" w:rsidR="00765718" w:rsidRDefault="00765718" w:rsidP="002363C6">
      <w:pPr>
        <w:spacing w:after="0" w:line="240" w:lineRule="auto"/>
        <w:jc w:val="right"/>
        <w:rPr>
          <w:rFonts w:ascii="Calibri" w:eastAsia="Times New Roman" w:hAnsi="Calibri" w:cs="Calibri"/>
          <w:color w:val="7030A0"/>
          <w:sz w:val="36"/>
          <w:szCs w:val="36"/>
          <w:shd w:val="solid" w:color="FFFFFF" w:fill="auto"/>
          <w:lang w:eastAsia="ru-RU"/>
        </w:rPr>
      </w:pPr>
    </w:p>
    <w:p w14:paraId="458BE95F" w14:textId="495AD2E8" w:rsidR="00765718" w:rsidRPr="00765718" w:rsidRDefault="00765718" w:rsidP="002363C6">
      <w:pPr>
        <w:spacing w:after="0" w:line="240" w:lineRule="auto"/>
        <w:jc w:val="right"/>
        <w:rPr>
          <w:rFonts w:ascii="Calibri" w:eastAsia="Times New Roman" w:hAnsi="Calibri" w:cs="Calibri"/>
          <w:i/>
          <w:color w:val="7030A0"/>
          <w:sz w:val="28"/>
          <w:szCs w:val="36"/>
          <w:shd w:val="solid" w:color="FFFFFF" w:fill="auto"/>
          <w:lang w:eastAsia="ru-RU"/>
        </w:rPr>
      </w:pPr>
      <w:proofErr w:type="spellStart"/>
      <w:r w:rsidRPr="00765718">
        <w:rPr>
          <w:rFonts w:ascii="Calibri" w:eastAsia="Times New Roman" w:hAnsi="Calibri" w:cs="Calibri"/>
          <w:i/>
          <w:color w:val="7030A0"/>
          <w:sz w:val="28"/>
          <w:szCs w:val="36"/>
          <w:shd w:val="solid" w:color="FFFFFF" w:fill="auto"/>
          <w:lang w:eastAsia="ru-RU"/>
        </w:rPr>
        <w:t>Planning</w:t>
      </w:r>
      <w:proofErr w:type="spellEnd"/>
      <w:r w:rsidRPr="00765718">
        <w:rPr>
          <w:rFonts w:ascii="Calibri" w:eastAsia="Times New Roman" w:hAnsi="Calibri" w:cs="Calibri"/>
          <w:i/>
          <w:color w:val="7030A0"/>
          <w:sz w:val="28"/>
          <w:szCs w:val="36"/>
          <w:shd w:val="solid" w:color="FFFFFF" w:fill="auto"/>
          <w:lang w:eastAsia="ru-RU"/>
        </w:rPr>
        <w:t xml:space="preserve">, </w:t>
      </w:r>
      <w:proofErr w:type="spellStart"/>
      <w:r w:rsidRPr="00765718">
        <w:rPr>
          <w:rFonts w:ascii="Calibri" w:eastAsia="Times New Roman" w:hAnsi="Calibri" w:cs="Calibri"/>
          <w:i/>
          <w:color w:val="7030A0"/>
          <w:sz w:val="28"/>
          <w:szCs w:val="36"/>
          <w:shd w:val="solid" w:color="FFFFFF" w:fill="auto"/>
          <w:lang w:eastAsia="ru-RU"/>
        </w:rPr>
        <w:t>monitoring</w:t>
      </w:r>
      <w:proofErr w:type="spellEnd"/>
      <w:r w:rsidRPr="00765718">
        <w:rPr>
          <w:rFonts w:ascii="Calibri" w:eastAsia="Times New Roman" w:hAnsi="Calibri" w:cs="Calibri"/>
          <w:i/>
          <w:color w:val="7030A0"/>
          <w:sz w:val="28"/>
          <w:szCs w:val="36"/>
          <w:shd w:val="solid" w:color="FFFFFF" w:fill="auto"/>
          <w:lang w:eastAsia="ru-RU"/>
        </w:rPr>
        <w:t xml:space="preserve"> and </w:t>
      </w:r>
      <w:proofErr w:type="spellStart"/>
      <w:r w:rsidRPr="00765718">
        <w:rPr>
          <w:rFonts w:ascii="Calibri" w:eastAsia="Times New Roman" w:hAnsi="Calibri" w:cs="Calibri"/>
          <w:i/>
          <w:color w:val="7030A0"/>
          <w:sz w:val="28"/>
          <w:szCs w:val="36"/>
          <w:shd w:val="solid" w:color="FFFFFF" w:fill="auto"/>
          <w:lang w:eastAsia="ru-RU"/>
        </w:rPr>
        <w:t>evaluation</w:t>
      </w:r>
      <w:proofErr w:type="spellEnd"/>
      <w:r w:rsidRPr="00765718">
        <w:rPr>
          <w:rFonts w:ascii="Calibri" w:eastAsia="Times New Roman" w:hAnsi="Calibri" w:cs="Calibri"/>
          <w:i/>
          <w:color w:val="7030A0"/>
          <w:sz w:val="28"/>
          <w:szCs w:val="36"/>
          <w:shd w:val="solid" w:color="FFFFFF" w:fill="auto"/>
          <w:lang w:eastAsia="ru-RU"/>
        </w:rPr>
        <w:t xml:space="preserve"> of </w:t>
      </w:r>
      <w:proofErr w:type="spellStart"/>
      <w:r w:rsidRPr="00765718">
        <w:rPr>
          <w:rFonts w:ascii="Calibri" w:eastAsia="Times New Roman" w:hAnsi="Calibri" w:cs="Calibri"/>
          <w:i/>
          <w:color w:val="7030A0"/>
          <w:sz w:val="28"/>
          <w:szCs w:val="36"/>
          <w:shd w:val="solid" w:color="FFFFFF" w:fill="auto"/>
          <w:lang w:eastAsia="ru-RU"/>
        </w:rPr>
        <w:t>educational</w:t>
      </w:r>
      <w:proofErr w:type="spellEnd"/>
      <w:r w:rsidRPr="00765718">
        <w:rPr>
          <w:rFonts w:ascii="Calibri" w:eastAsia="Times New Roman" w:hAnsi="Calibri" w:cs="Calibri"/>
          <w:i/>
          <w:color w:val="7030A0"/>
          <w:sz w:val="28"/>
          <w:szCs w:val="36"/>
          <w:shd w:val="solid" w:color="FFFFFF" w:fill="auto"/>
          <w:lang w:eastAsia="ru-RU"/>
        </w:rPr>
        <w:t xml:space="preserve"> </w:t>
      </w:r>
      <w:proofErr w:type="spellStart"/>
      <w:r w:rsidRPr="00765718">
        <w:rPr>
          <w:rFonts w:ascii="Calibri" w:eastAsia="Times New Roman" w:hAnsi="Calibri" w:cs="Calibri"/>
          <w:i/>
          <w:color w:val="7030A0"/>
          <w:sz w:val="28"/>
          <w:szCs w:val="36"/>
          <w:shd w:val="solid" w:color="FFFFFF" w:fill="auto"/>
          <w:lang w:eastAsia="ru-RU"/>
        </w:rPr>
        <w:t>quality</w:t>
      </w:r>
      <w:proofErr w:type="spellEnd"/>
      <w:r w:rsidRPr="00765718">
        <w:rPr>
          <w:rFonts w:ascii="Calibri" w:eastAsia="Times New Roman" w:hAnsi="Calibri" w:cs="Calibri"/>
          <w:i/>
          <w:color w:val="7030A0"/>
          <w:sz w:val="28"/>
          <w:szCs w:val="36"/>
          <w:shd w:val="solid" w:color="FFFFFF" w:fill="auto"/>
          <w:lang w:eastAsia="ru-RU"/>
        </w:rPr>
        <w:t xml:space="preserve"> </w:t>
      </w:r>
      <w:proofErr w:type="spellStart"/>
      <w:r w:rsidRPr="00765718">
        <w:rPr>
          <w:rFonts w:ascii="Calibri" w:eastAsia="Times New Roman" w:hAnsi="Calibri" w:cs="Calibri"/>
          <w:i/>
          <w:color w:val="7030A0"/>
          <w:sz w:val="28"/>
          <w:szCs w:val="36"/>
          <w:shd w:val="solid" w:color="FFFFFF" w:fill="auto"/>
          <w:lang w:eastAsia="ru-RU"/>
        </w:rPr>
        <w:t>indicators</w:t>
      </w:r>
      <w:proofErr w:type="spellEnd"/>
      <w:r w:rsidRPr="00765718">
        <w:rPr>
          <w:rFonts w:ascii="Calibri" w:eastAsia="Times New Roman" w:hAnsi="Calibri" w:cs="Calibri"/>
          <w:i/>
          <w:color w:val="7030A0"/>
          <w:sz w:val="28"/>
          <w:szCs w:val="36"/>
          <w:shd w:val="solid" w:color="FFFFFF" w:fill="auto"/>
          <w:lang w:eastAsia="ru-RU"/>
        </w:rPr>
        <w:t xml:space="preserve">: </w:t>
      </w:r>
      <w:proofErr w:type="spellStart"/>
      <w:r w:rsidRPr="00765718">
        <w:rPr>
          <w:rFonts w:ascii="Calibri" w:eastAsia="Times New Roman" w:hAnsi="Calibri" w:cs="Calibri"/>
          <w:i/>
          <w:color w:val="7030A0"/>
          <w:sz w:val="28"/>
          <w:szCs w:val="36"/>
          <w:shd w:val="solid" w:color="FFFFFF" w:fill="auto"/>
          <w:lang w:eastAsia="ru-RU"/>
        </w:rPr>
        <w:t>the</w:t>
      </w:r>
      <w:proofErr w:type="spellEnd"/>
      <w:r w:rsidRPr="00765718">
        <w:rPr>
          <w:rFonts w:ascii="Calibri" w:eastAsia="Times New Roman" w:hAnsi="Calibri" w:cs="Calibri"/>
          <w:i/>
          <w:color w:val="7030A0"/>
          <w:sz w:val="28"/>
          <w:szCs w:val="36"/>
          <w:shd w:val="solid" w:color="FFFFFF" w:fill="auto"/>
          <w:lang w:eastAsia="ru-RU"/>
        </w:rPr>
        <w:t xml:space="preserve"> case of </w:t>
      </w:r>
      <w:proofErr w:type="spellStart"/>
      <w:r w:rsidRPr="00765718">
        <w:rPr>
          <w:rFonts w:ascii="Calibri" w:eastAsia="Times New Roman" w:hAnsi="Calibri" w:cs="Calibri"/>
          <w:i/>
          <w:color w:val="7030A0"/>
          <w:sz w:val="28"/>
          <w:szCs w:val="36"/>
          <w:shd w:val="solid" w:color="FFFFFF" w:fill="auto"/>
          <w:lang w:eastAsia="ru-RU"/>
        </w:rPr>
        <w:t>two</w:t>
      </w:r>
      <w:proofErr w:type="spellEnd"/>
      <w:r w:rsidRPr="00765718">
        <w:rPr>
          <w:rFonts w:ascii="Calibri" w:eastAsia="Times New Roman" w:hAnsi="Calibri" w:cs="Calibri"/>
          <w:i/>
          <w:color w:val="7030A0"/>
          <w:sz w:val="28"/>
          <w:szCs w:val="36"/>
          <w:shd w:val="solid" w:color="FFFFFF" w:fill="auto"/>
          <w:lang w:eastAsia="ru-RU"/>
        </w:rPr>
        <w:t xml:space="preserve"> </w:t>
      </w:r>
      <w:proofErr w:type="spellStart"/>
      <w:r w:rsidRPr="00765718">
        <w:rPr>
          <w:rFonts w:ascii="Calibri" w:eastAsia="Times New Roman" w:hAnsi="Calibri" w:cs="Calibri"/>
          <w:i/>
          <w:color w:val="7030A0"/>
          <w:sz w:val="28"/>
          <w:szCs w:val="36"/>
          <w:shd w:val="solid" w:color="FFFFFF" w:fill="auto"/>
          <w:lang w:eastAsia="ru-RU"/>
        </w:rPr>
        <w:t>programs</w:t>
      </w:r>
      <w:proofErr w:type="spellEnd"/>
      <w:r w:rsidRPr="00765718">
        <w:rPr>
          <w:rFonts w:ascii="Calibri" w:eastAsia="Times New Roman" w:hAnsi="Calibri" w:cs="Calibri"/>
          <w:i/>
          <w:color w:val="7030A0"/>
          <w:sz w:val="28"/>
          <w:szCs w:val="36"/>
          <w:shd w:val="solid" w:color="FFFFFF" w:fill="auto"/>
          <w:lang w:eastAsia="ru-RU"/>
        </w:rPr>
        <w:t xml:space="preserve"> at </w:t>
      </w:r>
      <w:proofErr w:type="spellStart"/>
      <w:r w:rsidRPr="00765718">
        <w:rPr>
          <w:rFonts w:ascii="Calibri" w:eastAsia="Times New Roman" w:hAnsi="Calibri" w:cs="Calibri"/>
          <w:i/>
          <w:color w:val="7030A0"/>
          <w:sz w:val="28"/>
          <w:szCs w:val="36"/>
          <w:shd w:val="solid" w:color="FFFFFF" w:fill="auto"/>
          <w:lang w:eastAsia="ru-RU"/>
        </w:rPr>
        <w:t>the</w:t>
      </w:r>
      <w:proofErr w:type="spellEnd"/>
      <w:r w:rsidRPr="00765718">
        <w:rPr>
          <w:rFonts w:ascii="Calibri" w:eastAsia="Times New Roman" w:hAnsi="Calibri" w:cs="Calibri"/>
          <w:i/>
          <w:color w:val="7030A0"/>
          <w:sz w:val="28"/>
          <w:szCs w:val="36"/>
          <w:shd w:val="solid" w:color="FFFFFF" w:fill="auto"/>
          <w:lang w:eastAsia="ru-RU"/>
        </w:rPr>
        <w:t xml:space="preserve"> </w:t>
      </w:r>
      <w:proofErr w:type="spellStart"/>
      <w:r w:rsidRPr="00765718">
        <w:rPr>
          <w:rFonts w:ascii="Calibri" w:eastAsia="Times New Roman" w:hAnsi="Calibri" w:cs="Calibri"/>
          <w:i/>
          <w:color w:val="7030A0"/>
          <w:sz w:val="28"/>
          <w:szCs w:val="36"/>
          <w:shd w:val="solid" w:color="FFFFFF" w:fill="auto"/>
          <w:lang w:eastAsia="ru-RU"/>
        </w:rPr>
        <w:t>Autonomous</w:t>
      </w:r>
      <w:proofErr w:type="spellEnd"/>
      <w:r w:rsidRPr="00765718">
        <w:rPr>
          <w:rFonts w:ascii="Calibri" w:eastAsia="Times New Roman" w:hAnsi="Calibri" w:cs="Calibri"/>
          <w:i/>
          <w:color w:val="7030A0"/>
          <w:sz w:val="28"/>
          <w:szCs w:val="36"/>
          <w:shd w:val="solid" w:color="FFFFFF" w:fill="auto"/>
          <w:lang w:eastAsia="ru-RU"/>
        </w:rPr>
        <w:t xml:space="preserve"> </w:t>
      </w:r>
      <w:proofErr w:type="spellStart"/>
      <w:r w:rsidRPr="00765718">
        <w:rPr>
          <w:rFonts w:ascii="Calibri" w:eastAsia="Times New Roman" w:hAnsi="Calibri" w:cs="Calibri"/>
          <w:i/>
          <w:color w:val="7030A0"/>
          <w:sz w:val="28"/>
          <w:szCs w:val="36"/>
          <w:shd w:val="solid" w:color="FFFFFF" w:fill="auto"/>
          <w:lang w:eastAsia="ru-RU"/>
        </w:rPr>
        <w:t>University</w:t>
      </w:r>
      <w:proofErr w:type="spellEnd"/>
      <w:r w:rsidRPr="00765718">
        <w:rPr>
          <w:rFonts w:ascii="Calibri" w:eastAsia="Times New Roman" w:hAnsi="Calibri" w:cs="Calibri"/>
          <w:i/>
          <w:color w:val="7030A0"/>
          <w:sz w:val="28"/>
          <w:szCs w:val="36"/>
          <w:shd w:val="solid" w:color="FFFFFF" w:fill="auto"/>
          <w:lang w:eastAsia="ru-RU"/>
        </w:rPr>
        <w:t xml:space="preserve"> of Sinaloa</w:t>
      </w:r>
    </w:p>
    <w:p w14:paraId="377EAB60" w14:textId="77777777" w:rsidR="002363C6" w:rsidRPr="002363C6" w:rsidRDefault="002363C6" w:rsidP="002363C6">
      <w:pPr>
        <w:spacing w:after="0" w:line="240" w:lineRule="auto"/>
        <w:jc w:val="right"/>
        <w:rPr>
          <w:rFonts w:ascii="Calibri" w:eastAsia="Times New Roman" w:hAnsi="Calibri" w:cs="Calibri"/>
          <w:color w:val="7030A0"/>
          <w:sz w:val="36"/>
          <w:szCs w:val="36"/>
          <w:shd w:val="solid" w:color="FFFFFF" w:fill="auto"/>
          <w:lang w:eastAsia="ru-RU"/>
        </w:rPr>
      </w:pPr>
    </w:p>
    <w:p w14:paraId="2ED34FB9" w14:textId="11814B75" w:rsidR="005124C8" w:rsidRPr="008C03A4" w:rsidRDefault="005124C8" w:rsidP="006C52E4">
      <w:pPr>
        <w:spacing w:after="0"/>
        <w:jc w:val="right"/>
        <w:rPr>
          <w:rFonts w:ascii="Times New Roman" w:hAnsi="Times New Roman" w:cs="Times New Roman"/>
          <w:sz w:val="20"/>
          <w:szCs w:val="20"/>
        </w:rPr>
      </w:pPr>
      <w:r w:rsidRPr="002363C6">
        <w:rPr>
          <w:rFonts w:ascii="Calibri" w:eastAsia="Calibri" w:hAnsi="Calibri" w:cs="Calibri"/>
          <w:b/>
          <w:sz w:val="24"/>
          <w:szCs w:val="24"/>
          <w:lang w:val="es-ES"/>
        </w:rPr>
        <w:t>Manuel Rodolfo Romero López</w:t>
      </w:r>
    </w:p>
    <w:p w14:paraId="7BA63868" w14:textId="77777777" w:rsidR="005124C8" w:rsidRPr="002363C6" w:rsidRDefault="005124C8" w:rsidP="006C52E4">
      <w:pPr>
        <w:spacing w:after="0"/>
        <w:jc w:val="right"/>
        <w:rPr>
          <w:rFonts w:ascii="Times New Roman" w:eastAsia="Times New Roman" w:hAnsi="Times New Roman" w:cs="Times New Roman"/>
          <w:sz w:val="24"/>
          <w:szCs w:val="24"/>
          <w:lang w:val="es-ES" w:eastAsia="es-ES"/>
        </w:rPr>
      </w:pPr>
      <w:r w:rsidRPr="002363C6">
        <w:rPr>
          <w:rFonts w:ascii="Times New Roman" w:eastAsia="Times New Roman" w:hAnsi="Times New Roman" w:cs="Times New Roman"/>
          <w:sz w:val="24"/>
          <w:szCs w:val="24"/>
          <w:lang w:val="es-ES" w:eastAsia="es-ES"/>
        </w:rPr>
        <w:t>Universidad Autónoma de Sinaloa</w:t>
      </w:r>
    </w:p>
    <w:p w14:paraId="32CEE392" w14:textId="77777777" w:rsidR="005124C8" w:rsidRPr="002363C6" w:rsidRDefault="00203CB0" w:rsidP="006C52E4">
      <w:pPr>
        <w:spacing w:after="0"/>
        <w:jc w:val="right"/>
        <w:rPr>
          <w:rStyle w:val="Hipervnculo"/>
          <w:rFonts w:ascii="Calibri" w:hAnsi="Calibri" w:cs="Calibri"/>
          <w:color w:val="FF0000"/>
          <w:u w:val="none"/>
        </w:rPr>
      </w:pPr>
      <w:hyperlink r:id="rId9" w:history="1">
        <w:r w:rsidR="005124C8" w:rsidRPr="002363C6">
          <w:rPr>
            <w:rStyle w:val="Hipervnculo"/>
            <w:rFonts w:ascii="Calibri" w:hAnsi="Calibri" w:cs="Calibri"/>
            <w:color w:val="FF0000"/>
            <w:u w:val="none"/>
          </w:rPr>
          <w:t>mrodolfo@uas.edu.mx</w:t>
        </w:r>
      </w:hyperlink>
    </w:p>
    <w:p w14:paraId="45FD2032" w14:textId="77777777" w:rsidR="005124C8" w:rsidRPr="006C52E4" w:rsidRDefault="005124C8" w:rsidP="006C52E4">
      <w:pPr>
        <w:spacing w:after="0" w:line="360" w:lineRule="auto"/>
        <w:jc w:val="right"/>
        <w:rPr>
          <w:rFonts w:ascii="Times New Roman" w:hAnsi="Times New Roman" w:cs="Times New Roman"/>
          <w:sz w:val="24"/>
          <w:szCs w:val="24"/>
        </w:rPr>
      </w:pPr>
    </w:p>
    <w:p w14:paraId="5578D8BF" w14:textId="77777777" w:rsidR="002363C6" w:rsidRDefault="002363C6" w:rsidP="002363C6">
      <w:pPr>
        <w:spacing w:after="0" w:line="480" w:lineRule="auto"/>
        <w:contextualSpacing/>
        <w:rPr>
          <w:rFonts w:ascii="Calibri" w:eastAsiaTheme="minorEastAsia" w:hAnsi="Calibri" w:cs="Calibri"/>
          <w:color w:val="7030A0"/>
          <w:sz w:val="28"/>
          <w:szCs w:val="28"/>
          <w:lang w:val="es-ES_tradnl"/>
        </w:rPr>
      </w:pPr>
    </w:p>
    <w:p w14:paraId="504F98BE" w14:textId="77777777" w:rsidR="00160DD0" w:rsidRPr="002363C6" w:rsidRDefault="00160DD0" w:rsidP="002363C6">
      <w:pPr>
        <w:spacing w:after="0" w:line="480" w:lineRule="auto"/>
        <w:contextualSpacing/>
        <w:rPr>
          <w:rFonts w:ascii="Calibri" w:eastAsiaTheme="minorEastAsia" w:hAnsi="Calibri" w:cs="Calibri"/>
          <w:color w:val="7030A0"/>
          <w:sz w:val="28"/>
          <w:szCs w:val="28"/>
          <w:lang w:val="es-ES_tradnl"/>
        </w:rPr>
      </w:pPr>
      <w:r w:rsidRPr="002363C6">
        <w:rPr>
          <w:rFonts w:ascii="Calibri" w:eastAsiaTheme="minorEastAsia" w:hAnsi="Calibri" w:cs="Calibri"/>
          <w:color w:val="7030A0"/>
          <w:sz w:val="28"/>
          <w:szCs w:val="28"/>
          <w:lang w:val="es-ES_tradnl"/>
        </w:rPr>
        <w:t>Resumen</w:t>
      </w:r>
    </w:p>
    <w:p w14:paraId="18A399ED" w14:textId="2D7843EE" w:rsidR="00160DD0" w:rsidRDefault="00160DD0" w:rsidP="002363C6">
      <w:pPr>
        <w:spacing w:line="360" w:lineRule="auto"/>
        <w:jc w:val="both"/>
        <w:rPr>
          <w:rFonts w:ascii="Times New Roman" w:hAnsi="Times New Roman" w:cs="Times New Roman"/>
          <w:sz w:val="24"/>
          <w:szCs w:val="24"/>
        </w:rPr>
      </w:pPr>
      <w:r w:rsidRPr="00FA0197">
        <w:rPr>
          <w:rFonts w:ascii="Times New Roman" w:hAnsi="Times New Roman" w:cs="Times New Roman"/>
          <w:sz w:val="24"/>
          <w:szCs w:val="24"/>
        </w:rPr>
        <w:t xml:space="preserve">El presente artículo analiza los indicadores de calidad educativa en dos programas de licenciatura de reciente creación en la Facultad de Arquitectura de la Universidad Autónoma de Sinaloa. La deserción escolar, el rendimiento académico, el desempeño docente y la atención institucional son indicadores que determinan, en parte, la calidad de los programas educativos. El diseño curricular de esta oferta educativa y la planeación de los cursos son producto de un proceso de análisis colectivo de la planta de profesores. Al concluir los dos primeros semestres la deserción escolar en la carrera de Diseño de Interiores y Ambientación es 33% y en la de Diseño Urbano y del Paisaje es de 14%. </w:t>
      </w:r>
      <w:r w:rsidR="00884076">
        <w:rPr>
          <w:rFonts w:ascii="Times New Roman" w:hAnsi="Times New Roman" w:cs="Times New Roman"/>
          <w:sz w:val="24"/>
          <w:szCs w:val="24"/>
        </w:rPr>
        <w:t>Se encuentra bajo</w:t>
      </w:r>
      <w:r w:rsidRPr="00FA0197">
        <w:rPr>
          <w:rFonts w:ascii="Times New Roman" w:hAnsi="Times New Roman" w:cs="Times New Roman"/>
          <w:sz w:val="24"/>
          <w:szCs w:val="24"/>
        </w:rPr>
        <w:t xml:space="preserve"> rendimiento académico en </w:t>
      </w:r>
      <w:r w:rsidR="00BD4DC6" w:rsidRPr="00FA0197">
        <w:rPr>
          <w:rFonts w:ascii="Times New Roman" w:hAnsi="Times New Roman" w:cs="Times New Roman"/>
          <w:sz w:val="24"/>
          <w:szCs w:val="24"/>
        </w:rPr>
        <w:t xml:space="preserve">la cohorte 2013-2018 de Diseño de Interiores y Ambientación </w:t>
      </w:r>
      <w:r w:rsidR="00884076">
        <w:rPr>
          <w:rFonts w:ascii="Times New Roman" w:hAnsi="Times New Roman" w:cs="Times New Roman"/>
          <w:sz w:val="24"/>
          <w:szCs w:val="24"/>
        </w:rPr>
        <w:t>y, en</w:t>
      </w:r>
      <w:r w:rsidR="00BD4DC6" w:rsidRPr="00FA0197">
        <w:rPr>
          <w:rFonts w:ascii="Times New Roman" w:hAnsi="Times New Roman" w:cs="Times New Roman"/>
          <w:sz w:val="24"/>
          <w:szCs w:val="24"/>
        </w:rPr>
        <w:t xml:space="preserve"> de la cohorte 2013-2018 de Diseño Urbano y del Paisaje </w:t>
      </w:r>
      <w:r w:rsidR="00884076">
        <w:rPr>
          <w:rFonts w:ascii="Times New Roman" w:hAnsi="Times New Roman" w:cs="Times New Roman"/>
          <w:sz w:val="24"/>
          <w:szCs w:val="24"/>
        </w:rPr>
        <w:t>bajo y medio rendimiento en el primero y segundo periodo</w:t>
      </w:r>
      <w:r w:rsidR="00BD4DC6" w:rsidRPr="00FA0197">
        <w:rPr>
          <w:rFonts w:ascii="Times New Roman" w:hAnsi="Times New Roman" w:cs="Times New Roman"/>
          <w:sz w:val="24"/>
          <w:szCs w:val="24"/>
        </w:rPr>
        <w:t xml:space="preserve"> respectivamente. </w:t>
      </w:r>
      <w:r w:rsidR="00884076">
        <w:rPr>
          <w:rFonts w:ascii="Times New Roman" w:hAnsi="Times New Roman" w:cs="Times New Roman"/>
          <w:sz w:val="24"/>
          <w:szCs w:val="24"/>
        </w:rPr>
        <w:t xml:space="preserve">Existe muy baja y baja correlación entre rendimiento académico, desempeño y antigüedad docente. En el caso de la antigüedad y el desempeño docente </w:t>
      </w:r>
      <w:r w:rsidR="00CC1D2B">
        <w:rPr>
          <w:rFonts w:ascii="Times New Roman" w:hAnsi="Times New Roman" w:cs="Times New Roman"/>
          <w:sz w:val="24"/>
          <w:szCs w:val="24"/>
        </w:rPr>
        <w:t>se detecta tendencia a una correlación negativa.</w:t>
      </w:r>
    </w:p>
    <w:p w14:paraId="742CF755" w14:textId="401FE195" w:rsidR="002363C6" w:rsidRPr="002363C6" w:rsidRDefault="002363C6" w:rsidP="002363C6">
      <w:pPr>
        <w:spacing w:line="360" w:lineRule="auto"/>
        <w:jc w:val="both"/>
        <w:rPr>
          <w:rFonts w:ascii="Calibri" w:eastAsiaTheme="minorEastAsia" w:hAnsi="Calibri" w:cs="Calibri"/>
          <w:color w:val="7030A0"/>
          <w:sz w:val="28"/>
          <w:szCs w:val="28"/>
          <w:lang w:val="es-ES_tradnl"/>
        </w:rPr>
      </w:pPr>
      <w:r w:rsidRPr="002363C6">
        <w:rPr>
          <w:rFonts w:ascii="Calibri" w:eastAsiaTheme="minorEastAsia" w:hAnsi="Calibri" w:cs="Calibri"/>
          <w:color w:val="7030A0"/>
          <w:sz w:val="28"/>
          <w:szCs w:val="28"/>
          <w:lang w:val="es-ES_tradnl"/>
        </w:rPr>
        <w:t>Palabras Clave:</w:t>
      </w:r>
      <w:r>
        <w:rPr>
          <w:rFonts w:ascii="Calibri" w:eastAsiaTheme="minorEastAsia" w:hAnsi="Calibri" w:cs="Calibri"/>
          <w:color w:val="7030A0"/>
          <w:sz w:val="28"/>
          <w:szCs w:val="28"/>
          <w:lang w:val="es-ES_tradnl"/>
        </w:rPr>
        <w:t xml:space="preserve"> </w:t>
      </w:r>
      <w:r w:rsidRPr="002363C6">
        <w:rPr>
          <w:rFonts w:ascii="Times New Roman" w:hAnsi="Times New Roman" w:cs="Times New Roman"/>
          <w:sz w:val="24"/>
          <w:szCs w:val="24"/>
        </w:rPr>
        <w:t>planeación, seguimiento, indicadores, calidad educativa.</w:t>
      </w:r>
    </w:p>
    <w:p w14:paraId="3C59F95B" w14:textId="77777777" w:rsidR="00765718" w:rsidRDefault="00765718" w:rsidP="002363C6">
      <w:pPr>
        <w:spacing w:line="360" w:lineRule="auto"/>
        <w:jc w:val="both"/>
        <w:rPr>
          <w:rFonts w:ascii="Calibri" w:eastAsiaTheme="minorEastAsia" w:hAnsi="Calibri" w:cs="Calibri"/>
          <w:color w:val="7030A0"/>
          <w:sz w:val="28"/>
          <w:szCs w:val="28"/>
          <w:lang w:val="es-ES_tradnl"/>
        </w:rPr>
      </w:pPr>
    </w:p>
    <w:p w14:paraId="62BFE130" w14:textId="77777777" w:rsidR="00765718" w:rsidRDefault="00765718" w:rsidP="002363C6">
      <w:pPr>
        <w:spacing w:line="360" w:lineRule="auto"/>
        <w:jc w:val="both"/>
        <w:rPr>
          <w:rFonts w:ascii="Calibri" w:eastAsiaTheme="minorEastAsia" w:hAnsi="Calibri" w:cs="Calibri"/>
          <w:color w:val="7030A0"/>
          <w:sz w:val="28"/>
          <w:szCs w:val="28"/>
          <w:lang w:val="es-ES_tradnl"/>
        </w:rPr>
      </w:pPr>
    </w:p>
    <w:p w14:paraId="5531B3B5" w14:textId="77777777" w:rsidR="00765718" w:rsidRPr="00765718" w:rsidRDefault="00765718" w:rsidP="00765718">
      <w:pPr>
        <w:spacing w:line="360" w:lineRule="auto"/>
        <w:jc w:val="both"/>
        <w:rPr>
          <w:rFonts w:ascii="Calibri" w:eastAsiaTheme="minorEastAsia" w:hAnsi="Calibri" w:cs="Calibri"/>
          <w:color w:val="7030A0"/>
          <w:sz w:val="28"/>
          <w:szCs w:val="28"/>
          <w:lang w:val="es-ES_tradnl"/>
        </w:rPr>
      </w:pPr>
      <w:proofErr w:type="spellStart"/>
      <w:r w:rsidRPr="00765718">
        <w:rPr>
          <w:rFonts w:ascii="Calibri" w:eastAsiaTheme="minorEastAsia" w:hAnsi="Calibri" w:cs="Calibri"/>
          <w:color w:val="7030A0"/>
          <w:sz w:val="28"/>
          <w:szCs w:val="28"/>
          <w:lang w:val="es-ES_tradnl"/>
        </w:rPr>
        <w:lastRenderedPageBreak/>
        <w:t>Abstract</w:t>
      </w:r>
      <w:proofErr w:type="spellEnd"/>
    </w:p>
    <w:p w14:paraId="6EC807A2" w14:textId="77777777" w:rsidR="00765718" w:rsidRPr="00765718" w:rsidRDefault="00765718" w:rsidP="00765718">
      <w:pPr>
        <w:spacing w:line="360" w:lineRule="auto"/>
        <w:jc w:val="both"/>
        <w:rPr>
          <w:rFonts w:ascii="Calibri" w:eastAsiaTheme="minorEastAsia" w:hAnsi="Calibri" w:cs="Calibri"/>
          <w:color w:val="7030A0"/>
          <w:sz w:val="28"/>
          <w:szCs w:val="28"/>
          <w:lang w:val="es-ES_tradnl"/>
        </w:rPr>
      </w:pPr>
      <w:proofErr w:type="spellStart"/>
      <w:r w:rsidRPr="00765718">
        <w:rPr>
          <w:rFonts w:ascii="Times New Roman" w:hAnsi="Times New Roman" w:cs="Times New Roman"/>
          <w:sz w:val="24"/>
          <w:szCs w:val="24"/>
        </w:rPr>
        <w:t>This</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article</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analyses</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the</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indicators</w:t>
      </w:r>
      <w:proofErr w:type="spellEnd"/>
      <w:r w:rsidRPr="00765718">
        <w:rPr>
          <w:rFonts w:ascii="Times New Roman" w:hAnsi="Times New Roman" w:cs="Times New Roman"/>
          <w:sz w:val="24"/>
          <w:szCs w:val="24"/>
        </w:rPr>
        <w:t xml:space="preserve"> of </w:t>
      </w:r>
      <w:proofErr w:type="spellStart"/>
      <w:r w:rsidRPr="00765718">
        <w:rPr>
          <w:rFonts w:ascii="Times New Roman" w:hAnsi="Times New Roman" w:cs="Times New Roman"/>
          <w:sz w:val="24"/>
          <w:szCs w:val="24"/>
        </w:rPr>
        <w:t>educational</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quality</w:t>
      </w:r>
      <w:proofErr w:type="spellEnd"/>
      <w:r w:rsidRPr="00765718">
        <w:rPr>
          <w:rFonts w:ascii="Times New Roman" w:hAnsi="Times New Roman" w:cs="Times New Roman"/>
          <w:sz w:val="24"/>
          <w:szCs w:val="24"/>
        </w:rPr>
        <w:t xml:space="preserve"> in </w:t>
      </w:r>
      <w:proofErr w:type="spellStart"/>
      <w:r w:rsidRPr="00765718">
        <w:rPr>
          <w:rFonts w:ascii="Times New Roman" w:hAnsi="Times New Roman" w:cs="Times New Roman"/>
          <w:sz w:val="24"/>
          <w:szCs w:val="24"/>
        </w:rPr>
        <w:t>two</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undergraduate</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programs</w:t>
      </w:r>
      <w:proofErr w:type="spellEnd"/>
      <w:r w:rsidRPr="00765718">
        <w:rPr>
          <w:rFonts w:ascii="Times New Roman" w:hAnsi="Times New Roman" w:cs="Times New Roman"/>
          <w:sz w:val="24"/>
          <w:szCs w:val="24"/>
        </w:rPr>
        <w:t xml:space="preserve"> of </w:t>
      </w:r>
      <w:proofErr w:type="spellStart"/>
      <w:r w:rsidRPr="00765718">
        <w:rPr>
          <w:rFonts w:ascii="Times New Roman" w:hAnsi="Times New Roman" w:cs="Times New Roman"/>
          <w:sz w:val="24"/>
          <w:szCs w:val="24"/>
        </w:rPr>
        <w:t>recent</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creation</w:t>
      </w:r>
      <w:proofErr w:type="spellEnd"/>
      <w:r w:rsidRPr="00765718">
        <w:rPr>
          <w:rFonts w:ascii="Times New Roman" w:hAnsi="Times New Roman" w:cs="Times New Roman"/>
          <w:sz w:val="24"/>
          <w:szCs w:val="24"/>
        </w:rPr>
        <w:t xml:space="preserve"> in </w:t>
      </w:r>
      <w:proofErr w:type="spellStart"/>
      <w:r w:rsidRPr="00765718">
        <w:rPr>
          <w:rFonts w:ascii="Times New Roman" w:hAnsi="Times New Roman" w:cs="Times New Roman"/>
          <w:sz w:val="24"/>
          <w:szCs w:val="24"/>
        </w:rPr>
        <w:t>the</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Faculty</w:t>
      </w:r>
      <w:proofErr w:type="spellEnd"/>
      <w:r w:rsidRPr="00765718">
        <w:rPr>
          <w:rFonts w:ascii="Times New Roman" w:hAnsi="Times New Roman" w:cs="Times New Roman"/>
          <w:sz w:val="24"/>
          <w:szCs w:val="24"/>
        </w:rPr>
        <w:t xml:space="preserve"> of </w:t>
      </w:r>
      <w:proofErr w:type="spellStart"/>
      <w:r w:rsidRPr="00765718">
        <w:rPr>
          <w:rFonts w:ascii="Times New Roman" w:hAnsi="Times New Roman" w:cs="Times New Roman"/>
          <w:sz w:val="24"/>
          <w:szCs w:val="24"/>
        </w:rPr>
        <w:t>Architecture</w:t>
      </w:r>
      <w:proofErr w:type="spellEnd"/>
      <w:r w:rsidRPr="00765718">
        <w:rPr>
          <w:rFonts w:ascii="Times New Roman" w:hAnsi="Times New Roman" w:cs="Times New Roman"/>
          <w:sz w:val="24"/>
          <w:szCs w:val="24"/>
        </w:rPr>
        <w:t xml:space="preserve"> of </w:t>
      </w:r>
      <w:proofErr w:type="spellStart"/>
      <w:r w:rsidRPr="00765718">
        <w:rPr>
          <w:rFonts w:ascii="Times New Roman" w:hAnsi="Times New Roman" w:cs="Times New Roman"/>
          <w:sz w:val="24"/>
          <w:szCs w:val="24"/>
        </w:rPr>
        <w:t>the</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Autonomous</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University</w:t>
      </w:r>
      <w:proofErr w:type="spellEnd"/>
      <w:r w:rsidRPr="00765718">
        <w:rPr>
          <w:rFonts w:ascii="Times New Roman" w:hAnsi="Times New Roman" w:cs="Times New Roman"/>
          <w:sz w:val="24"/>
          <w:szCs w:val="24"/>
        </w:rPr>
        <w:t xml:space="preserve"> of Sinaloa. </w:t>
      </w:r>
      <w:proofErr w:type="spellStart"/>
      <w:r w:rsidRPr="00765718">
        <w:rPr>
          <w:rFonts w:ascii="Times New Roman" w:hAnsi="Times New Roman" w:cs="Times New Roman"/>
          <w:sz w:val="24"/>
          <w:szCs w:val="24"/>
        </w:rPr>
        <w:t>Dropping</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out</w:t>
      </w:r>
      <w:proofErr w:type="spellEnd"/>
      <w:r w:rsidRPr="00765718">
        <w:rPr>
          <w:rFonts w:ascii="Times New Roman" w:hAnsi="Times New Roman" w:cs="Times New Roman"/>
          <w:sz w:val="24"/>
          <w:szCs w:val="24"/>
        </w:rPr>
        <w:t xml:space="preserve"> of </w:t>
      </w:r>
      <w:proofErr w:type="spellStart"/>
      <w:r w:rsidRPr="00765718">
        <w:rPr>
          <w:rFonts w:ascii="Times New Roman" w:hAnsi="Times New Roman" w:cs="Times New Roman"/>
          <w:sz w:val="24"/>
          <w:szCs w:val="24"/>
        </w:rPr>
        <w:t>school</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academic</w:t>
      </w:r>
      <w:proofErr w:type="spellEnd"/>
      <w:r w:rsidRPr="00765718">
        <w:rPr>
          <w:rFonts w:ascii="Times New Roman" w:hAnsi="Times New Roman" w:cs="Times New Roman"/>
          <w:sz w:val="24"/>
          <w:szCs w:val="24"/>
        </w:rPr>
        <w:t xml:space="preserve"> performance, </w:t>
      </w:r>
      <w:proofErr w:type="spellStart"/>
      <w:r w:rsidRPr="00765718">
        <w:rPr>
          <w:rFonts w:ascii="Times New Roman" w:hAnsi="Times New Roman" w:cs="Times New Roman"/>
          <w:sz w:val="24"/>
          <w:szCs w:val="24"/>
        </w:rPr>
        <w:t>teacher</w:t>
      </w:r>
      <w:proofErr w:type="spellEnd"/>
      <w:r w:rsidRPr="00765718">
        <w:rPr>
          <w:rFonts w:ascii="Times New Roman" w:hAnsi="Times New Roman" w:cs="Times New Roman"/>
          <w:sz w:val="24"/>
          <w:szCs w:val="24"/>
        </w:rPr>
        <w:t xml:space="preserve"> performance, and </w:t>
      </w:r>
      <w:proofErr w:type="spellStart"/>
      <w:r w:rsidRPr="00765718">
        <w:rPr>
          <w:rFonts w:ascii="Times New Roman" w:hAnsi="Times New Roman" w:cs="Times New Roman"/>
          <w:sz w:val="24"/>
          <w:szCs w:val="24"/>
        </w:rPr>
        <w:t>institutional</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care</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taking</w:t>
      </w:r>
      <w:proofErr w:type="spellEnd"/>
      <w:r w:rsidRPr="00765718">
        <w:rPr>
          <w:rFonts w:ascii="Times New Roman" w:hAnsi="Times New Roman" w:cs="Times New Roman"/>
          <w:sz w:val="24"/>
          <w:szCs w:val="24"/>
        </w:rPr>
        <w:t xml:space="preserve"> are </w:t>
      </w:r>
      <w:proofErr w:type="spellStart"/>
      <w:r w:rsidRPr="00765718">
        <w:rPr>
          <w:rFonts w:ascii="Times New Roman" w:hAnsi="Times New Roman" w:cs="Times New Roman"/>
          <w:sz w:val="24"/>
          <w:szCs w:val="24"/>
        </w:rPr>
        <w:t>indicators</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that</w:t>
      </w:r>
      <w:proofErr w:type="spellEnd"/>
      <w:r w:rsidRPr="00765718">
        <w:rPr>
          <w:rFonts w:ascii="Times New Roman" w:hAnsi="Times New Roman" w:cs="Times New Roman"/>
          <w:sz w:val="24"/>
          <w:szCs w:val="24"/>
        </w:rPr>
        <w:t xml:space="preserve"> determine, in </w:t>
      </w:r>
      <w:proofErr w:type="spellStart"/>
      <w:r w:rsidRPr="00765718">
        <w:rPr>
          <w:rFonts w:ascii="Times New Roman" w:hAnsi="Times New Roman" w:cs="Times New Roman"/>
          <w:sz w:val="24"/>
          <w:szCs w:val="24"/>
        </w:rPr>
        <w:t>part</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the</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quality</w:t>
      </w:r>
      <w:proofErr w:type="spellEnd"/>
      <w:r w:rsidRPr="00765718">
        <w:rPr>
          <w:rFonts w:ascii="Times New Roman" w:hAnsi="Times New Roman" w:cs="Times New Roman"/>
          <w:sz w:val="24"/>
          <w:szCs w:val="24"/>
        </w:rPr>
        <w:t xml:space="preserve"> of </w:t>
      </w:r>
      <w:proofErr w:type="spellStart"/>
      <w:r w:rsidRPr="00765718">
        <w:rPr>
          <w:rFonts w:ascii="Times New Roman" w:hAnsi="Times New Roman" w:cs="Times New Roman"/>
          <w:sz w:val="24"/>
          <w:szCs w:val="24"/>
        </w:rPr>
        <w:t>educational</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programs</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The</w:t>
      </w:r>
      <w:proofErr w:type="spellEnd"/>
      <w:r w:rsidRPr="00765718">
        <w:rPr>
          <w:rFonts w:ascii="Times New Roman" w:hAnsi="Times New Roman" w:cs="Times New Roman"/>
          <w:sz w:val="24"/>
          <w:szCs w:val="24"/>
        </w:rPr>
        <w:t xml:space="preserve"> curricular </w:t>
      </w:r>
      <w:proofErr w:type="spellStart"/>
      <w:r w:rsidRPr="00765718">
        <w:rPr>
          <w:rFonts w:ascii="Times New Roman" w:hAnsi="Times New Roman" w:cs="Times New Roman"/>
          <w:sz w:val="24"/>
          <w:szCs w:val="24"/>
        </w:rPr>
        <w:t>design</w:t>
      </w:r>
      <w:proofErr w:type="spellEnd"/>
      <w:r w:rsidRPr="00765718">
        <w:rPr>
          <w:rFonts w:ascii="Times New Roman" w:hAnsi="Times New Roman" w:cs="Times New Roman"/>
          <w:sz w:val="24"/>
          <w:szCs w:val="24"/>
        </w:rPr>
        <w:t xml:space="preserve"> of </w:t>
      </w:r>
      <w:proofErr w:type="spellStart"/>
      <w:r w:rsidRPr="00765718">
        <w:rPr>
          <w:rFonts w:ascii="Times New Roman" w:hAnsi="Times New Roman" w:cs="Times New Roman"/>
          <w:sz w:val="24"/>
          <w:szCs w:val="24"/>
        </w:rPr>
        <w:t>this</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educational</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offer</w:t>
      </w:r>
      <w:proofErr w:type="spellEnd"/>
      <w:r w:rsidRPr="00765718">
        <w:rPr>
          <w:rFonts w:ascii="Times New Roman" w:hAnsi="Times New Roman" w:cs="Times New Roman"/>
          <w:sz w:val="24"/>
          <w:szCs w:val="24"/>
        </w:rPr>
        <w:t xml:space="preserve"> and </w:t>
      </w:r>
      <w:proofErr w:type="spellStart"/>
      <w:r w:rsidRPr="00765718">
        <w:rPr>
          <w:rFonts w:ascii="Times New Roman" w:hAnsi="Times New Roman" w:cs="Times New Roman"/>
          <w:sz w:val="24"/>
          <w:szCs w:val="24"/>
        </w:rPr>
        <w:t>courses</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planning</w:t>
      </w:r>
      <w:proofErr w:type="spellEnd"/>
      <w:r w:rsidRPr="00765718">
        <w:rPr>
          <w:rFonts w:ascii="Times New Roman" w:hAnsi="Times New Roman" w:cs="Times New Roman"/>
          <w:sz w:val="24"/>
          <w:szCs w:val="24"/>
        </w:rPr>
        <w:t xml:space="preserve"> are </w:t>
      </w:r>
      <w:proofErr w:type="spellStart"/>
      <w:r w:rsidRPr="00765718">
        <w:rPr>
          <w:rFonts w:ascii="Times New Roman" w:hAnsi="Times New Roman" w:cs="Times New Roman"/>
          <w:sz w:val="24"/>
          <w:szCs w:val="24"/>
        </w:rPr>
        <w:t>product</w:t>
      </w:r>
      <w:proofErr w:type="spellEnd"/>
      <w:r w:rsidRPr="00765718">
        <w:rPr>
          <w:rFonts w:ascii="Times New Roman" w:hAnsi="Times New Roman" w:cs="Times New Roman"/>
          <w:sz w:val="24"/>
          <w:szCs w:val="24"/>
        </w:rPr>
        <w:t xml:space="preserve"> of a </w:t>
      </w:r>
      <w:proofErr w:type="spellStart"/>
      <w:r w:rsidRPr="00765718">
        <w:rPr>
          <w:rFonts w:ascii="Times New Roman" w:hAnsi="Times New Roman" w:cs="Times New Roman"/>
          <w:sz w:val="24"/>
          <w:szCs w:val="24"/>
        </w:rPr>
        <w:t>process</w:t>
      </w:r>
      <w:proofErr w:type="spellEnd"/>
      <w:r w:rsidRPr="00765718">
        <w:rPr>
          <w:rFonts w:ascii="Times New Roman" w:hAnsi="Times New Roman" w:cs="Times New Roman"/>
          <w:sz w:val="24"/>
          <w:szCs w:val="24"/>
        </w:rPr>
        <w:t xml:space="preserve"> of </w:t>
      </w:r>
      <w:proofErr w:type="spellStart"/>
      <w:r w:rsidRPr="00765718">
        <w:rPr>
          <w:rFonts w:ascii="Times New Roman" w:hAnsi="Times New Roman" w:cs="Times New Roman"/>
          <w:sz w:val="24"/>
          <w:szCs w:val="24"/>
        </w:rPr>
        <w:t>collective</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analysis</w:t>
      </w:r>
      <w:proofErr w:type="spellEnd"/>
      <w:r w:rsidRPr="00765718">
        <w:rPr>
          <w:rFonts w:ascii="Times New Roman" w:hAnsi="Times New Roman" w:cs="Times New Roman"/>
          <w:sz w:val="24"/>
          <w:szCs w:val="24"/>
        </w:rPr>
        <w:t xml:space="preserve"> of </w:t>
      </w:r>
      <w:proofErr w:type="spellStart"/>
      <w:r w:rsidRPr="00765718">
        <w:rPr>
          <w:rFonts w:ascii="Times New Roman" w:hAnsi="Times New Roman" w:cs="Times New Roman"/>
          <w:sz w:val="24"/>
          <w:szCs w:val="24"/>
        </w:rPr>
        <w:t>the</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teachers</w:t>
      </w:r>
      <w:proofErr w:type="spellEnd"/>
      <w:r w:rsidRPr="00765718">
        <w:rPr>
          <w:rFonts w:ascii="Times New Roman" w:hAnsi="Times New Roman" w:cs="Times New Roman"/>
          <w:sz w:val="24"/>
          <w:szCs w:val="24"/>
        </w:rPr>
        <w:t xml:space="preserve"> staff. At </w:t>
      </w:r>
      <w:proofErr w:type="spellStart"/>
      <w:r w:rsidRPr="00765718">
        <w:rPr>
          <w:rFonts w:ascii="Times New Roman" w:hAnsi="Times New Roman" w:cs="Times New Roman"/>
          <w:sz w:val="24"/>
          <w:szCs w:val="24"/>
        </w:rPr>
        <w:t>the</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conclusion</w:t>
      </w:r>
      <w:proofErr w:type="spellEnd"/>
      <w:r w:rsidRPr="00765718">
        <w:rPr>
          <w:rFonts w:ascii="Times New Roman" w:hAnsi="Times New Roman" w:cs="Times New Roman"/>
          <w:sz w:val="24"/>
          <w:szCs w:val="24"/>
        </w:rPr>
        <w:t xml:space="preserve"> of </w:t>
      </w:r>
      <w:proofErr w:type="spellStart"/>
      <w:r w:rsidRPr="00765718">
        <w:rPr>
          <w:rFonts w:ascii="Times New Roman" w:hAnsi="Times New Roman" w:cs="Times New Roman"/>
          <w:sz w:val="24"/>
          <w:szCs w:val="24"/>
        </w:rPr>
        <w:t>the</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first</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two</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semesters</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school</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dropouts</w:t>
      </w:r>
      <w:proofErr w:type="spellEnd"/>
      <w:r w:rsidRPr="00765718">
        <w:rPr>
          <w:rFonts w:ascii="Times New Roman" w:hAnsi="Times New Roman" w:cs="Times New Roman"/>
          <w:sz w:val="24"/>
          <w:szCs w:val="24"/>
        </w:rPr>
        <w:t xml:space="preserve"> in </w:t>
      </w:r>
      <w:proofErr w:type="spellStart"/>
      <w:r w:rsidRPr="00765718">
        <w:rPr>
          <w:rFonts w:ascii="Times New Roman" w:hAnsi="Times New Roman" w:cs="Times New Roman"/>
          <w:sz w:val="24"/>
          <w:szCs w:val="24"/>
        </w:rPr>
        <w:t>the</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career</w:t>
      </w:r>
      <w:proofErr w:type="spellEnd"/>
      <w:r w:rsidRPr="00765718">
        <w:rPr>
          <w:rFonts w:ascii="Times New Roman" w:hAnsi="Times New Roman" w:cs="Times New Roman"/>
          <w:sz w:val="24"/>
          <w:szCs w:val="24"/>
        </w:rPr>
        <w:t xml:space="preserve"> of </w:t>
      </w:r>
      <w:proofErr w:type="spellStart"/>
      <w:r w:rsidRPr="00765718">
        <w:rPr>
          <w:rFonts w:ascii="Times New Roman" w:hAnsi="Times New Roman" w:cs="Times New Roman"/>
          <w:sz w:val="24"/>
          <w:szCs w:val="24"/>
        </w:rPr>
        <w:t>Atmosphere</w:t>
      </w:r>
      <w:proofErr w:type="spellEnd"/>
      <w:r w:rsidRPr="00765718">
        <w:rPr>
          <w:rFonts w:ascii="Times New Roman" w:hAnsi="Times New Roman" w:cs="Times New Roman"/>
          <w:sz w:val="24"/>
          <w:szCs w:val="24"/>
        </w:rPr>
        <w:t xml:space="preserve"> Interior </w:t>
      </w:r>
      <w:proofErr w:type="spellStart"/>
      <w:r w:rsidRPr="00765718">
        <w:rPr>
          <w:rFonts w:ascii="Times New Roman" w:hAnsi="Times New Roman" w:cs="Times New Roman"/>
          <w:sz w:val="24"/>
          <w:szCs w:val="24"/>
        </w:rPr>
        <w:t>Design</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is</w:t>
      </w:r>
      <w:proofErr w:type="spellEnd"/>
      <w:r w:rsidRPr="00765718">
        <w:rPr>
          <w:rFonts w:ascii="Times New Roman" w:hAnsi="Times New Roman" w:cs="Times New Roman"/>
          <w:sz w:val="24"/>
          <w:szCs w:val="24"/>
        </w:rPr>
        <w:t xml:space="preserve"> 33% and in </w:t>
      </w:r>
      <w:proofErr w:type="spellStart"/>
      <w:r w:rsidRPr="00765718">
        <w:rPr>
          <w:rFonts w:ascii="Times New Roman" w:hAnsi="Times New Roman" w:cs="Times New Roman"/>
          <w:sz w:val="24"/>
          <w:szCs w:val="24"/>
        </w:rPr>
        <w:t>Urban</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Design</w:t>
      </w:r>
      <w:proofErr w:type="spellEnd"/>
      <w:r w:rsidRPr="00765718">
        <w:rPr>
          <w:rFonts w:ascii="Times New Roman" w:hAnsi="Times New Roman" w:cs="Times New Roman"/>
          <w:sz w:val="24"/>
          <w:szCs w:val="24"/>
        </w:rPr>
        <w:t xml:space="preserve"> and </w:t>
      </w:r>
      <w:proofErr w:type="spellStart"/>
      <w:r w:rsidRPr="00765718">
        <w:rPr>
          <w:rFonts w:ascii="Times New Roman" w:hAnsi="Times New Roman" w:cs="Times New Roman"/>
          <w:sz w:val="24"/>
          <w:szCs w:val="24"/>
        </w:rPr>
        <w:t>Landscape</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is</w:t>
      </w:r>
      <w:proofErr w:type="spellEnd"/>
      <w:r w:rsidRPr="00765718">
        <w:rPr>
          <w:rFonts w:ascii="Times New Roman" w:hAnsi="Times New Roman" w:cs="Times New Roman"/>
          <w:sz w:val="24"/>
          <w:szCs w:val="24"/>
        </w:rPr>
        <w:t xml:space="preserve"> 14%. </w:t>
      </w:r>
      <w:proofErr w:type="spellStart"/>
      <w:r w:rsidRPr="00765718">
        <w:rPr>
          <w:rFonts w:ascii="Times New Roman" w:hAnsi="Times New Roman" w:cs="Times New Roman"/>
          <w:sz w:val="24"/>
          <w:szCs w:val="24"/>
        </w:rPr>
        <w:t>Low</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academic</w:t>
      </w:r>
      <w:proofErr w:type="spellEnd"/>
      <w:r w:rsidRPr="00765718">
        <w:rPr>
          <w:rFonts w:ascii="Times New Roman" w:hAnsi="Times New Roman" w:cs="Times New Roman"/>
          <w:sz w:val="24"/>
          <w:szCs w:val="24"/>
        </w:rPr>
        <w:t xml:space="preserve"> performance </w:t>
      </w:r>
      <w:proofErr w:type="spellStart"/>
      <w:r w:rsidRPr="00765718">
        <w:rPr>
          <w:rFonts w:ascii="Times New Roman" w:hAnsi="Times New Roman" w:cs="Times New Roman"/>
          <w:sz w:val="24"/>
          <w:szCs w:val="24"/>
        </w:rPr>
        <w:t>is</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found</w:t>
      </w:r>
      <w:proofErr w:type="spellEnd"/>
      <w:r w:rsidRPr="00765718">
        <w:rPr>
          <w:rFonts w:ascii="Times New Roman" w:hAnsi="Times New Roman" w:cs="Times New Roman"/>
          <w:sz w:val="24"/>
          <w:szCs w:val="24"/>
        </w:rPr>
        <w:t xml:space="preserve"> in </w:t>
      </w:r>
      <w:proofErr w:type="spellStart"/>
      <w:r w:rsidRPr="00765718">
        <w:rPr>
          <w:rFonts w:ascii="Times New Roman" w:hAnsi="Times New Roman" w:cs="Times New Roman"/>
          <w:sz w:val="24"/>
          <w:szCs w:val="24"/>
        </w:rPr>
        <w:t>the</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cohort</w:t>
      </w:r>
      <w:proofErr w:type="spellEnd"/>
      <w:r w:rsidRPr="00765718">
        <w:rPr>
          <w:rFonts w:ascii="Times New Roman" w:hAnsi="Times New Roman" w:cs="Times New Roman"/>
          <w:sz w:val="24"/>
          <w:szCs w:val="24"/>
        </w:rPr>
        <w:t xml:space="preserve"> 2013-2018 of Interior </w:t>
      </w:r>
      <w:proofErr w:type="spellStart"/>
      <w:r w:rsidRPr="00765718">
        <w:rPr>
          <w:rFonts w:ascii="Times New Roman" w:hAnsi="Times New Roman" w:cs="Times New Roman"/>
          <w:sz w:val="24"/>
          <w:szCs w:val="24"/>
        </w:rPr>
        <w:t>Design</w:t>
      </w:r>
      <w:proofErr w:type="spellEnd"/>
      <w:r w:rsidRPr="00765718">
        <w:rPr>
          <w:rFonts w:ascii="Times New Roman" w:hAnsi="Times New Roman" w:cs="Times New Roman"/>
          <w:sz w:val="24"/>
          <w:szCs w:val="24"/>
        </w:rPr>
        <w:t xml:space="preserve"> and </w:t>
      </w:r>
      <w:proofErr w:type="spellStart"/>
      <w:r w:rsidRPr="00765718">
        <w:rPr>
          <w:rFonts w:ascii="Times New Roman" w:hAnsi="Times New Roman" w:cs="Times New Roman"/>
          <w:sz w:val="24"/>
          <w:szCs w:val="24"/>
        </w:rPr>
        <w:t>Decoration</w:t>
      </w:r>
      <w:proofErr w:type="spellEnd"/>
      <w:r w:rsidRPr="00765718">
        <w:rPr>
          <w:rFonts w:ascii="Times New Roman" w:hAnsi="Times New Roman" w:cs="Times New Roman"/>
          <w:sz w:val="24"/>
          <w:szCs w:val="24"/>
        </w:rPr>
        <w:t xml:space="preserve">, and in 2013-2018 </w:t>
      </w:r>
      <w:proofErr w:type="spellStart"/>
      <w:r w:rsidRPr="00765718">
        <w:rPr>
          <w:rFonts w:ascii="Times New Roman" w:hAnsi="Times New Roman" w:cs="Times New Roman"/>
          <w:sz w:val="24"/>
          <w:szCs w:val="24"/>
        </w:rPr>
        <w:t>cohort</w:t>
      </w:r>
      <w:proofErr w:type="spellEnd"/>
      <w:r w:rsidRPr="00765718">
        <w:rPr>
          <w:rFonts w:ascii="Times New Roman" w:hAnsi="Times New Roman" w:cs="Times New Roman"/>
          <w:sz w:val="24"/>
          <w:szCs w:val="24"/>
        </w:rPr>
        <w:t xml:space="preserve"> of </w:t>
      </w:r>
      <w:proofErr w:type="spellStart"/>
      <w:r w:rsidRPr="00765718">
        <w:rPr>
          <w:rFonts w:ascii="Times New Roman" w:hAnsi="Times New Roman" w:cs="Times New Roman"/>
          <w:sz w:val="24"/>
          <w:szCs w:val="24"/>
        </w:rPr>
        <w:t>Urban</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Design</w:t>
      </w:r>
      <w:proofErr w:type="spellEnd"/>
      <w:r w:rsidRPr="00765718">
        <w:rPr>
          <w:rFonts w:ascii="Times New Roman" w:hAnsi="Times New Roman" w:cs="Times New Roman"/>
          <w:sz w:val="24"/>
          <w:szCs w:val="24"/>
        </w:rPr>
        <w:t xml:space="preserve"> and </w:t>
      </w:r>
      <w:proofErr w:type="spellStart"/>
      <w:r w:rsidRPr="00765718">
        <w:rPr>
          <w:rFonts w:ascii="Times New Roman" w:hAnsi="Times New Roman" w:cs="Times New Roman"/>
          <w:sz w:val="24"/>
          <w:szCs w:val="24"/>
        </w:rPr>
        <w:t>Landscape</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low</w:t>
      </w:r>
      <w:proofErr w:type="spellEnd"/>
      <w:r w:rsidRPr="00765718">
        <w:rPr>
          <w:rFonts w:ascii="Times New Roman" w:hAnsi="Times New Roman" w:cs="Times New Roman"/>
          <w:sz w:val="24"/>
          <w:szCs w:val="24"/>
        </w:rPr>
        <w:t xml:space="preserve"> and </w:t>
      </w:r>
      <w:proofErr w:type="spellStart"/>
      <w:r w:rsidRPr="00765718">
        <w:rPr>
          <w:rFonts w:ascii="Times New Roman" w:hAnsi="Times New Roman" w:cs="Times New Roman"/>
          <w:sz w:val="24"/>
          <w:szCs w:val="24"/>
        </w:rPr>
        <w:t>medium</w:t>
      </w:r>
      <w:proofErr w:type="spellEnd"/>
      <w:r w:rsidRPr="00765718">
        <w:rPr>
          <w:rFonts w:ascii="Times New Roman" w:hAnsi="Times New Roman" w:cs="Times New Roman"/>
          <w:sz w:val="24"/>
          <w:szCs w:val="24"/>
        </w:rPr>
        <w:t xml:space="preserve"> performance in </w:t>
      </w:r>
      <w:proofErr w:type="spellStart"/>
      <w:r w:rsidRPr="00765718">
        <w:rPr>
          <w:rFonts w:ascii="Times New Roman" w:hAnsi="Times New Roman" w:cs="Times New Roman"/>
          <w:sz w:val="24"/>
          <w:szCs w:val="24"/>
        </w:rPr>
        <w:t>the</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first</w:t>
      </w:r>
      <w:proofErr w:type="spellEnd"/>
      <w:r w:rsidRPr="00765718">
        <w:rPr>
          <w:rFonts w:ascii="Times New Roman" w:hAnsi="Times New Roman" w:cs="Times New Roman"/>
          <w:sz w:val="24"/>
          <w:szCs w:val="24"/>
        </w:rPr>
        <w:t xml:space="preserve"> and </w:t>
      </w:r>
      <w:proofErr w:type="spellStart"/>
      <w:r w:rsidRPr="00765718">
        <w:rPr>
          <w:rFonts w:ascii="Times New Roman" w:hAnsi="Times New Roman" w:cs="Times New Roman"/>
          <w:sz w:val="24"/>
          <w:szCs w:val="24"/>
        </w:rPr>
        <w:t>second</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term</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respectively</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There</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is</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very</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low</w:t>
      </w:r>
      <w:proofErr w:type="spellEnd"/>
      <w:r w:rsidRPr="00765718">
        <w:rPr>
          <w:rFonts w:ascii="Times New Roman" w:hAnsi="Times New Roman" w:cs="Times New Roman"/>
          <w:sz w:val="24"/>
          <w:szCs w:val="24"/>
        </w:rPr>
        <w:t xml:space="preserve"> and </w:t>
      </w:r>
      <w:proofErr w:type="spellStart"/>
      <w:r w:rsidRPr="00765718">
        <w:rPr>
          <w:rFonts w:ascii="Times New Roman" w:hAnsi="Times New Roman" w:cs="Times New Roman"/>
          <w:sz w:val="24"/>
          <w:szCs w:val="24"/>
        </w:rPr>
        <w:t>low</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correlation</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between</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academic</w:t>
      </w:r>
      <w:proofErr w:type="spellEnd"/>
      <w:r w:rsidRPr="00765718">
        <w:rPr>
          <w:rFonts w:ascii="Times New Roman" w:hAnsi="Times New Roman" w:cs="Times New Roman"/>
          <w:sz w:val="24"/>
          <w:szCs w:val="24"/>
        </w:rPr>
        <w:t xml:space="preserve"> performance, performance and </w:t>
      </w:r>
      <w:proofErr w:type="spellStart"/>
      <w:r w:rsidRPr="00765718">
        <w:rPr>
          <w:rFonts w:ascii="Times New Roman" w:hAnsi="Times New Roman" w:cs="Times New Roman"/>
          <w:sz w:val="24"/>
          <w:szCs w:val="24"/>
        </w:rPr>
        <w:t>Teacher</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seniority</w:t>
      </w:r>
      <w:proofErr w:type="spellEnd"/>
      <w:r w:rsidRPr="00765718">
        <w:rPr>
          <w:rFonts w:ascii="Times New Roman" w:hAnsi="Times New Roman" w:cs="Times New Roman"/>
          <w:sz w:val="24"/>
          <w:szCs w:val="24"/>
        </w:rPr>
        <w:t xml:space="preserve">. In </w:t>
      </w:r>
      <w:proofErr w:type="spellStart"/>
      <w:r w:rsidRPr="00765718">
        <w:rPr>
          <w:rFonts w:ascii="Times New Roman" w:hAnsi="Times New Roman" w:cs="Times New Roman"/>
          <w:sz w:val="24"/>
          <w:szCs w:val="24"/>
        </w:rPr>
        <w:t>the</w:t>
      </w:r>
      <w:proofErr w:type="spellEnd"/>
      <w:r w:rsidRPr="00765718">
        <w:rPr>
          <w:rFonts w:ascii="Times New Roman" w:hAnsi="Times New Roman" w:cs="Times New Roman"/>
          <w:sz w:val="24"/>
          <w:szCs w:val="24"/>
        </w:rPr>
        <w:t xml:space="preserve"> case of </w:t>
      </w:r>
      <w:proofErr w:type="spellStart"/>
      <w:r w:rsidRPr="00765718">
        <w:rPr>
          <w:rFonts w:ascii="Times New Roman" w:hAnsi="Times New Roman" w:cs="Times New Roman"/>
          <w:sz w:val="24"/>
          <w:szCs w:val="24"/>
        </w:rPr>
        <w:t>antiquity</w:t>
      </w:r>
      <w:proofErr w:type="spellEnd"/>
      <w:r w:rsidRPr="00765718">
        <w:rPr>
          <w:rFonts w:ascii="Times New Roman" w:hAnsi="Times New Roman" w:cs="Times New Roman"/>
          <w:sz w:val="24"/>
          <w:szCs w:val="24"/>
        </w:rPr>
        <w:t xml:space="preserve"> and </w:t>
      </w:r>
      <w:proofErr w:type="spellStart"/>
      <w:r w:rsidRPr="00765718">
        <w:rPr>
          <w:rFonts w:ascii="Times New Roman" w:hAnsi="Times New Roman" w:cs="Times New Roman"/>
          <w:sz w:val="24"/>
          <w:szCs w:val="24"/>
        </w:rPr>
        <w:t>teacher</w:t>
      </w:r>
      <w:proofErr w:type="spellEnd"/>
      <w:r w:rsidRPr="00765718">
        <w:rPr>
          <w:rFonts w:ascii="Times New Roman" w:hAnsi="Times New Roman" w:cs="Times New Roman"/>
          <w:sz w:val="24"/>
          <w:szCs w:val="24"/>
        </w:rPr>
        <w:t xml:space="preserve"> performance a </w:t>
      </w:r>
      <w:proofErr w:type="spellStart"/>
      <w:r w:rsidRPr="00765718">
        <w:rPr>
          <w:rFonts w:ascii="Times New Roman" w:hAnsi="Times New Roman" w:cs="Times New Roman"/>
          <w:sz w:val="24"/>
          <w:szCs w:val="24"/>
        </w:rPr>
        <w:t>trend</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is</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detected</w:t>
      </w:r>
      <w:proofErr w:type="spellEnd"/>
      <w:r w:rsidRPr="00765718">
        <w:rPr>
          <w:rFonts w:ascii="Times New Roman" w:hAnsi="Times New Roman" w:cs="Times New Roman"/>
          <w:sz w:val="24"/>
          <w:szCs w:val="24"/>
        </w:rPr>
        <w:t xml:space="preserve"> to a </w:t>
      </w:r>
      <w:proofErr w:type="spellStart"/>
      <w:r w:rsidRPr="00765718">
        <w:rPr>
          <w:rFonts w:ascii="Times New Roman" w:hAnsi="Times New Roman" w:cs="Times New Roman"/>
          <w:sz w:val="24"/>
          <w:szCs w:val="24"/>
        </w:rPr>
        <w:t>negative</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correlation</w:t>
      </w:r>
      <w:proofErr w:type="spellEnd"/>
      <w:r w:rsidRPr="00765718">
        <w:rPr>
          <w:rFonts w:ascii="Calibri" w:eastAsiaTheme="minorEastAsia" w:hAnsi="Calibri" w:cs="Calibri"/>
          <w:color w:val="7030A0"/>
          <w:sz w:val="28"/>
          <w:szCs w:val="28"/>
          <w:lang w:val="es-ES_tradnl"/>
        </w:rPr>
        <w:t>.</w:t>
      </w:r>
    </w:p>
    <w:p w14:paraId="7153291D" w14:textId="0AD9CCBD" w:rsidR="002363C6" w:rsidRPr="002363C6" w:rsidRDefault="00765718" w:rsidP="00765718">
      <w:pPr>
        <w:spacing w:line="360" w:lineRule="auto"/>
        <w:jc w:val="both"/>
        <w:rPr>
          <w:rFonts w:ascii="Calibri" w:eastAsiaTheme="minorEastAsia" w:hAnsi="Calibri" w:cs="Calibri"/>
          <w:color w:val="7030A0"/>
          <w:sz w:val="28"/>
          <w:szCs w:val="28"/>
          <w:lang w:val="es-ES_tradnl"/>
        </w:rPr>
      </w:pPr>
      <w:r w:rsidRPr="00765718">
        <w:rPr>
          <w:rFonts w:ascii="Calibri" w:eastAsiaTheme="minorEastAsia" w:hAnsi="Calibri" w:cs="Calibri"/>
          <w:color w:val="7030A0"/>
          <w:sz w:val="28"/>
          <w:szCs w:val="28"/>
          <w:lang w:val="es-ES_tradnl"/>
        </w:rPr>
        <w:t xml:space="preserve">Key </w:t>
      </w:r>
      <w:proofErr w:type="spellStart"/>
      <w:r w:rsidRPr="00765718">
        <w:rPr>
          <w:rFonts w:ascii="Calibri" w:eastAsiaTheme="minorEastAsia" w:hAnsi="Calibri" w:cs="Calibri"/>
          <w:color w:val="7030A0"/>
          <w:sz w:val="28"/>
          <w:szCs w:val="28"/>
          <w:lang w:val="es-ES_tradnl"/>
        </w:rPr>
        <w:t>words</w:t>
      </w:r>
      <w:proofErr w:type="spellEnd"/>
      <w:r w:rsidRPr="00765718">
        <w:rPr>
          <w:rFonts w:ascii="Calibri" w:eastAsiaTheme="minorEastAsia" w:hAnsi="Calibri" w:cs="Calibri"/>
          <w:color w:val="7030A0"/>
          <w:sz w:val="28"/>
          <w:szCs w:val="28"/>
          <w:lang w:val="es-ES_tradnl"/>
        </w:rPr>
        <w:t xml:space="preserve">: </w:t>
      </w:r>
      <w:proofErr w:type="spellStart"/>
      <w:r w:rsidRPr="00765718">
        <w:rPr>
          <w:rFonts w:ascii="Times New Roman" w:hAnsi="Times New Roman" w:cs="Times New Roman"/>
          <w:sz w:val="24"/>
          <w:szCs w:val="24"/>
        </w:rPr>
        <w:t>planning</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monitoring</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indicators</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quality</w:t>
      </w:r>
      <w:proofErr w:type="spellEnd"/>
      <w:r w:rsidRPr="00765718">
        <w:rPr>
          <w:rFonts w:ascii="Times New Roman" w:hAnsi="Times New Roman" w:cs="Times New Roman"/>
          <w:sz w:val="24"/>
          <w:szCs w:val="24"/>
        </w:rPr>
        <w:t xml:space="preserve"> </w:t>
      </w:r>
      <w:proofErr w:type="spellStart"/>
      <w:r w:rsidRPr="00765718">
        <w:rPr>
          <w:rFonts w:ascii="Times New Roman" w:hAnsi="Times New Roman" w:cs="Times New Roman"/>
          <w:sz w:val="24"/>
          <w:szCs w:val="24"/>
        </w:rPr>
        <w:t>education</w:t>
      </w:r>
      <w:proofErr w:type="spellEnd"/>
      <w:r w:rsidRPr="00765718">
        <w:rPr>
          <w:rFonts w:ascii="Times New Roman" w:hAnsi="Times New Roman" w:cs="Times New Roman"/>
          <w:sz w:val="24"/>
          <w:szCs w:val="24"/>
        </w:rPr>
        <w:t>.</w:t>
      </w:r>
    </w:p>
    <w:p w14:paraId="4DA1D0D5" w14:textId="02733178" w:rsidR="002363C6" w:rsidRPr="008B0DF4" w:rsidRDefault="002363C6" w:rsidP="0098356E">
      <w:pPr>
        <w:widowControl w:val="0"/>
        <w:autoSpaceDE w:val="0"/>
        <w:autoSpaceDN w:val="0"/>
        <w:adjustRightInd w:val="0"/>
        <w:spacing w:before="100" w:beforeAutospacing="1" w:after="100" w:afterAutospacing="1" w:line="360" w:lineRule="auto"/>
        <w:jc w:val="both"/>
        <w:rPr>
          <w:rFonts w:ascii="Arial" w:hAnsi="Arial" w:cs="Arial"/>
          <w:lang w:val="en-US"/>
        </w:rPr>
      </w:pPr>
      <w:r w:rsidRPr="0098356E">
        <w:rPr>
          <w:rFonts w:ascii="Times New Roman" w:eastAsia="Times New Roman" w:hAnsi="Times New Roman" w:cs="Times New Roman"/>
          <w:b/>
          <w:sz w:val="24"/>
          <w:lang w:val="es-ES" w:eastAsia="es-ES"/>
        </w:rPr>
        <w:t>Fecha Re</w:t>
      </w:r>
      <w:bookmarkStart w:id="0" w:name="_GoBack"/>
      <w:bookmarkEnd w:id="0"/>
      <w:r w:rsidRPr="0098356E">
        <w:rPr>
          <w:rFonts w:ascii="Times New Roman" w:eastAsia="Times New Roman" w:hAnsi="Times New Roman" w:cs="Times New Roman"/>
          <w:b/>
          <w:sz w:val="24"/>
          <w:lang w:val="es-ES" w:eastAsia="es-ES"/>
        </w:rPr>
        <w:t>cepción:</w:t>
      </w:r>
      <w:r w:rsidRPr="0098356E">
        <w:rPr>
          <w:sz w:val="24"/>
        </w:rPr>
        <w:t xml:space="preserve">     </w:t>
      </w:r>
      <w:r w:rsidR="0098356E" w:rsidRPr="0098356E">
        <w:rPr>
          <w:rFonts w:ascii="Times New Roman" w:eastAsia="Times New Roman" w:hAnsi="Times New Roman" w:cs="Times New Roman"/>
          <w:sz w:val="24"/>
          <w:lang w:val="es-ES" w:eastAsia="es-ES"/>
        </w:rPr>
        <w:t>Octubre 2014</w:t>
      </w:r>
      <w:r w:rsidRPr="0098356E">
        <w:rPr>
          <w:sz w:val="24"/>
        </w:rPr>
        <w:t xml:space="preserve">                                 </w:t>
      </w:r>
      <w:r w:rsidRPr="0098356E">
        <w:rPr>
          <w:rFonts w:ascii="Times New Roman" w:eastAsia="Times New Roman" w:hAnsi="Times New Roman" w:cs="Times New Roman"/>
          <w:b/>
          <w:sz w:val="24"/>
          <w:lang w:val="es-ES" w:eastAsia="es-ES"/>
        </w:rPr>
        <w:t>Fecha Aceptación:</w:t>
      </w:r>
      <w:r w:rsidRPr="0098356E">
        <w:rPr>
          <w:sz w:val="24"/>
        </w:rPr>
        <w:t xml:space="preserve"> </w:t>
      </w:r>
      <w:r w:rsidR="0098356E" w:rsidRPr="0098356E">
        <w:rPr>
          <w:rFonts w:ascii="Times New Roman" w:eastAsia="Times New Roman" w:hAnsi="Times New Roman" w:cs="Times New Roman"/>
          <w:sz w:val="24"/>
          <w:lang w:val="es-ES" w:eastAsia="es-ES"/>
        </w:rPr>
        <w:t>Diciembre 2014</w:t>
      </w:r>
      <w:r>
        <w:rPr>
          <w:color w:val="000000" w:themeColor="text1"/>
        </w:rPr>
        <w:br/>
      </w:r>
      <w:r w:rsidR="00203CB0">
        <w:rPr>
          <w:rFonts w:cs="Calibri"/>
        </w:rPr>
        <w:pict w14:anchorId="0F9476E4">
          <v:rect id="_x0000_i1025" style="width:0;height:1.5pt" o:hralign="center" o:hrstd="t" o:hr="t" fillcolor="#a0a0a0" stroked="f"/>
        </w:pict>
      </w:r>
    </w:p>
    <w:p w14:paraId="1AC8F4EF" w14:textId="77777777" w:rsidR="005124C8" w:rsidRPr="006C52E4" w:rsidRDefault="005124C8" w:rsidP="006C52E4">
      <w:pPr>
        <w:spacing w:after="0" w:line="360" w:lineRule="auto"/>
        <w:rPr>
          <w:rFonts w:ascii="Times New Roman" w:hAnsi="Times New Roman" w:cs="Times New Roman"/>
          <w:sz w:val="24"/>
          <w:szCs w:val="24"/>
        </w:rPr>
      </w:pPr>
    </w:p>
    <w:p w14:paraId="2A693557" w14:textId="04EB00EB" w:rsidR="007B4DDD" w:rsidRPr="002363C6" w:rsidRDefault="001510F1" w:rsidP="002363C6">
      <w:pPr>
        <w:spacing w:after="0" w:line="480" w:lineRule="auto"/>
        <w:contextualSpacing/>
        <w:rPr>
          <w:rFonts w:ascii="Calibri" w:eastAsiaTheme="minorEastAsia" w:hAnsi="Calibri" w:cs="Calibri"/>
          <w:color w:val="7030A0"/>
          <w:sz w:val="28"/>
          <w:szCs w:val="28"/>
          <w:lang w:val="es-ES_tradnl"/>
        </w:rPr>
      </w:pPr>
      <w:r w:rsidRPr="002363C6">
        <w:rPr>
          <w:rFonts w:ascii="Calibri" w:eastAsiaTheme="minorEastAsia" w:hAnsi="Calibri" w:cs="Calibri"/>
          <w:color w:val="7030A0"/>
          <w:sz w:val="28"/>
          <w:szCs w:val="28"/>
          <w:lang w:val="es-ES_tradnl"/>
        </w:rPr>
        <w:t>Introducción</w:t>
      </w:r>
    </w:p>
    <w:p w14:paraId="538317E7" w14:textId="77777777" w:rsidR="00350036" w:rsidRDefault="005124C8" w:rsidP="002363C6">
      <w:pPr>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La infraestructura, los recursos humanos y el equipamiento educativo del nivel superior en el estado de Sinaloa han sido rebasados por la demanda en los últimos años. </w:t>
      </w:r>
      <w:r w:rsidR="00174B2A" w:rsidRPr="006C52E4">
        <w:rPr>
          <w:rFonts w:ascii="Times New Roman" w:hAnsi="Times New Roman" w:cs="Times New Roman"/>
          <w:sz w:val="24"/>
          <w:szCs w:val="24"/>
        </w:rPr>
        <w:t xml:space="preserve"> </w:t>
      </w:r>
      <w:r w:rsidR="00D72A98" w:rsidRPr="006C52E4">
        <w:rPr>
          <w:rFonts w:ascii="Times New Roman" w:hAnsi="Times New Roman" w:cs="Times New Roman"/>
          <w:sz w:val="24"/>
          <w:szCs w:val="24"/>
        </w:rPr>
        <w:t>En 2011, jóvenes que no lograron un lugar en la universidad marcharon por las calles para exigir su derecho a la educación, después de plantones, reuniones con autoridades universitarias y gestiones con representantes populares, el Rector declara que se abrirán nuevos grupos en Mazatlán y Los Mochis para solicitantes en el área de la salud</w:t>
      </w:r>
      <w:r w:rsidR="005212C9">
        <w:rPr>
          <w:rFonts w:ascii="Times New Roman" w:hAnsi="Times New Roman" w:cs="Times New Roman"/>
          <w:sz w:val="24"/>
          <w:szCs w:val="24"/>
        </w:rPr>
        <w:t xml:space="preserve"> (Corrales, 2011)</w:t>
      </w:r>
      <w:r w:rsidR="00D72A98" w:rsidRPr="006C52E4">
        <w:rPr>
          <w:rFonts w:ascii="Times New Roman" w:hAnsi="Times New Roman" w:cs="Times New Roman"/>
          <w:sz w:val="24"/>
          <w:szCs w:val="24"/>
        </w:rPr>
        <w:t xml:space="preserve">. </w:t>
      </w:r>
    </w:p>
    <w:p w14:paraId="21300D25" w14:textId="40320328" w:rsidR="008875E4" w:rsidRPr="006C52E4" w:rsidRDefault="00350036" w:rsidP="002363C6">
      <w:pPr>
        <w:spacing w:line="360" w:lineRule="auto"/>
        <w:jc w:val="both"/>
        <w:rPr>
          <w:rFonts w:ascii="Times New Roman" w:hAnsi="Times New Roman" w:cs="Times New Roman"/>
          <w:sz w:val="24"/>
          <w:szCs w:val="24"/>
        </w:rPr>
      </w:pPr>
      <w:r>
        <w:rPr>
          <w:rFonts w:ascii="Times New Roman" w:hAnsi="Times New Roman" w:cs="Times New Roman"/>
          <w:sz w:val="24"/>
          <w:szCs w:val="24"/>
        </w:rPr>
        <w:t>La demanda de educación superior es cada vez mayor. E</w:t>
      </w:r>
      <w:r w:rsidR="00DA737B" w:rsidRPr="006C52E4">
        <w:rPr>
          <w:rFonts w:ascii="Times New Roman" w:hAnsi="Times New Roman" w:cs="Times New Roman"/>
          <w:sz w:val="24"/>
          <w:szCs w:val="24"/>
        </w:rPr>
        <w:t>l Rector de la Universidad Autónoma de Sinaloa</w:t>
      </w:r>
      <w:r w:rsidR="00566E49">
        <w:rPr>
          <w:rFonts w:ascii="Times New Roman" w:hAnsi="Times New Roman" w:cs="Times New Roman"/>
          <w:sz w:val="24"/>
          <w:szCs w:val="24"/>
        </w:rPr>
        <w:t xml:space="preserve"> (UAS)</w:t>
      </w:r>
      <w:r w:rsidR="00DA737B" w:rsidRPr="006C52E4">
        <w:rPr>
          <w:rFonts w:ascii="Times New Roman" w:hAnsi="Times New Roman" w:cs="Times New Roman"/>
          <w:sz w:val="24"/>
          <w:szCs w:val="24"/>
        </w:rPr>
        <w:t xml:space="preserve"> </w:t>
      </w:r>
      <w:r>
        <w:rPr>
          <w:rFonts w:ascii="Times New Roman" w:hAnsi="Times New Roman" w:cs="Times New Roman"/>
          <w:sz w:val="24"/>
          <w:szCs w:val="24"/>
        </w:rPr>
        <w:t xml:space="preserve">informa a los medios de comunicación que </w:t>
      </w:r>
      <w:r w:rsidR="00DA737B" w:rsidRPr="006C52E4">
        <w:rPr>
          <w:rFonts w:ascii="Times New Roman" w:hAnsi="Times New Roman" w:cs="Times New Roman"/>
          <w:sz w:val="24"/>
          <w:szCs w:val="24"/>
        </w:rPr>
        <w:t xml:space="preserve">45 mil jóvenes presentaron el examen </w:t>
      </w:r>
      <w:proofErr w:type="spellStart"/>
      <w:r w:rsidR="00DA737B" w:rsidRPr="006C52E4">
        <w:rPr>
          <w:rFonts w:ascii="Times New Roman" w:hAnsi="Times New Roman" w:cs="Times New Roman"/>
          <w:sz w:val="24"/>
          <w:szCs w:val="24"/>
        </w:rPr>
        <w:t>Ceneval</w:t>
      </w:r>
      <w:proofErr w:type="spellEnd"/>
      <w:r w:rsidR="00DA737B" w:rsidRPr="006C52E4">
        <w:rPr>
          <w:rFonts w:ascii="Times New Roman" w:hAnsi="Times New Roman" w:cs="Times New Roman"/>
          <w:sz w:val="24"/>
          <w:szCs w:val="24"/>
        </w:rPr>
        <w:t xml:space="preserve"> y declara que la planta docente </w:t>
      </w:r>
      <w:r>
        <w:rPr>
          <w:rFonts w:ascii="Times New Roman" w:hAnsi="Times New Roman" w:cs="Times New Roman"/>
          <w:sz w:val="24"/>
          <w:szCs w:val="24"/>
        </w:rPr>
        <w:t>e</w:t>
      </w:r>
      <w:r w:rsidR="00DA737B" w:rsidRPr="006C52E4">
        <w:rPr>
          <w:rFonts w:ascii="Times New Roman" w:hAnsi="Times New Roman" w:cs="Times New Roman"/>
          <w:sz w:val="24"/>
          <w:szCs w:val="24"/>
        </w:rPr>
        <w:t xml:space="preserve"> infraestructura </w:t>
      </w:r>
      <w:r>
        <w:rPr>
          <w:rFonts w:ascii="Times New Roman" w:hAnsi="Times New Roman" w:cs="Times New Roman"/>
          <w:sz w:val="24"/>
          <w:szCs w:val="24"/>
        </w:rPr>
        <w:lastRenderedPageBreak/>
        <w:t xml:space="preserve">universitaria </w:t>
      </w:r>
      <w:r w:rsidR="00DA737B" w:rsidRPr="006C52E4">
        <w:rPr>
          <w:rFonts w:ascii="Times New Roman" w:hAnsi="Times New Roman" w:cs="Times New Roman"/>
          <w:sz w:val="24"/>
          <w:szCs w:val="24"/>
        </w:rPr>
        <w:t>no son suficientes para admitir a todos</w:t>
      </w:r>
      <w:r w:rsidR="006B6CA8">
        <w:rPr>
          <w:rFonts w:ascii="Times New Roman" w:hAnsi="Times New Roman" w:cs="Times New Roman"/>
          <w:sz w:val="24"/>
          <w:szCs w:val="24"/>
        </w:rPr>
        <w:t xml:space="preserve"> (Guerra, 2014)</w:t>
      </w:r>
      <w:r>
        <w:rPr>
          <w:rFonts w:ascii="Times New Roman" w:hAnsi="Times New Roman" w:cs="Times New Roman"/>
          <w:sz w:val="24"/>
          <w:szCs w:val="24"/>
        </w:rPr>
        <w:t>, sin embargo,</w:t>
      </w:r>
      <w:r w:rsidR="00B65F5A" w:rsidRPr="006C52E4">
        <w:rPr>
          <w:rFonts w:ascii="Times New Roman" w:hAnsi="Times New Roman" w:cs="Times New Roman"/>
          <w:sz w:val="24"/>
          <w:szCs w:val="24"/>
        </w:rPr>
        <w:t xml:space="preserve"> </w:t>
      </w:r>
      <w:r w:rsidR="00F406B9" w:rsidRPr="006C52E4">
        <w:rPr>
          <w:rFonts w:ascii="Times New Roman" w:hAnsi="Times New Roman" w:cs="Times New Roman"/>
          <w:sz w:val="24"/>
          <w:szCs w:val="24"/>
        </w:rPr>
        <w:t>exhorta a directores de las unidades académica</w:t>
      </w:r>
      <w:r w:rsidR="00B977AC" w:rsidRPr="006C52E4">
        <w:rPr>
          <w:rFonts w:ascii="Times New Roman" w:hAnsi="Times New Roman" w:cs="Times New Roman"/>
          <w:sz w:val="24"/>
          <w:szCs w:val="24"/>
        </w:rPr>
        <w:t>s</w:t>
      </w:r>
      <w:r w:rsidR="00F406B9" w:rsidRPr="006C52E4">
        <w:rPr>
          <w:rFonts w:ascii="Times New Roman" w:hAnsi="Times New Roman" w:cs="Times New Roman"/>
          <w:sz w:val="24"/>
          <w:szCs w:val="24"/>
        </w:rPr>
        <w:t xml:space="preserve"> a </w:t>
      </w:r>
      <w:r w:rsidR="00B977AC" w:rsidRPr="006C52E4">
        <w:rPr>
          <w:rFonts w:ascii="Times New Roman" w:hAnsi="Times New Roman" w:cs="Times New Roman"/>
          <w:sz w:val="24"/>
          <w:szCs w:val="24"/>
        </w:rPr>
        <w:t xml:space="preserve">intensificar esfuerzos con el fin de ampliar la oferta educativa y la cobertura. </w:t>
      </w:r>
      <w:r w:rsidR="00784949" w:rsidRPr="006C52E4">
        <w:rPr>
          <w:rFonts w:ascii="Times New Roman" w:hAnsi="Times New Roman" w:cs="Times New Roman"/>
          <w:sz w:val="24"/>
          <w:szCs w:val="24"/>
        </w:rPr>
        <w:t xml:space="preserve">En este contexto </w:t>
      </w:r>
      <w:r w:rsidR="00B65F5A" w:rsidRPr="006C52E4">
        <w:rPr>
          <w:rFonts w:ascii="Times New Roman" w:hAnsi="Times New Roman" w:cs="Times New Roman"/>
          <w:sz w:val="24"/>
          <w:szCs w:val="24"/>
        </w:rPr>
        <w:t>la Facultad de Arquitectura</w:t>
      </w:r>
      <w:r w:rsidR="00566E49">
        <w:rPr>
          <w:rFonts w:ascii="Times New Roman" w:hAnsi="Times New Roman" w:cs="Times New Roman"/>
          <w:sz w:val="24"/>
          <w:szCs w:val="24"/>
        </w:rPr>
        <w:t xml:space="preserve"> de la Universidad Autónoma de Sinaloa (FAUAS)</w:t>
      </w:r>
      <w:r w:rsidR="00B65F5A" w:rsidRPr="006C52E4">
        <w:rPr>
          <w:rFonts w:ascii="Times New Roman" w:hAnsi="Times New Roman" w:cs="Times New Roman"/>
          <w:sz w:val="24"/>
          <w:szCs w:val="24"/>
        </w:rPr>
        <w:t xml:space="preserve"> oferta dos nuevas carreras dando la oportunidad a quienes no pudieron colocarse en la carrera de arquitectura, lo hagan en la</w:t>
      </w:r>
      <w:r w:rsidR="00246DF1" w:rsidRPr="006C52E4">
        <w:rPr>
          <w:rFonts w:ascii="Times New Roman" w:hAnsi="Times New Roman" w:cs="Times New Roman"/>
          <w:sz w:val="24"/>
          <w:szCs w:val="24"/>
        </w:rPr>
        <w:t>s</w:t>
      </w:r>
      <w:r w:rsidR="00B65F5A" w:rsidRPr="006C52E4">
        <w:rPr>
          <w:rFonts w:ascii="Times New Roman" w:hAnsi="Times New Roman" w:cs="Times New Roman"/>
          <w:sz w:val="24"/>
          <w:szCs w:val="24"/>
        </w:rPr>
        <w:t xml:space="preserve"> carrera</w:t>
      </w:r>
      <w:r w:rsidR="00246DF1" w:rsidRPr="006C52E4">
        <w:rPr>
          <w:rFonts w:ascii="Times New Roman" w:hAnsi="Times New Roman" w:cs="Times New Roman"/>
          <w:sz w:val="24"/>
          <w:szCs w:val="24"/>
        </w:rPr>
        <w:t>s</w:t>
      </w:r>
      <w:r w:rsidR="00B65F5A" w:rsidRPr="006C52E4">
        <w:rPr>
          <w:rFonts w:ascii="Times New Roman" w:hAnsi="Times New Roman" w:cs="Times New Roman"/>
          <w:sz w:val="24"/>
          <w:szCs w:val="24"/>
        </w:rPr>
        <w:t xml:space="preserve"> de Diseño de Interiores y ambientación y, en Diseño Urbano y del Paisaje. Esto resuelve un problema de manera temporal, pues los alumnos que ingresan a estas carreras, mantienen la esperanza de ser reubicados en la carrera de arquitectura dentro de un año</w:t>
      </w:r>
      <w:r w:rsidR="00AF3CDD" w:rsidRPr="006C52E4">
        <w:rPr>
          <w:rFonts w:ascii="Times New Roman" w:hAnsi="Times New Roman" w:cs="Times New Roman"/>
          <w:sz w:val="24"/>
          <w:szCs w:val="24"/>
        </w:rPr>
        <w:t xml:space="preserve">, </w:t>
      </w:r>
      <w:r w:rsidR="006C5BAF">
        <w:rPr>
          <w:rFonts w:ascii="Times New Roman" w:hAnsi="Times New Roman" w:cs="Times New Roman"/>
          <w:sz w:val="24"/>
          <w:szCs w:val="24"/>
        </w:rPr>
        <w:t>pues</w:t>
      </w:r>
      <w:r w:rsidR="00AF3CDD" w:rsidRPr="006C52E4">
        <w:rPr>
          <w:rFonts w:ascii="Times New Roman" w:hAnsi="Times New Roman" w:cs="Times New Roman"/>
          <w:sz w:val="24"/>
          <w:szCs w:val="24"/>
        </w:rPr>
        <w:t xml:space="preserve"> su deseo </w:t>
      </w:r>
      <w:r w:rsidR="006C5BAF">
        <w:rPr>
          <w:rFonts w:ascii="Times New Roman" w:hAnsi="Times New Roman" w:cs="Times New Roman"/>
          <w:sz w:val="24"/>
          <w:szCs w:val="24"/>
        </w:rPr>
        <w:t>es</w:t>
      </w:r>
      <w:r w:rsidR="00AF3CDD" w:rsidRPr="006C52E4">
        <w:rPr>
          <w:rFonts w:ascii="Times New Roman" w:hAnsi="Times New Roman" w:cs="Times New Roman"/>
          <w:sz w:val="24"/>
          <w:szCs w:val="24"/>
        </w:rPr>
        <w:t xml:space="preserve"> estudiar la licenciatura en Arquitectura</w:t>
      </w:r>
      <w:r w:rsidR="00246DF1" w:rsidRPr="006C52E4">
        <w:rPr>
          <w:rFonts w:ascii="Times New Roman" w:hAnsi="Times New Roman" w:cs="Times New Roman"/>
          <w:sz w:val="24"/>
          <w:szCs w:val="24"/>
        </w:rPr>
        <w:t>. A</w:t>
      </w:r>
      <w:r w:rsidR="008875E4" w:rsidRPr="006C52E4">
        <w:rPr>
          <w:rFonts w:ascii="Times New Roman" w:hAnsi="Times New Roman" w:cs="Times New Roman"/>
          <w:sz w:val="24"/>
          <w:szCs w:val="24"/>
        </w:rPr>
        <w:t>demás</w:t>
      </w:r>
      <w:r w:rsidR="00246DF1" w:rsidRPr="006C52E4">
        <w:rPr>
          <w:rFonts w:ascii="Times New Roman" w:hAnsi="Times New Roman" w:cs="Times New Roman"/>
          <w:sz w:val="24"/>
          <w:szCs w:val="24"/>
        </w:rPr>
        <w:t xml:space="preserve">, al no haber considerado estas carreras como primera opción, los alumnos no investigaron sobre el campo profesional </w:t>
      </w:r>
      <w:r w:rsidR="00A41672" w:rsidRPr="006C52E4">
        <w:rPr>
          <w:rFonts w:ascii="Times New Roman" w:hAnsi="Times New Roman" w:cs="Times New Roman"/>
          <w:sz w:val="24"/>
          <w:szCs w:val="24"/>
        </w:rPr>
        <w:t>de esta nueva oferta educativa</w:t>
      </w:r>
      <w:r w:rsidR="008875E4" w:rsidRPr="006C52E4">
        <w:rPr>
          <w:rFonts w:ascii="Times New Roman" w:hAnsi="Times New Roman" w:cs="Times New Roman"/>
          <w:sz w:val="24"/>
          <w:szCs w:val="24"/>
        </w:rPr>
        <w:t>. Por otro lado, el problema de la infraestructura permanece y algunos grupos son desplazados a otras instalaciones de la Universidad que no son propiamente</w:t>
      </w:r>
      <w:r w:rsidR="00A41672" w:rsidRPr="006C52E4">
        <w:rPr>
          <w:rFonts w:ascii="Times New Roman" w:hAnsi="Times New Roman" w:cs="Times New Roman"/>
          <w:sz w:val="24"/>
          <w:szCs w:val="24"/>
        </w:rPr>
        <w:t xml:space="preserve"> de la Facultad de Arquitectura, creando con ello un sentimiento de marginación y pérdida de identidad.</w:t>
      </w:r>
    </w:p>
    <w:p w14:paraId="1A57453D" w14:textId="77777777" w:rsidR="00EA22B4" w:rsidRDefault="008875E4" w:rsidP="002363C6">
      <w:pPr>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El reto que se tiene que enfrentar es </w:t>
      </w:r>
      <w:r w:rsidR="006C4F34">
        <w:rPr>
          <w:rFonts w:ascii="Times New Roman" w:hAnsi="Times New Roman" w:cs="Times New Roman"/>
          <w:sz w:val="24"/>
          <w:szCs w:val="24"/>
        </w:rPr>
        <w:t xml:space="preserve">que la nueva oferta educativa sea de calidad, </w:t>
      </w:r>
      <w:r w:rsidRPr="006C52E4">
        <w:rPr>
          <w:rFonts w:ascii="Times New Roman" w:hAnsi="Times New Roman" w:cs="Times New Roman"/>
          <w:sz w:val="24"/>
          <w:szCs w:val="24"/>
        </w:rPr>
        <w:t>manten</w:t>
      </w:r>
      <w:r w:rsidR="006C4F34">
        <w:rPr>
          <w:rFonts w:ascii="Times New Roman" w:hAnsi="Times New Roman" w:cs="Times New Roman"/>
          <w:sz w:val="24"/>
          <w:szCs w:val="24"/>
        </w:rPr>
        <w:t>iendo la calidad de la</w:t>
      </w:r>
      <w:r w:rsidRPr="006C52E4">
        <w:rPr>
          <w:rFonts w:ascii="Times New Roman" w:hAnsi="Times New Roman" w:cs="Times New Roman"/>
          <w:sz w:val="24"/>
          <w:szCs w:val="24"/>
        </w:rPr>
        <w:t xml:space="preserve"> Licenciatura en Arquitectura </w:t>
      </w:r>
      <w:r w:rsidR="006C4F34">
        <w:rPr>
          <w:rFonts w:ascii="Times New Roman" w:hAnsi="Times New Roman" w:cs="Times New Roman"/>
          <w:sz w:val="24"/>
          <w:szCs w:val="24"/>
        </w:rPr>
        <w:t xml:space="preserve">dando </w:t>
      </w:r>
      <w:r w:rsidRPr="006C52E4">
        <w:rPr>
          <w:rFonts w:ascii="Times New Roman" w:hAnsi="Times New Roman" w:cs="Times New Roman"/>
          <w:sz w:val="24"/>
          <w:szCs w:val="24"/>
        </w:rPr>
        <w:t xml:space="preserve">seguimiento </w:t>
      </w:r>
      <w:r w:rsidR="006C4F34">
        <w:rPr>
          <w:rFonts w:ascii="Times New Roman" w:hAnsi="Times New Roman" w:cs="Times New Roman"/>
          <w:sz w:val="24"/>
          <w:szCs w:val="24"/>
        </w:rPr>
        <w:t xml:space="preserve">y cumplimiento </w:t>
      </w:r>
      <w:r w:rsidRPr="006C52E4">
        <w:rPr>
          <w:rFonts w:ascii="Times New Roman" w:hAnsi="Times New Roman" w:cs="Times New Roman"/>
          <w:sz w:val="24"/>
          <w:szCs w:val="24"/>
        </w:rPr>
        <w:t>a las observaciones y recomendaciones del Comité acreditador. Algunos de los indicadores se ven impactados por el incremento de la matrícula que demanda mayor infraestructura, equipamiento y planta docente</w:t>
      </w:r>
      <w:r w:rsidR="006C4F34">
        <w:rPr>
          <w:rFonts w:ascii="Times New Roman" w:hAnsi="Times New Roman" w:cs="Times New Roman"/>
          <w:sz w:val="24"/>
          <w:szCs w:val="24"/>
        </w:rPr>
        <w:t xml:space="preserve">, elementos que al no se incrementan en la misma proporción que la matrícula, se tendrán </w:t>
      </w:r>
      <w:r w:rsidRPr="006C52E4">
        <w:rPr>
          <w:rFonts w:ascii="Times New Roman" w:hAnsi="Times New Roman" w:cs="Times New Roman"/>
          <w:sz w:val="24"/>
          <w:szCs w:val="24"/>
        </w:rPr>
        <w:t xml:space="preserve">que buscar </w:t>
      </w:r>
      <w:r w:rsidR="006C4F34">
        <w:rPr>
          <w:rFonts w:ascii="Times New Roman" w:hAnsi="Times New Roman" w:cs="Times New Roman"/>
          <w:sz w:val="24"/>
          <w:szCs w:val="24"/>
        </w:rPr>
        <w:t>estrategias para lograr</w:t>
      </w:r>
      <w:r w:rsidRPr="006C52E4">
        <w:rPr>
          <w:rFonts w:ascii="Times New Roman" w:hAnsi="Times New Roman" w:cs="Times New Roman"/>
          <w:sz w:val="24"/>
          <w:szCs w:val="24"/>
        </w:rPr>
        <w:t xml:space="preserve"> mayor eficiencia en tod</w:t>
      </w:r>
      <w:r w:rsidR="006C4F34">
        <w:rPr>
          <w:rFonts w:ascii="Times New Roman" w:hAnsi="Times New Roman" w:cs="Times New Roman"/>
          <w:sz w:val="24"/>
          <w:szCs w:val="24"/>
        </w:rPr>
        <w:t>os</w:t>
      </w:r>
      <w:r w:rsidRPr="006C52E4">
        <w:rPr>
          <w:rFonts w:ascii="Times New Roman" w:hAnsi="Times New Roman" w:cs="Times New Roman"/>
          <w:sz w:val="24"/>
          <w:szCs w:val="24"/>
        </w:rPr>
        <w:t xml:space="preserve"> l</w:t>
      </w:r>
      <w:r w:rsidR="006C4F34">
        <w:rPr>
          <w:rFonts w:ascii="Times New Roman" w:hAnsi="Times New Roman" w:cs="Times New Roman"/>
          <w:sz w:val="24"/>
          <w:szCs w:val="24"/>
        </w:rPr>
        <w:t>o</w:t>
      </w:r>
      <w:r w:rsidRPr="006C52E4">
        <w:rPr>
          <w:rFonts w:ascii="Times New Roman" w:hAnsi="Times New Roman" w:cs="Times New Roman"/>
          <w:sz w:val="24"/>
          <w:szCs w:val="24"/>
        </w:rPr>
        <w:t xml:space="preserve">s </w:t>
      </w:r>
      <w:r w:rsidR="006C4F34">
        <w:rPr>
          <w:rFonts w:ascii="Times New Roman" w:hAnsi="Times New Roman" w:cs="Times New Roman"/>
          <w:sz w:val="24"/>
          <w:szCs w:val="24"/>
        </w:rPr>
        <w:t>procesos y recursos</w:t>
      </w:r>
      <w:r w:rsidRPr="006C52E4">
        <w:rPr>
          <w:rFonts w:ascii="Times New Roman" w:hAnsi="Times New Roman" w:cs="Times New Roman"/>
          <w:sz w:val="24"/>
          <w:szCs w:val="24"/>
        </w:rPr>
        <w:t xml:space="preserve">. Los nuevos programas, no solo demandan lo antes dicho, sino que </w:t>
      </w:r>
      <w:r w:rsidR="006C4F34">
        <w:rPr>
          <w:rFonts w:ascii="Times New Roman" w:hAnsi="Times New Roman" w:cs="Times New Roman"/>
          <w:sz w:val="24"/>
          <w:szCs w:val="24"/>
        </w:rPr>
        <w:t xml:space="preserve">es necesaria la </w:t>
      </w:r>
      <w:r w:rsidR="0026024F" w:rsidRPr="006C52E4">
        <w:rPr>
          <w:rFonts w:ascii="Times New Roman" w:hAnsi="Times New Roman" w:cs="Times New Roman"/>
          <w:sz w:val="24"/>
          <w:szCs w:val="24"/>
        </w:rPr>
        <w:t>habilita</w:t>
      </w:r>
      <w:r w:rsidR="006C4F34">
        <w:rPr>
          <w:rFonts w:ascii="Times New Roman" w:hAnsi="Times New Roman" w:cs="Times New Roman"/>
          <w:sz w:val="24"/>
          <w:szCs w:val="24"/>
        </w:rPr>
        <w:t>ción didáctica, pedagógica y disciplinar del personal docente</w:t>
      </w:r>
      <w:r w:rsidR="0026024F" w:rsidRPr="006C52E4">
        <w:rPr>
          <w:rFonts w:ascii="Times New Roman" w:hAnsi="Times New Roman" w:cs="Times New Roman"/>
          <w:sz w:val="24"/>
          <w:szCs w:val="24"/>
        </w:rPr>
        <w:t xml:space="preserve"> </w:t>
      </w:r>
      <w:r w:rsidR="006C4F34">
        <w:rPr>
          <w:rFonts w:ascii="Times New Roman" w:hAnsi="Times New Roman" w:cs="Times New Roman"/>
          <w:sz w:val="24"/>
          <w:szCs w:val="24"/>
        </w:rPr>
        <w:t xml:space="preserve">que atenderá a los alumnos </w:t>
      </w:r>
      <w:r w:rsidR="003B7625">
        <w:rPr>
          <w:rFonts w:ascii="Times New Roman" w:hAnsi="Times New Roman" w:cs="Times New Roman"/>
          <w:sz w:val="24"/>
          <w:szCs w:val="24"/>
        </w:rPr>
        <w:t>inscritos en nuevos programas.</w:t>
      </w:r>
      <w:r w:rsidR="00174B2A" w:rsidRPr="006C52E4">
        <w:rPr>
          <w:rFonts w:ascii="Times New Roman" w:hAnsi="Times New Roman" w:cs="Times New Roman"/>
          <w:sz w:val="24"/>
          <w:szCs w:val="24"/>
        </w:rPr>
        <w:t xml:space="preserve"> </w:t>
      </w:r>
    </w:p>
    <w:p w14:paraId="4B75034E" w14:textId="2107E92A" w:rsidR="005124C8" w:rsidRPr="006C52E4" w:rsidRDefault="00174B2A" w:rsidP="002363C6">
      <w:pPr>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 El incremento a la matricula la ha colocado en una situación de conflicto ¿Cómo mantener los indicadores de calidad </w:t>
      </w:r>
      <w:r w:rsidR="00B116E4" w:rsidRPr="006C52E4">
        <w:rPr>
          <w:rFonts w:ascii="Times New Roman" w:hAnsi="Times New Roman" w:cs="Times New Roman"/>
          <w:sz w:val="24"/>
          <w:szCs w:val="24"/>
        </w:rPr>
        <w:t>de la licenciatura en arquitectura que ha incrementado</w:t>
      </w:r>
      <w:r w:rsidRPr="006C52E4">
        <w:rPr>
          <w:rFonts w:ascii="Times New Roman" w:hAnsi="Times New Roman" w:cs="Times New Roman"/>
          <w:sz w:val="24"/>
          <w:szCs w:val="24"/>
        </w:rPr>
        <w:t xml:space="preserve"> el número de alumnos, sin incrementar en la misma proporción la infraestructura, el equipamiento y l</w:t>
      </w:r>
      <w:r w:rsidR="00E95CA0" w:rsidRPr="006C52E4">
        <w:rPr>
          <w:rFonts w:ascii="Times New Roman" w:hAnsi="Times New Roman" w:cs="Times New Roman"/>
          <w:sz w:val="24"/>
          <w:szCs w:val="24"/>
        </w:rPr>
        <w:t>a planta magisterial</w:t>
      </w:r>
      <w:r w:rsidRPr="006C52E4">
        <w:rPr>
          <w:rFonts w:ascii="Times New Roman" w:hAnsi="Times New Roman" w:cs="Times New Roman"/>
          <w:sz w:val="24"/>
          <w:szCs w:val="24"/>
        </w:rPr>
        <w:t>?</w:t>
      </w:r>
      <w:r w:rsidR="00B116E4" w:rsidRPr="006C52E4">
        <w:rPr>
          <w:rFonts w:ascii="Times New Roman" w:hAnsi="Times New Roman" w:cs="Times New Roman"/>
          <w:sz w:val="24"/>
          <w:szCs w:val="24"/>
        </w:rPr>
        <w:t xml:space="preserve">, ¿cómo lograr obtener indicadores de calidad en los nuevos programas </w:t>
      </w:r>
      <w:r w:rsidR="001510F1">
        <w:rPr>
          <w:rFonts w:ascii="Times New Roman" w:hAnsi="Times New Roman" w:cs="Times New Roman"/>
          <w:sz w:val="24"/>
          <w:szCs w:val="24"/>
        </w:rPr>
        <w:t>educativos y lograr su</w:t>
      </w:r>
      <w:r w:rsidR="00B116E4" w:rsidRPr="006C52E4">
        <w:rPr>
          <w:rFonts w:ascii="Times New Roman" w:hAnsi="Times New Roman" w:cs="Times New Roman"/>
          <w:sz w:val="24"/>
          <w:szCs w:val="24"/>
        </w:rPr>
        <w:t xml:space="preserve"> acreditación </w:t>
      </w:r>
      <w:r w:rsidR="001510F1">
        <w:rPr>
          <w:rFonts w:ascii="Times New Roman" w:hAnsi="Times New Roman" w:cs="Times New Roman"/>
          <w:sz w:val="24"/>
          <w:szCs w:val="24"/>
        </w:rPr>
        <w:t>cuando sean evaluados</w:t>
      </w:r>
      <w:r w:rsidR="00B116E4" w:rsidRPr="006C52E4">
        <w:rPr>
          <w:rFonts w:ascii="Times New Roman" w:hAnsi="Times New Roman" w:cs="Times New Roman"/>
          <w:sz w:val="24"/>
          <w:szCs w:val="24"/>
        </w:rPr>
        <w:t>? La respuesta a estas interrogantes nos lleva a pensar en un proceso de planeación y evaluación permanente</w:t>
      </w:r>
      <w:r w:rsidR="001002E3" w:rsidRPr="006C52E4">
        <w:rPr>
          <w:rFonts w:ascii="Times New Roman" w:hAnsi="Times New Roman" w:cs="Times New Roman"/>
          <w:sz w:val="24"/>
          <w:szCs w:val="24"/>
        </w:rPr>
        <w:t xml:space="preserve"> que permita mantener en observación el desempeño de los actores académicos, el uso racional </w:t>
      </w:r>
      <w:r w:rsidR="001002E3" w:rsidRPr="006C52E4">
        <w:rPr>
          <w:rFonts w:ascii="Times New Roman" w:hAnsi="Times New Roman" w:cs="Times New Roman"/>
          <w:sz w:val="24"/>
          <w:szCs w:val="24"/>
        </w:rPr>
        <w:lastRenderedPageBreak/>
        <w:t>de los recursos y la optimización de los mismos así como los resultados de desempeño a través de los indicadores de calidad educativa.</w:t>
      </w:r>
    </w:p>
    <w:p w14:paraId="1B5A9A56" w14:textId="10E91F69" w:rsidR="00094950" w:rsidRPr="006C52E4" w:rsidRDefault="00E90581" w:rsidP="002363C6">
      <w:pPr>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En el ciclo escolar 2012-2013, la</w:t>
      </w:r>
      <w:r w:rsidR="001002E3" w:rsidRPr="006C52E4">
        <w:rPr>
          <w:rFonts w:ascii="Times New Roman" w:hAnsi="Times New Roman" w:cs="Times New Roman"/>
          <w:sz w:val="24"/>
          <w:szCs w:val="24"/>
        </w:rPr>
        <w:t xml:space="preserve">s nuevas carreras inician con 92 alumnos en la licenciatura en Diseño de Interiores y Ambientación y 86 en la licenciatura en Diseño Urbano y Ambientación. </w:t>
      </w:r>
      <w:r w:rsidR="00D30A24" w:rsidRPr="006C52E4">
        <w:rPr>
          <w:rFonts w:ascii="Times New Roman" w:hAnsi="Times New Roman" w:cs="Times New Roman"/>
          <w:sz w:val="24"/>
          <w:szCs w:val="24"/>
        </w:rPr>
        <w:t>Durante los primeros 5 años la matrícula aumenta</w:t>
      </w:r>
      <w:r w:rsidR="00D07248" w:rsidRPr="006C52E4">
        <w:rPr>
          <w:rFonts w:ascii="Times New Roman" w:hAnsi="Times New Roman" w:cs="Times New Roman"/>
          <w:sz w:val="24"/>
          <w:szCs w:val="24"/>
        </w:rPr>
        <w:t>rá paulatinamente</w:t>
      </w:r>
      <w:r w:rsidR="00D30A24" w:rsidRPr="006C52E4">
        <w:rPr>
          <w:rFonts w:ascii="Times New Roman" w:hAnsi="Times New Roman" w:cs="Times New Roman"/>
          <w:sz w:val="24"/>
          <w:szCs w:val="24"/>
        </w:rPr>
        <w:t xml:space="preserve"> puesto que no habrá egresad</w:t>
      </w:r>
      <w:r w:rsidR="00D07248" w:rsidRPr="006C52E4">
        <w:rPr>
          <w:rFonts w:ascii="Times New Roman" w:hAnsi="Times New Roman" w:cs="Times New Roman"/>
          <w:sz w:val="24"/>
          <w:szCs w:val="24"/>
        </w:rPr>
        <w:t>os hasta concluido este periodo. En consecuencia</w:t>
      </w:r>
      <w:r w:rsidR="00D30A24" w:rsidRPr="006C52E4">
        <w:rPr>
          <w:rFonts w:ascii="Times New Roman" w:hAnsi="Times New Roman" w:cs="Times New Roman"/>
          <w:sz w:val="24"/>
          <w:szCs w:val="24"/>
        </w:rPr>
        <w:t xml:space="preserve"> la demanda de infraestructura, equipamiento y personal docente será permanente </w:t>
      </w:r>
      <w:r w:rsidR="00C1063E" w:rsidRPr="006C52E4">
        <w:rPr>
          <w:rFonts w:ascii="Times New Roman" w:hAnsi="Times New Roman" w:cs="Times New Roman"/>
          <w:sz w:val="24"/>
          <w:szCs w:val="24"/>
        </w:rPr>
        <w:t xml:space="preserve">dado el incremento paulatino de la matrícula hasta llegar </w:t>
      </w:r>
      <w:r w:rsidR="00D30A24" w:rsidRPr="006C52E4">
        <w:rPr>
          <w:rFonts w:ascii="Times New Roman" w:hAnsi="Times New Roman" w:cs="Times New Roman"/>
          <w:sz w:val="24"/>
          <w:szCs w:val="24"/>
        </w:rPr>
        <w:t xml:space="preserve">al </w:t>
      </w:r>
      <w:r w:rsidR="00C1063E" w:rsidRPr="006C52E4">
        <w:rPr>
          <w:rFonts w:ascii="Times New Roman" w:hAnsi="Times New Roman" w:cs="Times New Roman"/>
          <w:sz w:val="24"/>
          <w:szCs w:val="24"/>
        </w:rPr>
        <w:t xml:space="preserve">año 2017 con 800 alumnos que es la matricula proyectada, si se mantiene la apertura de dos grupos por año para cada una de las nuevas carreras. </w:t>
      </w:r>
      <w:r w:rsidR="00D07248" w:rsidRPr="006C52E4">
        <w:rPr>
          <w:rFonts w:ascii="Times New Roman" w:hAnsi="Times New Roman" w:cs="Times New Roman"/>
          <w:sz w:val="24"/>
          <w:szCs w:val="24"/>
        </w:rPr>
        <w:t>Ante esta situación</w:t>
      </w:r>
      <w:r w:rsidR="00C1063E" w:rsidRPr="006C52E4">
        <w:rPr>
          <w:rFonts w:ascii="Times New Roman" w:hAnsi="Times New Roman" w:cs="Times New Roman"/>
          <w:sz w:val="24"/>
          <w:szCs w:val="24"/>
        </w:rPr>
        <w:t xml:space="preserve"> ¿</w:t>
      </w:r>
      <w:r w:rsidR="00D07248" w:rsidRPr="006C52E4">
        <w:rPr>
          <w:rFonts w:ascii="Times New Roman" w:hAnsi="Times New Roman" w:cs="Times New Roman"/>
          <w:sz w:val="24"/>
          <w:szCs w:val="24"/>
        </w:rPr>
        <w:t xml:space="preserve">Qué debe hacer el equipo directivo para asegurar la calidad educativa de los nuevos programas manteniendo los estándares de calidad en el programa de </w:t>
      </w:r>
      <w:r w:rsidR="00372386" w:rsidRPr="006C52E4">
        <w:rPr>
          <w:rFonts w:ascii="Times New Roman" w:hAnsi="Times New Roman" w:cs="Times New Roman"/>
          <w:sz w:val="24"/>
          <w:szCs w:val="24"/>
        </w:rPr>
        <w:t>la Licenciatura en Arquitectura? A</w:t>
      </w:r>
      <w:r w:rsidR="00566E49">
        <w:rPr>
          <w:rFonts w:ascii="Times New Roman" w:hAnsi="Times New Roman" w:cs="Times New Roman"/>
          <w:sz w:val="24"/>
          <w:szCs w:val="24"/>
        </w:rPr>
        <w:t xml:space="preserve"> simple vista </w:t>
      </w:r>
      <w:r w:rsidR="00372386" w:rsidRPr="006C52E4">
        <w:rPr>
          <w:rFonts w:ascii="Times New Roman" w:hAnsi="Times New Roman" w:cs="Times New Roman"/>
          <w:sz w:val="24"/>
          <w:szCs w:val="24"/>
        </w:rPr>
        <w:t>no</w:t>
      </w:r>
      <w:r w:rsidR="00566E49">
        <w:rPr>
          <w:rFonts w:ascii="Times New Roman" w:hAnsi="Times New Roman" w:cs="Times New Roman"/>
          <w:sz w:val="24"/>
          <w:szCs w:val="24"/>
        </w:rPr>
        <w:t xml:space="preserve"> se detecta la</w:t>
      </w:r>
      <w:r w:rsidR="00372386" w:rsidRPr="006C52E4">
        <w:rPr>
          <w:rFonts w:ascii="Times New Roman" w:hAnsi="Times New Roman" w:cs="Times New Roman"/>
          <w:sz w:val="24"/>
          <w:szCs w:val="24"/>
        </w:rPr>
        <w:t xml:space="preserve"> relación </w:t>
      </w:r>
      <w:r w:rsidR="00566E49">
        <w:rPr>
          <w:rFonts w:ascii="Times New Roman" w:hAnsi="Times New Roman" w:cs="Times New Roman"/>
          <w:sz w:val="24"/>
          <w:szCs w:val="24"/>
        </w:rPr>
        <w:t xml:space="preserve">entre </w:t>
      </w:r>
      <w:r w:rsidR="00372386" w:rsidRPr="006C52E4">
        <w:rPr>
          <w:rFonts w:ascii="Times New Roman" w:hAnsi="Times New Roman" w:cs="Times New Roman"/>
          <w:sz w:val="24"/>
          <w:szCs w:val="24"/>
        </w:rPr>
        <w:t xml:space="preserve">la calidad con que se atienda a los alumnos de las nuevas carreras y los de la Licenciatura en arquitectura, sin embargo, al compartir el mismo edificio, la misma planta de profesores, el mismo equipamiento y el mismo ambiente escolar habrá muchos elementos en los que la nueva oferta educativa </w:t>
      </w:r>
      <w:r w:rsidR="00094950" w:rsidRPr="006C52E4">
        <w:rPr>
          <w:rFonts w:ascii="Times New Roman" w:hAnsi="Times New Roman" w:cs="Times New Roman"/>
          <w:sz w:val="24"/>
          <w:szCs w:val="24"/>
        </w:rPr>
        <w:t>impactará en</w:t>
      </w:r>
      <w:r w:rsidR="00372386" w:rsidRPr="006C52E4">
        <w:rPr>
          <w:rFonts w:ascii="Times New Roman" w:hAnsi="Times New Roman" w:cs="Times New Roman"/>
          <w:sz w:val="24"/>
          <w:szCs w:val="24"/>
        </w:rPr>
        <w:t xml:space="preserve"> la estructura </w:t>
      </w:r>
      <w:r w:rsidR="00094950" w:rsidRPr="006C52E4">
        <w:rPr>
          <w:rFonts w:ascii="Times New Roman" w:hAnsi="Times New Roman" w:cs="Times New Roman"/>
          <w:sz w:val="24"/>
          <w:szCs w:val="24"/>
        </w:rPr>
        <w:t>administrativa, en la planta académica y tal vez a las dinámicas pedagógicas y didácticas en respuesta a los estilos propios de los campos profesionales para los que se están formando los Diseñadores de interiores y de Urbanismo.</w:t>
      </w:r>
    </w:p>
    <w:p w14:paraId="630CB062" w14:textId="0A88F688" w:rsidR="00C1063E" w:rsidRPr="006C52E4" w:rsidRDefault="00094950" w:rsidP="002363C6">
      <w:pPr>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Es imperiosa la necesidad de establecer </w:t>
      </w:r>
      <w:r w:rsidR="00C1063E" w:rsidRPr="006C52E4">
        <w:rPr>
          <w:rFonts w:ascii="Times New Roman" w:hAnsi="Times New Roman" w:cs="Times New Roman"/>
          <w:sz w:val="24"/>
          <w:szCs w:val="24"/>
        </w:rPr>
        <w:t xml:space="preserve">procesos </w:t>
      </w:r>
      <w:r w:rsidRPr="006C52E4">
        <w:rPr>
          <w:rFonts w:ascii="Times New Roman" w:hAnsi="Times New Roman" w:cs="Times New Roman"/>
          <w:sz w:val="24"/>
          <w:szCs w:val="24"/>
        </w:rPr>
        <w:t xml:space="preserve">colegiados </w:t>
      </w:r>
      <w:r w:rsidR="00C1063E" w:rsidRPr="006C52E4">
        <w:rPr>
          <w:rFonts w:ascii="Times New Roman" w:hAnsi="Times New Roman" w:cs="Times New Roman"/>
          <w:sz w:val="24"/>
          <w:szCs w:val="24"/>
        </w:rPr>
        <w:t>de planeación, evaluación</w:t>
      </w:r>
      <w:r w:rsidR="00E22B5B" w:rsidRPr="006C52E4">
        <w:rPr>
          <w:rFonts w:ascii="Times New Roman" w:hAnsi="Times New Roman" w:cs="Times New Roman"/>
          <w:sz w:val="24"/>
          <w:szCs w:val="24"/>
        </w:rPr>
        <w:t xml:space="preserve">, análisis de resultados y políticas de intervención </w:t>
      </w:r>
      <w:r w:rsidRPr="006C52E4">
        <w:rPr>
          <w:rFonts w:ascii="Times New Roman" w:hAnsi="Times New Roman" w:cs="Times New Roman"/>
          <w:sz w:val="24"/>
          <w:szCs w:val="24"/>
        </w:rPr>
        <w:t xml:space="preserve">con el propósito de detectar los </w:t>
      </w:r>
      <w:r w:rsidR="00E22B5B" w:rsidRPr="006C52E4">
        <w:rPr>
          <w:rFonts w:ascii="Times New Roman" w:hAnsi="Times New Roman" w:cs="Times New Roman"/>
          <w:sz w:val="24"/>
          <w:szCs w:val="24"/>
        </w:rPr>
        <w:t>procesos asertivos</w:t>
      </w:r>
      <w:r w:rsidRPr="006C52E4">
        <w:rPr>
          <w:rFonts w:ascii="Times New Roman" w:hAnsi="Times New Roman" w:cs="Times New Roman"/>
          <w:sz w:val="24"/>
          <w:szCs w:val="24"/>
        </w:rPr>
        <w:t>, apoyarse en ellos para</w:t>
      </w:r>
      <w:r w:rsidR="00C1063E" w:rsidRPr="006C52E4">
        <w:rPr>
          <w:rFonts w:ascii="Times New Roman" w:hAnsi="Times New Roman" w:cs="Times New Roman"/>
          <w:sz w:val="24"/>
          <w:szCs w:val="24"/>
        </w:rPr>
        <w:t xml:space="preserve"> </w:t>
      </w:r>
      <w:r w:rsidR="00E22B5B" w:rsidRPr="006C52E4">
        <w:rPr>
          <w:rFonts w:ascii="Times New Roman" w:hAnsi="Times New Roman" w:cs="Times New Roman"/>
          <w:sz w:val="24"/>
          <w:szCs w:val="24"/>
        </w:rPr>
        <w:t>mejora</w:t>
      </w:r>
      <w:r w:rsidRPr="006C52E4">
        <w:rPr>
          <w:rFonts w:ascii="Times New Roman" w:hAnsi="Times New Roman" w:cs="Times New Roman"/>
          <w:sz w:val="24"/>
          <w:szCs w:val="24"/>
        </w:rPr>
        <w:t>r en</w:t>
      </w:r>
      <w:r w:rsidR="00E22B5B" w:rsidRPr="006C52E4">
        <w:rPr>
          <w:rFonts w:ascii="Times New Roman" w:hAnsi="Times New Roman" w:cs="Times New Roman"/>
          <w:sz w:val="24"/>
          <w:szCs w:val="24"/>
        </w:rPr>
        <w:t xml:space="preserve"> las áreas de oportunidad detectadas en cada periodo o ciclo escolar. </w:t>
      </w:r>
    </w:p>
    <w:p w14:paraId="78D792C3" w14:textId="77777777" w:rsidR="00174B2A" w:rsidRPr="006C52E4" w:rsidRDefault="00E22B5B" w:rsidP="002363C6">
      <w:pPr>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La </w:t>
      </w:r>
      <w:r w:rsidR="00602445" w:rsidRPr="006C52E4">
        <w:rPr>
          <w:rFonts w:ascii="Times New Roman" w:hAnsi="Times New Roman" w:cs="Times New Roman"/>
          <w:sz w:val="24"/>
          <w:szCs w:val="24"/>
        </w:rPr>
        <w:t>Facultad</w:t>
      </w:r>
      <w:r w:rsidRPr="006C52E4">
        <w:rPr>
          <w:rFonts w:ascii="Times New Roman" w:hAnsi="Times New Roman" w:cs="Times New Roman"/>
          <w:sz w:val="24"/>
          <w:szCs w:val="24"/>
        </w:rPr>
        <w:t xml:space="preserve"> de Arquitectura </w:t>
      </w:r>
      <w:r w:rsidR="00602445" w:rsidRPr="006C52E4">
        <w:rPr>
          <w:rFonts w:ascii="Times New Roman" w:hAnsi="Times New Roman" w:cs="Times New Roman"/>
          <w:sz w:val="24"/>
          <w:szCs w:val="24"/>
        </w:rPr>
        <w:t xml:space="preserve">desde </w:t>
      </w:r>
      <w:r w:rsidRPr="006C52E4">
        <w:rPr>
          <w:rFonts w:ascii="Times New Roman" w:hAnsi="Times New Roman" w:cs="Times New Roman"/>
          <w:sz w:val="24"/>
          <w:szCs w:val="24"/>
        </w:rPr>
        <w:t xml:space="preserve">el año </w:t>
      </w:r>
      <w:r w:rsidR="00602445" w:rsidRPr="006C52E4">
        <w:rPr>
          <w:rFonts w:ascii="Times New Roman" w:hAnsi="Times New Roman" w:cs="Times New Roman"/>
          <w:sz w:val="24"/>
          <w:szCs w:val="24"/>
        </w:rPr>
        <w:t xml:space="preserve">2006 se </w:t>
      </w:r>
      <w:r w:rsidRPr="006C52E4">
        <w:rPr>
          <w:rFonts w:ascii="Times New Roman" w:hAnsi="Times New Roman" w:cs="Times New Roman"/>
          <w:sz w:val="24"/>
          <w:szCs w:val="24"/>
        </w:rPr>
        <w:t>distingue</w:t>
      </w:r>
      <w:r w:rsidR="00602445" w:rsidRPr="006C52E4">
        <w:rPr>
          <w:rFonts w:ascii="Times New Roman" w:hAnsi="Times New Roman" w:cs="Times New Roman"/>
          <w:sz w:val="24"/>
          <w:szCs w:val="24"/>
        </w:rPr>
        <w:t xml:space="preserve"> por brindar una educación de calidad al mantener el programa de la Licenciatura en Arquitectura acreditado por el organismo reconocido por COPAES, refrendando la calidad en 2012 al ser acreditado por la</w:t>
      </w:r>
      <w:r w:rsidR="005D1C5F" w:rsidRPr="006C52E4">
        <w:rPr>
          <w:rFonts w:ascii="Times New Roman" w:hAnsi="Times New Roman" w:cs="Times New Roman"/>
          <w:sz w:val="24"/>
          <w:szCs w:val="24"/>
        </w:rPr>
        <w:t xml:space="preserve"> Acreditadora Nacional de Programas de Arquitectura y Diseño del Espacio Habitable (</w:t>
      </w:r>
      <w:r w:rsidR="00602445" w:rsidRPr="006C52E4">
        <w:rPr>
          <w:rFonts w:ascii="Times New Roman" w:hAnsi="Times New Roman" w:cs="Times New Roman"/>
          <w:sz w:val="24"/>
          <w:szCs w:val="24"/>
        </w:rPr>
        <w:t>ANPADEH</w:t>
      </w:r>
      <w:r w:rsidR="005D1C5F" w:rsidRPr="006C52E4">
        <w:rPr>
          <w:rFonts w:ascii="Times New Roman" w:hAnsi="Times New Roman" w:cs="Times New Roman"/>
          <w:sz w:val="24"/>
          <w:szCs w:val="24"/>
        </w:rPr>
        <w:t>)</w:t>
      </w:r>
      <w:r w:rsidR="00602445" w:rsidRPr="006C52E4">
        <w:rPr>
          <w:rFonts w:ascii="Times New Roman" w:hAnsi="Times New Roman" w:cs="Times New Roman"/>
          <w:sz w:val="24"/>
          <w:szCs w:val="24"/>
        </w:rPr>
        <w:t xml:space="preserve"> que es una Acreditadora con reconocimiento internacional.  </w:t>
      </w:r>
      <w:r w:rsidRPr="006C52E4">
        <w:rPr>
          <w:rFonts w:ascii="Times New Roman" w:hAnsi="Times New Roman" w:cs="Times New Roman"/>
          <w:sz w:val="24"/>
          <w:szCs w:val="24"/>
        </w:rPr>
        <w:t xml:space="preserve">Ahora, </w:t>
      </w:r>
      <w:r w:rsidR="00416EC8" w:rsidRPr="006C52E4">
        <w:rPr>
          <w:rFonts w:ascii="Times New Roman" w:hAnsi="Times New Roman" w:cs="Times New Roman"/>
          <w:sz w:val="24"/>
          <w:szCs w:val="24"/>
        </w:rPr>
        <w:t xml:space="preserve">presenta </w:t>
      </w:r>
      <w:r w:rsidR="009D454E" w:rsidRPr="006C52E4">
        <w:rPr>
          <w:rFonts w:ascii="Times New Roman" w:hAnsi="Times New Roman" w:cs="Times New Roman"/>
          <w:sz w:val="24"/>
          <w:szCs w:val="24"/>
        </w:rPr>
        <w:t>a los actores de los procesos educativos, de la gestión académica</w:t>
      </w:r>
      <w:r w:rsidR="00602445" w:rsidRPr="006C52E4">
        <w:rPr>
          <w:rFonts w:ascii="Times New Roman" w:hAnsi="Times New Roman" w:cs="Times New Roman"/>
          <w:sz w:val="24"/>
          <w:szCs w:val="24"/>
        </w:rPr>
        <w:t xml:space="preserve"> </w:t>
      </w:r>
      <w:r w:rsidR="009D454E" w:rsidRPr="006C52E4">
        <w:rPr>
          <w:rFonts w:ascii="Times New Roman" w:hAnsi="Times New Roman" w:cs="Times New Roman"/>
          <w:sz w:val="24"/>
          <w:szCs w:val="24"/>
        </w:rPr>
        <w:t xml:space="preserve">y de investigación </w:t>
      </w:r>
      <w:r w:rsidR="00416EC8" w:rsidRPr="006C52E4">
        <w:rPr>
          <w:rFonts w:ascii="Times New Roman" w:hAnsi="Times New Roman" w:cs="Times New Roman"/>
          <w:sz w:val="24"/>
          <w:szCs w:val="24"/>
        </w:rPr>
        <w:t>el</w:t>
      </w:r>
      <w:r w:rsidR="009D454E" w:rsidRPr="006C52E4">
        <w:rPr>
          <w:rFonts w:ascii="Times New Roman" w:hAnsi="Times New Roman" w:cs="Times New Roman"/>
          <w:sz w:val="24"/>
          <w:szCs w:val="24"/>
        </w:rPr>
        <w:t xml:space="preserve"> reto</w:t>
      </w:r>
      <w:r w:rsidR="00416EC8" w:rsidRPr="006C52E4">
        <w:rPr>
          <w:rFonts w:ascii="Times New Roman" w:hAnsi="Times New Roman" w:cs="Times New Roman"/>
          <w:sz w:val="24"/>
          <w:szCs w:val="24"/>
        </w:rPr>
        <w:t xml:space="preserve"> de</w:t>
      </w:r>
      <w:r w:rsidR="009D454E" w:rsidRPr="006C52E4">
        <w:rPr>
          <w:rFonts w:ascii="Times New Roman" w:hAnsi="Times New Roman" w:cs="Times New Roman"/>
          <w:sz w:val="24"/>
          <w:szCs w:val="24"/>
        </w:rPr>
        <w:t xml:space="preserve"> mantener la calidad de la Licenciatura en Arquitectura y asegurar la calidad de los nuevos </w:t>
      </w:r>
      <w:r w:rsidR="009D454E" w:rsidRPr="006C52E4">
        <w:rPr>
          <w:rFonts w:ascii="Times New Roman" w:hAnsi="Times New Roman" w:cs="Times New Roman"/>
          <w:sz w:val="24"/>
          <w:szCs w:val="24"/>
        </w:rPr>
        <w:lastRenderedPageBreak/>
        <w:t>programas para que una vez que cumplan con los requisitos para ser evaluables, logren también la acreditación por parte de los organismos correspondientes.</w:t>
      </w:r>
    </w:p>
    <w:p w14:paraId="01264A04" w14:textId="77777777" w:rsidR="0033798E" w:rsidRPr="006C52E4" w:rsidRDefault="00F10EAC" w:rsidP="002363C6">
      <w:pPr>
        <w:autoSpaceDE w:val="0"/>
        <w:autoSpaceDN w:val="0"/>
        <w:adjustRightInd w:val="0"/>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El nuevo escenario que se vive en la FAUAS demanda a los actores de la misma un mayor esfuerzo y optimizar tiempos y recursos. </w:t>
      </w:r>
      <w:r w:rsidR="007B4DDD" w:rsidRPr="006C52E4">
        <w:rPr>
          <w:rFonts w:ascii="Times New Roman" w:hAnsi="Times New Roman" w:cs="Times New Roman"/>
          <w:sz w:val="24"/>
          <w:szCs w:val="24"/>
        </w:rPr>
        <w:t xml:space="preserve"> </w:t>
      </w:r>
      <w:r w:rsidRPr="006C52E4">
        <w:rPr>
          <w:rFonts w:ascii="Times New Roman" w:hAnsi="Times New Roman" w:cs="Times New Roman"/>
          <w:sz w:val="24"/>
          <w:szCs w:val="24"/>
        </w:rPr>
        <w:t xml:space="preserve">Para ello, es necesario realizar </w:t>
      </w:r>
      <w:r w:rsidR="00436BDD" w:rsidRPr="006C52E4">
        <w:rPr>
          <w:rFonts w:ascii="Times New Roman" w:hAnsi="Times New Roman" w:cs="Times New Roman"/>
          <w:sz w:val="24"/>
          <w:szCs w:val="24"/>
        </w:rPr>
        <w:t>evaluación inicial, con el  propósito contar con una apreciación y valoración sobre la situación actual, estimando en qué medida esta se corresponde con la situación deseada. El diagnóstico permitirá conocer, comprender y explicar de manera integral los factores o causas que inciden en el funcionamiento de la Facultad.</w:t>
      </w:r>
      <w:r w:rsidR="007B4DDD" w:rsidRPr="006C52E4">
        <w:rPr>
          <w:rFonts w:ascii="Times New Roman" w:hAnsi="Times New Roman" w:cs="Times New Roman"/>
          <w:sz w:val="24"/>
          <w:szCs w:val="24"/>
        </w:rPr>
        <w:t xml:space="preserve">  </w:t>
      </w:r>
    </w:p>
    <w:p w14:paraId="34F222A4" w14:textId="77777777" w:rsidR="005C1B86" w:rsidRPr="006C52E4" w:rsidRDefault="007B4DDD" w:rsidP="002363C6">
      <w:pPr>
        <w:autoSpaceDE w:val="0"/>
        <w:autoSpaceDN w:val="0"/>
        <w:adjustRightInd w:val="0"/>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Otro aspecto importante que se tiene abordar es la planeación para la implementación de los Planes de estudio. El diagnóstico es elemento importante para la determinación de las estrategias de intervención y definición de acciones por parte de los actores, así como el uso de los recursos </w:t>
      </w:r>
      <w:r w:rsidR="005C1B86" w:rsidRPr="006C52E4">
        <w:rPr>
          <w:rFonts w:ascii="Times New Roman" w:hAnsi="Times New Roman" w:cs="Times New Roman"/>
          <w:sz w:val="24"/>
          <w:szCs w:val="24"/>
        </w:rPr>
        <w:t>de infraestructura y equipamiento.  Es necesario integrar equipos de trabajo para planear las actividades propias de la implementación de los Programas educativos. El seguimiento y evaluación serán actividades que forman parte de las estrategias como elementos orientadores en un proceso educativo dinámico y de mejora continua.</w:t>
      </w:r>
    </w:p>
    <w:p w14:paraId="4827C758" w14:textId="77777777" w:rsidR="00A45A17" w:rsidRPr="007A0865" w:rsidRDefault="005C1B86" w:rsidP="002363C6">
      <w:pPr>
        <w:autoSpaceDE w:val="0"/>
        <w:autoSpaceDN w:val="0"/>
        <w:adjustRightInd w:val="0"/>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El problema principal de este trabajo </w:t>
      </w:r>
      <w:r w:rsidRPr="007A0865">
        <w:rPr>
          <w:rFonts w:ascii="Times New Roman" w:hAnsi="Times New Roman" w:cs="Times New Roman"/>
          <w:sz w:val="24"/>
          <w:szCs w:val="24"/>
        </w:rPr>
        <w:t xml:space="preserve">es ¿Cómo integrar un equipo de </w:t>
      </w:r>
      <w:r w:rsidR="00A4659B" w:rsidRPr="007A0865">
        <w:rPr>
          <w:rFonts w:ascii="Times New Roman" w:hAnsi="Times New Roman" w:cs="Times New Roman"/>
          <w:sz w:val="24"/>
          <w:szCs w:val="24"/>
        </w:rPr>
        <w:t xml:space="preserve">docentes de los nuevos programas educativos, que estén dispuestos a modificar sus estrategias pedagógicas y didácticas </w:t>
      </w:r>
      <w:r w:rsidR="00E21EC6" w:rsidRPr="007A0865">
        <w:rPr>
          <w:rFonts w:ascii="Times New Roman" w:hAnsi="Times New Roman" w:cs="Times New Roman"/>
          <w:sz w:val="24"/>
          <w:szCs w:val="24"/>
        </w:rPr>
        <w:t xml:space="preserve">con el propósito de </w:t>
      </w:r>
      <w:r w:rsidR="00A4659B" w:rsidRPr="007A0865">
        <w:rPr>
          <w:rFonts w:ascii="Times New Roman" w:hAnsi="Times New Roman" w:cs="Times New Roman"/>
          <w:sz w:val="24"/>
          <w:szCs w:val="24"/>
        </w:rPr>
        <w:t>garanti</w:t>
      </w:r>
      <w:r w:rsidR="00E21EC6" w:rsidRPr="007A0865">
        <w:rPr>
          <w:rFonts w:ascii="Times New Roman" w:hAnsi="Times New Roman" w:cs="Times New Roman"/>
          <w:sz w:val="24"/>
          <w:szCs w:val="24"/>
        </w:rPr>
        <w:t>zar</w:t>
      </w:r>
      <w:r w:rsidR="00A4659B" w:rsidRPr="007A0865">
        <w:rPr>
          <w:rFonts w:ascii="Times New Roman" w:hAnsi="Times New Roman" w:cs="Times New Roman"/>
          <w:sz w:val="24"/>
          <w:szCs w:val="24"/>
        </w:rPr>
        <w:t xml:space="preserve"> el cumplimiento de un conjunto de indicadores de calidad previamente establecidos? ¿Cómo lograr que los directivos de la FAUAS hagan sinergia con estos grupos de profesores y se asuman como los principales gestores educativos para facilitar la realización de los procesos educativos que han sido planeados? </w:t>
      </w:r>
      <w:r w:rsidR="002624DB" w:rsidRPr="007A0865">
        <w:rPr>
          <w:rFonts w:ascii="Times New Roman" w:hAnsi="Times New Roman" w:cs="Times New Roman"/>
          <w:sz w:val="24"/>
          <w:szCs w:val="24"/>
        </w:rPr>
        <w:t xml:space="preserve"> </w:t>
      </w:r>
    </w:p>
    <w:p w14:paraId="2E01382B" w14:textId="1E88F806" w:rsidR="007855AF" w:rsidRPr="006C52E4" w:rsidRDefault="002624DB" w:rsidP="002363C6">
      <w:pPr>
        <w:autoSpaceDE w:val="0"/>
        <w:autoSpaceDN w:val="0"/>
        <w:adjustRightInd w:val="0"/>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Un aspecto que no puede soslayarse es </w:t>
      </w:r>
      <w:r w:rsidR="00892389" w:rsidRPr="006C52E4">
        <w:rPr>
          <w:rFonts w:ascii="Times New Roman" w:hAnsi="Times New Roman" w:cs="Times New Roman"/>
          <w:sz w:val="24"/>
          <w:szCs w:val="24"/>
        </w:rPr>
        <w:t xml:space="preserve">el impacto </w:t>
      </w:r>
      <w:r w:rsidRPr="006C52E4">
        <w:rPr>
          <w:rFonts w:ascii="Times New Roman" w:hAnsi="Times New Roman" w:cs="Times New Roman"/>
          <w:sz w:val="24"/>
          <w:szCs w:val="24"/>
        </w:rPr>
        <w:t xml:space="preserve">que a mitad del ciclo escolar </w:t>
      </w:r>
      <w:r w:rsidR="00892389" w:rsidRPr="006C52E4">
        <w:rPr>
          <w:rFonts w:ascii="Times New Roman" w:hAnsi="Times New Roman" w:cs="Times New Roman"/>
          <w:sz w:val="24"/>
          <w:szCs w:val="24"/>
        </w:rPr>
        <w:t>ha generado el cambio del Director de la Facultad de Arquitectura y con ello, la integración de un nuevo equipo directivo. La Licenciatura en Diseño de Interiores y Ambientación</w:t>
      </w:r>
      <w:r w:rsidR="00610B48">
        <w:rPr>
          <w:rFonts w:ascii="Times New Roman" w:hAnsi="Times New Roman" w:cs="Times New Roman"/>
          <w:sz w:val="24"/>
          <w:szCs w:val="24"/>
        </w:rPr>
        <w:t xml:space="preserve"> (DIA)</w:t>
      </w:r>
      <w:r w:rsidR="00892389" w:rsidRPr="006C52E4">
        <w:rPr>
          <w:rFonts w:ascii="Times New Roman" w:hAnsi="Times New Roman" w:cs="Times New Roman"/>
          <w:sz w:val="24"/>
          <w:szCs w:val="24"/>
        </w:rPr>
        <w:t xml:space="preserve"> es la que se ha visto más afectada. No se asignó personal en la Coordinación de Carre</w:t>
      </w:r>
      <w:r w:rsidR="00E50BB0">
        <w:rPr>
          <w:rFonts w:ascii="Times New Roman" w:hAnsi="Times New Roman" w:cs="Times New Roman"/>
          <w:sz w:val="24"/>
          <w:szCs w:val="24"/>
        </w:rPr>
        <w:t xml:space="preserve">ra y </w:t>
      </w:r>
      <w:r w:rsidR="00892389" w:rsidRPr="006C52E4">
        <w:rPr>
          <w:rFonts w:ascii="Times New Roman" w:hAnsi="Times New Roman" w:cs="Times New Roman"/>
          <w:sz w:val="24"/>
          <w:szCs w:val="24"/>
        </w:rPr>
        <w:t xml:space="preserve">de manera temporal, </w:t>
      </w:r>
      <w:r w:rsidR="00E50BB0">
        <w:rPr>
          <w:rFonts w:ascii="Times New Roman" w:hAnsi="Times New Roman" w:cs="Times New Roman"/>
          <w:sz w:val="24"/>
          <w:szCs w:val="24"/>
        </w:rPr>
        <w:t xml:space="preserve">es atendida por la coordinadora de </w:t>
      </w:r>
      <w:r w:rsidR="007855AF" w:rsidRPr="006C52E4">
        <w:rPr>
          <w:rFonts w:ascii="Times New Roman" w:hAnsi="Times New Roman" w:cs="Times New Roman"/>
          <w:sz w:val="24"/>
          <w:szCs w:val="24"/>
        </w:rPr>
        <w:t>la Licenciatura en Diseño Urbano y del Paisaje</w:t>
      </w:r>
      <w:r w:rsidR="00610B48">
        <w:rPr>
          <w:rFonts w:ascii="Times New Roman" w:hAnsi="Times New Roman" w:cs="Times New Roman"/>
          <w:sz w:val="24"/>
          <w:szCs w:val="24"/>
        </w:rPr>
        <w:t xml:space="preserve"> (DUP)</w:t>
      </w:r>
      <w:r w:rsidR="007855AF" w:rsidRPr="006C52E4">
        <w:rPr>
          <w:rFonts w:ascii="Times New Roman" w:hAnsi="Times New Roman" w:cs="Times New Roman"/>
          <w:sz w:val="24"/>
          <w:szCs w:val="24"/>
        </w:rPr>
        <w:t xml:space="preserve">. </w:t>
      </w:r>
    </w:p>
    <w:p w14:paraId="190EB462" w14:textId="6DC2CD66" w:rsidR="007855AF" w:rsidRPr="006C52E4" w:rsidRDefault="007855AF" w:rsidP="002363C6">
      <w:pPr>
        <w:autoSpaceDE w:val="0"/>
        <w:autoSpaceDN w:val="0"/>
        <w:adjustRightInd w:val="0"/>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Otro problema relevante que debe ser atendido por las autoridades encargadas de la contratación del personal académico o de la asignación de las cargas académicas, es el de </w:t>
      </w:r>
      <w:r w:rsidRPr="006C52E4">
        <w:rPr>
          <w:rFonts w:ascii="Times New Roman" w:hAnsi="Times New Roman" w:cs="Times New Roman"/>
          <w:sz w:val="24"/>
          <w:szCs w:val="24"/>
        </w:rPr>
        <w:lastRenderedPageBreak/>
        <w:t>hacer una real valoración del perfil del personal docente. Es necesario hacer una justa ponderación de los aspectos de la idoneidad del perfil de los aspirantes a cubrir la carga académica. Darle el peso específico a factores del perfil profesional, de las competencias docentes en las áreas de conocimiento de la carga vacante, de la experiencia en el campo profesional y de la antigüedad docent</w:t>
      </w:r>
      <w:r w:rsidR="00F347FA" w:rsidRPr="006C52E4">
        <w:rPr>
          <w:rFonts w:ascii="Times New Roman" w:hAnsi="Times New Roman" w:cs="Times New Roman"/>
          <w:sz w:val="24"/>
          <w:szCs w:val="24"/>
        </w:rPr>
        <w:t>e. Ninguno de estos factores, por sí solo, puede estar por encima de los otros</w:t>
      </w:r>
      <w:r w:rsidR="0096631B">
        <w:rPr>
          <w:rFonts w:ascii="Times New Roman" w:hAnsi="Times New Roman" w:cs="Times New Roman"/>
          <w:sz w:val="24"/>
          <w:szCs w:val="24"/>
        </w:rPr>
        <w:t xml:space="preserve"> en el entendido de que se pretende brindar un verdadero apoyo a los estudiantes para facilitarles los procesos de aprendizaje para su formación profesional, es decir, se debe contratar personal que cumpla con las competencias docentes y profesionales que se requieren para la implementación del respectivo programa educativo.  </w:t>
      </w:r>
      <w:r w:rsidR="00F347FA" w:rsidRPr="006C52E4">
        <w:rPr>
          <w:rFonts w:ascii="Times New Roman" w:hAnsi="Times New Roman" w:cs="Times New Roman"/>
          <w:sz w:val="24"/>
          <w:szCs w:val="24"/>
        </w:rPr>
        <w:t xml:space="preserve"> </w:t>
      </w:r>
      <w:r w:rsidRPr="006C52E4">
        <w:rPr>
          <w:rFonts w:ascii="Times New Roman" w:hAnsi="Times New Roman" w:cs="Times New Roman"/>
          <w:sz w:val="24"/>
          <w:szCs w:val="24"/>
        </w:rPr>
        <w:t xml:space="preserve"> </w:t>
      </w:r>
    </w:p>
    <w:p w14:paraId="4E91F12E" w14:textId="77777777" w:rsidR="00BD466E" w:rsidRDefault="00BD466E" w:rsidP="002363C6">
      <w:pPr>
        <w:autoSpaceDE w:val="0"/>
        <w:autoSpaceDN w:val="0"/>
        <w:adjustRightInd w:val="0"/>
        <w:spacing w:line="360" w:lineRule="auto"/>
        <w:jc w:val="both"/>
        <w:rPr>
          <w:rFonts w:ascii="Times New Roman" w:hAnsi="Times New Roman" w:cs="Times New Roman"/>
          <w:sz w:val="24"/>
          <w:szCs w:val="24"/>
        </w:rPr>
      </w:pPr>
    </w:p>
    <w:p w14:paraId="468EE0CE" w14:textId="615A5EBE" w:rsidR="001510F1" w:rsidRPr="008C03A4" w:rsidRDefault="001510F1" w:rsidP="002363C6">
      <w:pPr>
        <w:autoSpaceDE w:val="0"/>
        <w:autoSpaceDN w:val="0"/>
        <w:adjustRightInd w:val="0"/>
        <w:spacing w:line="360" w:lineRule="auto"/>
        <w:jc w:val="both"/>
        <w:rPr>
          <w:rFonts w:ascii="Times New Roman" w:hAnsi="Times New Roman" w:cs="Times New Roman"/>
          <w:b/>
          <w:sz w:val="24"/>
          <w:szCs w:val="24"/>
        </w:rPr>
      </w:pPr>
      <w:r w:rsidRPr="008C03A4">
        <w:rPr>
          <w:rFonts w:ascii="Times New Roman" w:hAnsi="Times New Roman" w:cs="Times New Roman"/>
          <w:b/>
          <w:sz w:val="24"/>
          <w:szCs w:val="24"/>
        </w:rPr>
        <w:t>Marco teórico</w:t>
      </w:r>
    </w:p>
    <w:p w14:paraId="73B9DB25" w14:textId="77777777" w:rsidR="00EF5385" w:rsidRDefault="001510F1" w:rsidP="002363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Una de las interrogantes se refiere a los indicadores de calidad que deben </w:t>
      </w:r>
      <w:r w:rsidR="003729D4">
        <w:rPr>
          <w:rFonts w:ascii="Times New Roman" w:hAnsi="Times New Roman" w:cs="Times New Roman"/>
          <w:sz w:val="24"/>
          <w:szCs w:val="24"/>
        </w:rPr>
        <w:t xml:space="preserve">verificarse en distintos parámetros utilizados para evaluar los programas educativos. Es muy importante el indicador de eficiencia terminal, un programa educativo de calidad debe mantener este indicador por encima del 70%. En contra de este indicador están los indicadores de deserción, rezago académico y bajo rendimiento académico. </w:t>
      </w:r>
      <w:r w:rsidR="009D305C">
        <w:rPr>
          <w:rFonts w:ascii="Times New Roman" w:hAnsi="Times New Roman" w:cs="Times New Roman"/>
          <w:sz w:val="24"/>
          <w:szCs w:val="24"/>
        </w:rPr>
        <w:t>En un programa educativo o una cohorte que van iniciando</w:t>
      </w:r>
      <w:r w:rsidR="003729D4">
        <w:rPr>
          <w:rFonts w:ascii="Times New Roman" w:hAnsi="Times New Roman" w:cs="Times New Roman"/>
          <w:sz w:val="24"/>
          <w:szCs w:val="24"/>
        </w:rPr>
        <w:t xml:space="preserve"> </w:t>
      </w:r>
      <w:r w:rsidR="009D305C">
        <w:rPr>
          <w:rFonts w:ascii="Times New Roman" w:hAnsi="Times New Roman" w:cs="Times New Roman"/>
          <w:sz w:val="24"/>
          <w:szCs w:val="24"/>
        </w:rPr>
        <w:t xml:space="preserve">no podemos determinar la eficiencia terminal, sin embargo, podemos trabajar teniendo como meta lograr un alto indicador, para ello, es necesario poner atención en los otros indicadores. </w:t>
      </w:r>
    </w:p>
    <w:p w14:paraId="4260173E" w14:textId="3C18FE2C" w:rsidR="00EF5385" w:rsidRDefault="009D305C" w:rsidP="002363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Por ejemplo, si queremos que el indicador de eficiencia terminal sea mayor al 70%, la suma de los indicadores de deserción escolar y rezago académico debe ser menor al 30%. El indicador de rendimiento académico</w:t>
      </w:r>
      <w:r w:rsidR="00EF5385">
        <w:rPr>
          <w:rFonts w:ascii="Times New Roman" w:hAnsi="Times New Roman" w:cs="Times New Roman"/>
          <w:sz w:val="24"/>
          <w:szCs w:val="24"/>
        </w:rPr>
        <w:t>, cuando es muy bajo, nos está hablando de la posibilidad de que los alumnos caigan en rezago académico o en abandono escolar debido al sentimiento de frustración académica y baja autoestima al no poder obtener calificaciones que les estimule y recompense su esfuerzo y dedicación.</w:t>
      </w:r>
    </w:p>
    <w:p w14:paraId="1CA04C75" w14:textId="1EC9A516" w:rsidR="00D220AE" w:rsidRDefault="00EF5385" w:rsidP="002363C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Así como se debe poner atención y cuidado al indicador de la eficiencia terminal, es necesario tener siempre presente el perfil de egreso</w:t>
      </w:r>
      <w:r w:rsidR="00D220AE">
        <w:rPr>
          <w:rFonts w:ascii="Times New Roman" w:hAnsi="Times New Roman" w:cs="Times New Roman"/>
          <w:sz w:val="24"/>
          <w:szCs w:val="24"/>
        </w:rPr>
        <w:t xml:space="preserve"> que prefigura el tipo de profesional que deseamos formar</w:t>
      </w:r>
      <w:r w:rsidR="00205391">
        <w:rPr>
          <w:rFonts w:ascii="Times New Roman" w:hAnsi="Times New Roman" w:cs="Times New Roman"/>
          <w:sz w:val="24"/>
          <w:szCs w:val="24"/>
        </w:rPr>
        <w:t xml:space="preserve">. </w:t>
      </w:r>
    </w:p>
    <w:p w14:paraId="7BEF7B6D" w14:textId="77777777" w:rsidR="00D220AE" w:rsidRDefault="00205391" w:rsidP="002363C6">
      <w:pPr>
        <w:autoSpaceDE w:val="0"/>
        <w:autoSpaceDN w:val="0"/>
        <w:adjustRightInd w:val="0"/>
        <w:spacing w:line="360" w:lineRule="auto"/>
        <w:jc w:val="both"/>
        <w:rPr>
          <w:rFonts w:ascii="Times New Roman" w:hAnsi="Times New Roman" w:cs="Times New Roman"/>
          <w:sz w:val="24"/>
          <w:szCs w:val="24"/>
        </w:rPr>
      </w:pPr>
      <w:r w:rsidRPr="00D220AE">
        <w:rPr>
          <w:rFonts w:ascii="Times New Roman" w:hAnsi="Times New Roman" w:cs="Times New Roman"/>
          <w:sz w:val="24"/>
          <w:szCs w:val="24"/>
        </w:rPr>
        <w:lastRenderedPageBreak/>
        <w:t xml:space="preserve">De acuerdo con </w:t>
      </w:r>
      <w:r w:rsidR="00D220AE" w:rsidRPr="00D220AE">
        <w:rPr>
          <w:rFonts w:ascii="Times New Roman" w:hAnsi="Times New Roman" w:cs="Times New Roman"/>
          <w:sz w:val="24"/>
          <w:szCs w:val="24"/>
        </w:rPr>
        <w:t>González, Castro y Bañuelos (2011)</w:t>
      </w:r>
    </w:p>
    <w:p w14:paraId="7B78B8E7" w14:textId="6B6D19E0" w:rsidR="001510F1" w:rsidRPr="00D220AE" w:rsidRDefault="00205391" w:rsidP="002363C6">
      <w:pPr>
        <w:autoSpaceDE w:val="0"/>
        <w:autoSpaceDN w:val="0"/>
        <w:adjustRightInd w:val="0"/>
        <w:spacing w:line="360" w:lineRule="auto"/>
        <w:ind w:left="426" w:right="474"/>
        <w:jc w:val="both"/>
        <w:rPr>
          <w:rFonts w:ascii="Times New Roman" w:hAnsi="Times New Roman" w:cs="Times New Roman"/>
          <w:sz w:val="24"/>
          <w:szCs w:val="24"/>
        </w:rPr>
      </w:pPr>
      <w:r w:rsidRPr="00D220AE">
        <w:rPr>
          <w:rFonts w:ascii="Times New Roman" w:hAnsi="Times New Roman" w:cs="Times New Roman"/>
          <w:sz w:val="24"/>
          <w:szCs w:val="24"/>
        </w:rPr>
        <w:t xml:space="preserve"> </w:t>
      </w:r>
      <w:r w:rsidR="00D220AE" w:rsidRPr="00D220AE">
        <w:rPr>
          <w:rFonts w:ascii="Times New Roman" w:hAnsi="Times New Roman" w:cs="Times New Roman"/>
          <w:sz w:val="24"/>
          <w:szCs w:val="24"/>
        </w:rPr>
        <w:t xml:space="preserve">… </w:t>
      </w:r>
      <w:r w:rsidRPr="00D220AE">
        <w:rPr>
          <w:rFonts w:ascii="Times New Roman" w:hAnsi="Times New Roman" w:cs="Times New Roman"/>
          <w:sz w:val="24"/>
          <w:szCs w:val="24"/>
        </w:rPr>
        <w:t xml:space="preserve">los perfiles no son sólo las capacidades y las competencias. Los comportamientos, las conductas, los patrones, las regularidades y la autopercepción son los que los definen. </w:t>
      </w:r>
      <w:r w:rsidR="00D220AE">
        <w:rPr>
          <w:rFonts w:ascii="Times New Roman" w:hAnsi="Times New Roman" w:cs="Times New Roman"/>
          <w:sz w:val="24"/>
          <w:szCs w:val="24"/>
        </w:rPr>
        <w:t>…</w:t>
      </w:r>
      <w:r w:rsidRPr="00D220AE">
        <w:rPr>
          <w:rFonts w:ascii="Times New Roman" w:hAnsi="Times New Roman" w:cs="Times New Roman"/>
          <w:sz w:val="24"/>
          <w:szCs w:val="24"/>
        </w:rPr>
        <w:t xml:space="preserve"> lo propiamente expresado por los estudiantes, es lo que contribuye a considerar que hay un posible perfil y que en esto también es necesario tener en cuenta sus trayectorias escolares previas</w:t>
      </w:r>
      <w:r w:rsidR="00D220AE">
        <w:rPr>
          <w:rFonts w:ascii="Times New Roman" w:hAnsi="Times New Roman" w:cs="Times New Roman"/>
          <w:sz w:val="24"/>
          <w:szCs w:val="24"/>
        </w:rPr>
        <w:t xml:space="preserve"> (p. 134).</w:t>
      </w:r>
    </w:p>
    <w:p w14:paraId="0BCC585B" w14:textId="77777777" w:rsidR="007973F8" w:rsidRDefault="000D5043" w:rsidP="002363C6">
      <w:pPr>
        <w:pStyle w:val="Default"/>
        <w:spacing w:after="240" w:line="360" w:lineRule="auto"/>
        <w:jc w:val="both"/>
        <w:rPr>
          <w:rFonts w:ascii="Times New Roman" w:hAnsi="Times New Roman" w:cs="Times New Roman"/>
        </w:rPr>
      </w:pPr>
      <w:r>
        <w:rPr>
          <w:rFonts w:ascii="Times New Roman" w:hAnsi="Times New Roman" w:cs="Times New Roman"/>
        </w:rPr>
        <w:t>Esto nos lleva a la necesidad de proporcionarle mayor atención al alumno, en el caso de la Facultad de Arquitectura y en general, en todas las unidades académicas de la UAS, se requiere que el Programa Institucional de Tutorías focalice mejor su trabajo, que la toma de decisiones para la intervención educativa y de acompañamiento esté sustentada en el conocimiento, en las trayectorias escolares y en las necesidades particulares de los estudiantes.</w:t>
      </w:r>
    </w:p>
    <w:p w14:paraId="63C69690" w14:textId="13B90904" w:rsidR="00205391" w:rsidRPr="00D220AE" w:rsidRDefault="004A21B1" w:rsidP="002363C6">
      <w:pPr>
        <w:pStyle w:val="Default"/>
        <w:spacing w:after="240" w:line="360" w:lineRule="auto"/>
        <w:jc w:val="both"/>
        <w:rPr>
          <w:rFonts w:ascii="Times New Roman" w:hAnsi="Times New Roman" w:cs="Times New Roman"/>
        </w:rPr>
      </w:pPr>
      <w:r>
        <w:rPr>
          <w:rFonts w:ascii="Times New Roman" w:hAnsi="Times New Roman" w:cs="Times New Roman"/>
        </w:rPr>
        <w:t>El propósito fundamental de la evaluación es comprobar si la implementación de un programa o política fue capaz de producir el cambio planificado. Se caracteriza por ser útil en la toma de decisiones, por ello, se deben considerar las necesidades y expectativas de los interesados; los responsables del programa, los que lo llevan a la práctica, los que se benefician</w:t>
      </w:r>
      <w:r w:rsidR="007E1446">
        <w:rPr>
          <w:rFonts w:ascii="Times New Roman" w:hAnsi="Times New Roman" w:cs="Times New Roman"/>
        </w:rPr>
        <w:t xml:space="preserve"> de los servicios,</w:t>
      </w:r>
      <w:r w:rsidR="0052283E">
        <w:rPr>
          <w:rFonts w:ascii="Times New Roman" w:hAnsi="Times New Roman" w:cs="Times New Roman"/>
        </w:rPr>
        <w:t xml:space="preserve"> las empresas que emplean a los egresados y la sociedad </w:t>
      </w:r>
      <w:r w:rsidR="001219D1">
        <w:rPr>
          <w:rFonts w:ascii="Times New Roman" w:hAnsi="Times New Roman" w:cs="Times New Roman"/>
        </w:rPr>
        <w:t>(</w:t>
      </w:r>
      <w:proofErr w:type="spellStart"/>
      <w:r w:rsidR="001219D1">
        <w:rPr>
          <w:rFonts w:ascii="Times New Roman" w:hAnsi="Times New Roman" w:cs="Times New Roman"/>
        </w:rPr>
        <w:t>Piccone</w:t>
      </w:r>
      <w:proofErr w:type="spellEnd"/>
      <w:r w:rsidR="001219D1">
        <w:rPr>
          <w:rFonts w:ascii="Times New Roman" w:hAnsi="Times New Roman" w:cs="Times New Roman"/>
        </w:rPr>
        <w:t>, 2008)</w:t>
      </w:r>
    </w:p>
    <w:p w14:paraId="5051C2BB" w14:textId="23A53609" w:rsidR="00F32EEB" w:rsidRDefault="00AE4EC1" w:rsidP="002363C6">
      <w:pPr>
        <w:pStyle w:val="Default"/>
        <w:spacing w:after="240" w:line="360" w:lineRule="auto"/>
        <w:jc w:val="both"/>
        <w:rPr>
          <w:rFonts w:ascii="Times New Roman" w:hAnsi="Times New Roman" w:cs="Times New Roman"/>
        </w:rPr>
      </w:pPr>
      <w:r>
        <w:rPr>
          <w:rFonts w:ascii="Times New Roman" w:hAnsi="Times New Roman" w:cs="Times New Roman"/>
        </w:rPr>
        <w:t>Para la elaboración del diseño curricular de los programas se consideró la opinión de empresarios en el campo laboral respectivo</w:t>
      </w:r>
      <w:r w:rsidR="00A931C6">
        <w:rPr>
          <w:rFonts w:ascii="Times New Roman" w:hAnsi="Times New Roman" w:cs="Times New Roman"/>
        </w:rPr>
        <w:t xml:space="preserve"> contribuyendo con esto a la definición del perfil de egreso. </w:t>
      </w:r>
      <w:r w:rsidR="00590956">
        <w:rPr>
          <w:rFonts w:ascii="Times New Roman" w:hAnsi="Times New Roman" w:cs="Times New Roman"/>
        </w:rPr>
        <w:t>Sobre la opinión de la sociedad, de acuerdo con Torres y Rositas (2011), tiende a ser de satisfacción dado el bajo nivel sociocultural, valoración sustentada en los resultados de la prueba PISA aplicada en 2007 donde México obtuvo el antepenúltimo lugar y Finlandia el primer lugar</w:t>
      </w:r>
      <w:r w:rsidR="00F32EEB">
        <w:rPr>
          <w:rFonts w:ascii="Times New Roman" w:hAnsi="Times New Roman" w:cs="Times New Roman"/>
        </w:rPr>
        <w:t xml:space="preserve">, situación que llevo a Eduardo </w:t>
      </w:r>
      <w:proofErr w:type="spellStart"/>
      <w:r w:rsidR="00F32EEB">
        <w:rPr>
          <w:rFonts w:ascii="Times New Roman" w:hAnsi="Times New Roman" w:cs="Times New Roman"/>
        </w:rPr>
        <w:t>Andere</w:t>
      </w:r>
      <w:proofErr w:type="spellEnd"/>
      <w:r w:rsidR="00F32EEB">
        <w:rPr>
          <w:rFonts w:ascii="Times New Roman" w:hAnsi="Times New Roman" w:cs="Times New Roman"/>
        </w:rPr>
        <w:t xml:space="preserve"> a investigar la satisfacción de los padres encontrando que en México estaba satisfechos y en  Finlandia insatisfechos. </w:t>
      </w:r>
      <w:r w:rsidR="00E66948">
        <w:rPr>
          <w:rFonts w:ascii="Times New Roman" w:hAnsi="Times New Roman" w:cs="Times New Roman"/>
        </w:rPr>
        <w:t>Las limitaciones culturales conducen a una menor exigencia por parte de los padres de familia, no significa que estemos bien</w:t>
      </w:r>
      <w:r w:rsidR="001A5411">
        <w:rPr>
          <w:rFonts w:ascii="Times New Roman" w:hAnsi="Times New Roman" w:cs="Times New Roman"/>
        </w:rPr>
        <w:t xml:space="preserve"> sino que ellos no saben qué exigir. </w:t>
      </w:r>
      <w:r w:rsidR="00E66948">
        <w:rPr>
          <w:rFonts w:ascii="Times New Roman" w:hAnsi="Times New Roman" w:cs="Times New Roman"/>
        </w:rPr>
        <w:t xml:space="preserve"> </w:t>
      </w:r>
      <w:r w:rsidR="001A5411">
        <w:rPr>
          <w:rFonts w:ascii="Times New Roman" w:hAnsi="Times New Roman" w:cs="Times New Roman"/>
        </w:rPr>
        <w:t xml:space="preserve">Ante esto se tiene un mayor compromiso y desafío, si realmente queremos mejorar la educación superior, las </w:t>
      </w:r>
      <w:r w:rsidR="001A5411">
        <w:rPr>
          <w:rFonts w:ascii="Times New Roman" w:hAnsi="Times New Roman" w:cs="Times New Roman"/>
        </w:rPr>
        <w:lastRenderedPageBreak/>
        <w:t>autoridades universitarias, los equipos directivos deben promover y guiar hacia un proceso educativo innovador, con las consecuentes implicaciones a nivel organizacional, que dinamice a los actores y optimice los recursos, que maestros, alumnos y personal de apoyo asuman sus nuevos roles para poner en práctica los nuevos enfoques por competencias, creando verdaderas comunidades de aprendizaje.</w:t>
      </w:r>
    </w:p>
    <w:p w14:paraId="42046E8D" w14:textId="3D06D4A2" w:rsidR="005124CC" w:rsidRPr="006C5BAF" w:rsidRDefault="0036648C" w:rsidP="002363C6">
      <w:pPr>
        <w:spacing w:line="360" w:lineRule="auto"/>
        <w:jc w:val="both"/>
        <w:rPr>
          <w:rFonts w:ascii="Times New Roman" w:hAnsi="Times New Roman" w:cs="Times New Roman"/>
          <w:sz w:val="24"/>
          <w:szCs w:val="24"/>
        </w:rPr>
      </w:pPr>
      <w:r>
        <w:rPr>
          <w:rFonts w:ascii="Times New Roman" w:hAnsi="Times New Roman" w:cs="Times New Roman"/>
          <w:sz w:val="24"/>
          <w:szCs w:val="24"/>
        </w:rPr>
        <w:t>Con la oferta de estos programas de nueva creación, se tiene la</w:t>
      </w:r>
      <w:r w:rsidR="005124CC" w:rsidRPr="006C5BAF">
        <w:rPr>
          <w:rFonts w:ascii="Times New Roman" w:hAnsi="Times New Roman" w:cs="Times New Roman"/>
          <w:sz w:val="24"/>
          <w:szCs w:val="24"/>
        </w:rPr>
        <w:t xml:space="preserve"> oportunidad </w:t>
      </w:r>
      <w:r>
        <w:rPr>
          <w:rFonts w:ascii="Times New Roman" w:hAnsi="Times New Roman" w:cs="Times New Roman"/>
          <w:sz w:val="24"/>
          <w:szCs w:val="24"/>
        </w:rPr>
        <w:t>de impulsar procesos colectivos de</w:t>
      </w:r>
      <w:r w:rsidR="005124CC" w:rsidRPr="006C5BAF">
        <w:rPr>
          <w:rFonts w:ascii="Times New Roman" w:hAnsi="Times New Roman" w:cs="Times New Roman"/>
          <w:sz w:val="24"/>
          <w:szCs w:val="24"/>
        </w:rPr>
        <w:t xml:space="preserve"> planeación </w:t>
      </w:r>
      <w:r>
        <w:rPr>
          <w:rFonts w:ascii="Times New Roman" w:hAnsi="Times New Roman" w:cs="Times New Roman"/>
          <w:sz w:val="24"/>
          <w:szCs w:val="24"/>
        </w:rPr>
        <w:t xml:space="preserve">de las actividades semestrales fundamentados en la teoría de la complejidad, donde el todo es más que la suma de las partes, por los efectos </w:t>
      </w:r>
      <w:r w:rsidR="00D96B13">
        <w:rPr>
          <w:rFonts w:ascii="Times New Roman" w:hAnsi="Times New Roman" w:cs="Times New Roman"/>
          <w:sz w:val="24"/>
          <w:szCs w:val="24"/>
        </w:rPr>
        <w:t>sinérgicos</w:t>
      </w:r>
      <w:r w:rsidR="00723FFE">
        <w:rPr>
          <w:rFonts w:ascii="Times New Roman" w:hAnsi="Times New Roman" w:cs="Times New Roman"/>
          <w:sz w:val="24"/>
          <w:szCs w:val="24"/>
        </w:rPr>
        <w:t xml:space="preserve"> a los que conduce ver el problema en un marco global, en este caso, la FAUAS como un sistema en el cual las parte son los alumnos, profesores, administrativos, equipo directivo, infraestructura, equipamiento, laboratorios, cuerpos académicos, gremios de trabajadores y estudiantiles. Todos somos parte del sistema y nuestras acciones tensionan o presionan pero siempre tienen impacto en el sistema, si armonizamos nuestras acciones el sistema tendrá más capacidad de avanzar hacia la calidad educativa, para ello, tenemos que conocer el potencial de cada una de las partes y lo que las partes por si solas no pueden aportar si se aíslan del sistema (</w:t>
      </w:r>
      <w:r w:rsidR="00194570">
        <w:rPr>
          <w:rFonts w:ascii="Times New Roman" w:hAnsi="Times New Roman" w:cs="Times New Roman"/>
          <w:sz w:val="24"/>
          <w:szCs w:val="24"/>
        </w:rPr>
        <w:t>Morín</w:t>
      </w:r>
      <w:r w:rsidR="00723FFE">
        <w:rPr>
          <w:rFonts w:ascii="Times New Roman" w:hAnsi="Times New Roman" w:cs="Times New Roman"/>
          <w:sz w:val="24"/>
          <w:szCs w:val="24"/>
        </w:rPr>
        <w:t xml:space="preserve">, 1999). </w:t>
      </w:r>
      <w:r w:rsidR="00194570">
        <w:rPr>
          <w:rFonts w:ascii="Times New Roman" w:hAnsi="Times New Roman" w:cs="Times New Roman"/>
          <w:sz w:val="24"/>
          <w:szCs w:val="24"/>
        </w:rPr>
        <w:t xml:space="preserve">Es por ello que en conjunto debemos de construir escenarios </w:t>
      </w:r>
      <w:r w:rsidR="005124CC" w:rsidRPr="006C5BAF">
        <w:rPr>
          <w:rFonts w:ascii="Times New Roman" w:hAnsi="Times New Roman" w:cs="Times New Roman"/>
          <w:sz w:val="24"/>
          <w:szCs w:val="24"/>
        </w:rPr>
        <w:t xml:space="preserve">que favorezcan la curiosidad, </w:t>
      </w:r>
      <w:r w:rsidR="00194570">
        <w:rPr>
          <w:rFonts w:ascii="Times New Roman" w:hAnsi="Times New Roman" w:cs="Times New Roman"/>
          <w:sz w:val="24"/>
          <w:szCs w:val="24"/>
        </w:rPr>
        <w:t xml:space="preserve">la </w:t>
      </w:r>
      <w:r w:rsidR="005124CC" w:rsidRPr="006C5BAF">
        <w:rPr>
          <w:rFonts w:ascii="Times New Roman" w:hAnsi="Times New Roman" w:cs="Times New Roman"/>
          <w:sz w:val="24"/>
          <w:szCs w:val="24"/>
        </w:rPr>
        <w:t xml:space="preserve">observación y la reflexión crítica mediante elaboración de preguntas, planteamientos hipotéticos y elaboración de conclusiones en las actividades de aprendizaje de alumnos, </w:t>
      </w:r>
      <w:r w:rsidR="00194570">
        <w:rPr>
          <w:rFonts w:ascii="Times New Roman" w:hAnsi="Times New Roman" w:cs="Times New Roman"/>
          <w:sz w:val="24"/>
          <w:szCs w:val="24"/>
        </w:rPr>
        <w:t xml:space="preserve">profesores, administradores y directivos, cada cual tendrá </w:t>
      </w:r>
      <w:r w:rsidR="005124CC" w:rsidRPr="006C5BAF">
        <w:rPr>
          <w:rFonts w:ascii="Times New Roman" w:hAnsi="Times New Roman" w:cs="Times New Roman"/>
          <w:sz w:val="24"/>
          <w:szCs w:val="24"/>
        </w:rPr>
        <w:t>que document</w:t>
      </w:r>
      <w:r w:rsidR="00194570">
        <w:rPr>
          <w:rFonts w:ascii="Times New Roman" w:hAnsi="Times New Roman" w:cs="Times New Roman"/>
          <w:sz w:val="24"/>
          <w:szCs w:val="24"/>
        </w:rPr>
        <w:t>ar</w:t>
      </w:r>
      <w:r w:rsidR="005124CC" w:rsidRPr="006C5BAF">
        <w:rPr>
          <w:rFonts w:ascii="Times New Roman" w:hAnsi="Times New Roman" w:cs="Times New Roman"/>
          <w:sz w:val="24"/>
          <w:szCs w:val="24"/>
        </w:rPr>
        <w:t xml:space="preserve"> su práctica, registr</w:t>
      </w:r>
      <w:r w:rsidR="00194570">
        <w:rPr>
          <w:rFonts w:ascii="Times New Roman" w:hAnsi="Times New Roman" w:cs="Times New Roman"/>
          <w:sz w:val="24"/>
          <w:szCs w:val="24"/>
        </w:rPr>
        <w:t>ar y</w:t>
      </w:r>
      <w:r w:rsidR="005124CC" w:rsidRPr="006C5BAF">
        <w:rPr>
          <w:rFonts w:ascii="Times New Roman" w:hAnsi="Times New Roman" w:cs="Times New Roman"/>
          <w:sz w:val="24"/>
          <w:szCs w:val="24"/>
        </w:rPr>
        <w:t xml:space="preserve"> expli</w:t>
      </w:r>
      <w:r w:rsidR="00194570">
        <w:rPr>
          <w:rFonts w:ascii="Times New Roman" w:hAnsi="Times New Roman" w:cs="Times New Roman"/>
          <w:sz w:val="24"/>
          <w:szCs w:val="24"/>
        </w:rPr>
        <w:t>car sus</w:t>
      </w:r>
      <w:r w:rsidR="005124CC" w:rsidRPr="006C5BAF">
        <w:rPr>
          <w:rFonts w:ascii="Times New Roman" w:hAnsi="Times New Roman" w:cs="Times New Roman"/>
          <w:sz w:val="24"/>
          <w:szCs w:val="24"/>
        </w:rPr>
        <w:t xml:space="preserve"> experiencias, us</w:t>
      </w:r>
      <w:r w:rsidR="00194570">
        <w:rPr>
          <w:rFonts w:ascii="Times New Roman" w:hAnsi="Times New Roman" w:cs="Times New Roman"/>
          <w:sz w:val="24"/>
          <w:szCs w:val="24"/>
        </w:rPr>
        <w:t>ar su</w:t>
      </w:r>
      <w:r w:rsidR="005124CC" w:rsidRPr="006C5BAF">
        <w:rPr>
          <w:rFonts w:ascii="Times New Roman" w:hAnsi="Times New Roman" w:cs="Times New Roman"/>
          <w:sz w:val="24"/>
          <w:szCs w:val="24"/>
        </w:rPr>
        <w:t xml:space="preserve"> diario para la reflexión de su práctica, empleen recursos diversos y acordes a los estilos de aprendizaje</w:t>
      </w:r>
      <w:r w:rsidR="00194570">
        <w:rPr>
          <w:rFonts w:ascii="Times New Roman" w:hAnsi="Times New Roman" w:cs="Times New Roman"/>
          <w:sz w:val="24"/>
          <w:szCs w:val="24"/>
        </w:rPr>
        <w:t>. Los maestros tienen que</w:t>
      </w:r>
      <w:r w:rsidR="005124CC" w:rsidRPr="006C5BAF">
        <w:rPr>
          <w:rFonts w:ascii="Times New Roman" w:hAnsi="Times New Roman" w:cs="Times New Roman"/>
          <w:sz w:val="24"/>
          <w:szCs w:val="24"/>
        </w:rPr>
        <w:t xml:space="preserve"> poner a prueba </w:t>
      </w:r>
      <w:r w:rsidR="00194570">
        <w:rPr>
          <w:rFonts w:ascii="Times New Roman" w:hAnsi="Times New Roman" w:cs="Times New Roman"/>
          <w:sz w:val="24"/>
          <w:szCs w:val="24"/>
        </w:rPr>
        <w:t xml:space="preserve">las </w:t>
      </w:r>
      <w:r w:rsidR="005124CC" w:rsidRPr="006C5BAF">
        <w:rPr>
          <w:rFonts w:ascii="Times New Roman" w:hAnsi="Times New Roman" w:cs="Times New Roman"/>
          <w:sz w:val="24"/>
          <w:szCs w:val="24"/>
        </w:rPr>
        <w:t>respuestas y reflexión crítica en el aprendizaje con los alumnos aplicando o utilizando los conocimientos adquiridos</w:t>
      </w:r>
      <w:r w:rsidR="00194570">
        <w:rPr>
          <w:rFonts w:ascii="Times New Roman" w:hAnsi="Times New Roman" w:cs="Times New Roman"/>
          <w:sz w:val="24"/>
          <w:szCs w:val="24"/>
        </w:rPr>
        <w:t>. Los alumnos deben tener claridad de sus propósitos académicos; trabajar en el ser, en cómo ser</w:t>
      </w:r>
      <w:r w:rsidR="00137928">
        <w:rPr>
          <w:rFonts w:ascii="Times New Roman" w:hAnsi="Times New Roman" w:cs="Times New Roman"/>
          <w:sz w:val="24"/>
          <w:szCs w:val="24"/>
        </w:rPr>
        <w:t xml:space="preserve"> y aprovechar las bondades del sistema para lograr sus propósitos. Es decir, la FAUAS, pone a disposición de los actores</w:t>
      </w:r>
      <w:r w:rsidR="005124CC" w:rsidRPr="006C5BAF">
        <w:rPr>
          <w:rFonts w:ascii="Times New Roman" w:hAnsi="Times New Roman" w:cs="Times New Roman"/>
          <w:sz w:val="24"/>
          <w:szCs w:val="24"/>
        </w:rPr>
        <w:t xml:space="preserve"> recursos técnicos</w:t>
      </w:r>
      <w:r w:rsidR="00137928">
        <w:rPr>
          <w:rFonts w:ascii="Times New Roman" w:hAnsi="Times New Roman" w:cs="Times New Roman"/>
          <w:sz w:val="24"/>
          <w:szCs w:val="24"/>
        </w:rPr>
        <w:t>,</w:t>
      </w:r>
      <w:r w:rsidR="005124CC" w:rsidRPr="006C5BAF">
        <w:rPr>
          <w:rFonts w:ascii="Times New Roman" w:hAnsi="Times New Roman" w:cs="Times New Roman"/>
          <w:sz w:val="24"/>
          <w:szCs w:val="24"/>
        </w:rPr>
        <w:t xml:space="preserve"> medios de información</w:t>
      </w:r>
      <w:r w:rsidR="00137928">
        <w:rPr>
          <w:rFonts w:ascii="Times New Roman" w:hAnsi="Times New Roman" w:cs="Times New Roman"/>
          <w:sz w:val="24"/>
          <w:szCs w:val="24"/>
        </w:rPr>
        <w:t>, infraestructura, recursos humanos</w:t>
      </w:r>
      <w:r w:rsidR="005124CC" w:rsidRPr="006C5BAF">
        <w:rPr>
          <w:rFonts w:ascii="Times New Roman" w:hAnsi="Times New Roman" w:cs="Times New Roman"/>
          <w:sz w:val="24"/>
          <w:szCs w:val="24"/>
        </w:rPr>
        <w:t xml:space="preserve"> y herramientas para </w:t>
      </w:r>
      <w:r w:rsidR="00137928">
        <w:rPr>
          <w:rFonts w:ascii="Times New Roman" w:hAnsi="Times New Roman" w:cs="Times New Roman"/>
          <w:sz w:val="24"/>
          <w:szCs w:val="24"/>
        </w:rPr>
        <w:t>la formación</w:t>
      </w:r>
      <w:r w:rsidR="005124CC" w:rsidRPr="006C5BAF">
        <w:rPr>
          <w:rFonts w:ascii="Times New Roman" w:hAnsi="Times New Roman" w:cs="Times New Roman"/>
          <w:sz w:val="24"/>
          <w:szCs w:val="24"/>
        </w:rPr>
        <w:t xml:space="preserve"> profesional</w:t>
      </w:r>
      <w:r w:rsidR="00137928">
        <w:rPr>
          <w:rFonts w:ascii="Times New Roman" w:hAnsi="Times New Roman" w:cs="Times New Roman"/>
          <w:sz w:val="24"/>
          <w:szCs w:val="24"/>
        </w:rPr>
        <w:t xml:space="preserve"> lo que se tiene que evaluarse para conocer su impacto en el aprendizaje de todos de frente al desempeño y práctica profesional </w:t>
      </w:r>
      <w:r w:rsidR="005124CC" w:rsidRPr="006C5BAF">
        <w:rPr>
          <w:rFonts w:ascii="Times New Roman" w:hAnsi="Times New Roman" w:cs="Times New Roman"/>
          <w:sz w:val="24"/>
          <w:szCs w:val="24"/>
        </w:rPr>
        <w:t>(Santos, Ortiz y Arredondo, 2014)</w:t>
      </w:r>
      <w:r w:rsidR="00137928">
        <w:rPr>
          <w:rFonts w:ascii="Times New Roman" w:hAnsi="Times New Roman" w:cs="Times New Roman"/>
          <w:sz w:val="24"/>
          <w:szCs w:val="24"/>
        </w:rPr>
        <w:t>.</w:t>
      </w:r>
    </w:p>
    <w:p w14:paraId="548B003B" w14:textId="6BA87352" w:rsidR="00205391" w:rsidRDefault="00A931C6" w:rsidP="002363C6">
      <w:pPr>
        <w:pStyle w:val="Default"/>
        <w:spacing w:after="240" w:line="360" w:lineRule="auto"/>
        <w:jc w:val="both"/>
        <w:rPr>
          <w:rFonts w:ascii="Times New Roman" w:hAnsi="Times New Roman" w:cs="Times New Roman"/>
        </w:rPr>
      </w:pPr>
      <w:r>
        <w:rPr>
          <w:rFonts w:ascii="Times New Roman" w:hAnsi="Times New Roman" w:cs="Times New Roman"/>
        </w:rPr>
        <w:lastRenderedPageBreak/>
        <w:t>En tanto la implementación del programa solo lleva un año, en el proceso de evaluación han participado, las coordinadoras de los programas, el personal docente y los a</w:t>
      </w:r>
      <w:r w:rsidR="00552A93">
        <w:rPr>
          <w:rFonts w:ascii="Times New Roman" w:hAnsi="Times New Roman" w:cs="Times New Roman"/>
        </w:rPr>
        <w:t>lumnos. La evaluación se ha centrado en el rendimiento académico de los alumnos, en la deserción escolar, en el rendimiento académico por unidades de aprendizaje, en la valoración de los estudiantes respecto a la atención recibida y en el desempeño docente respecto a los propósito de la planeación de sus cursos.</w:t>
      </w:r>
    </w:p>
    <w:p w14:paraId="26E3973C" w14:textId="77777777" w:rsidR="00A931C6" w:rsidRDefault="00A931C6" w:rsidP="002363C6">
      <w:pPr>
        <w:pStyle w:val="Default"/>
        <w:spacing w:line="360" w:lineRule="auto"/>
        <w:jc w:val="both"/>
        <w:rPr>
          <w:rFonts w:ascii="Times New Roman" w:hAnsi="Times New Roman" w:cs="Times New Roman"/>
        </w:rPr>
      </w:pPr>
    </w:p>
    <w:p w14:paraId="4FDE56A4" w14:textId="77777777" w:rsidR="00E35C30" w:rsidRPr="008C03A4" w:rsidRDefault="00BD466E" w:rsidP="002363C6">
      <w:pPr>
        <w:autoSpaceDE w:val="0"/>
        <w:autoSpaceDN w:val="0"/>
        <w:adjustRightInd w:val="0"/>
        <w:spacing w:line="360" w:lineRule="auto"/>
        <w:jc w:val="both"/>
        <w:rPr>
          <w:rFonts w:ascii="Times New Roman" w:hAnsi="Times New Roman" w:cs="Times New Roman"/>
          <w:b/>
          <w:sz w:val="24"/>
          <w:szCs w:val="24"/>
        </w:rPr>
      </w:pPr>
      <w:r w:rsidRPr="008C03A4">
        <w:rPr>
          <w:rFonts w:ascii="Times New Roman" w:hAnsi="Times New Roman" w:cs="Times New Roman"/>
          <w:b/>
          <w:sz w:val="24"/>
          <w:szCs w:val="24"/>
        </w:rPr>
        <w:t>Justificación</w:t>
      </w:r>
    </w:p>
    <w:p w14:paraId="090D2F67" w14:textId="2D526F78" w:rsidR="00E426CF" w:rsidRPr="006C52E4" w:rsidRDefault="00D76DBF" w:rsidP="002363C6">
      <w:pPr>
        <w:autoSpaceDE w:val="0"/>
        <w:autoSpaceDN w:val="0"/>
        <w:adjustRightInd w:val="0"/>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La implementación </w:t>
      </w:r>
      <w:r w:rsidR="003D4539">
        <w:rPr>
          <w:rFonts w:ascii="Times New Roman" w:hAnsi="Times New Roman" w:cs="Times New Roman"/>
          <w:sz w:val="24"/>
          <w:szCs w:val="24"/>
        </w:rPr>
        <w:t>de dos nuevos planes de estudio</w:t>
      </w:r>
      <w:r w:rsidRPr="006C52E4">
        <w:rPr>
          <w:rFonts w:ascii="Times New Roman" w:hAnsi="Times New Roman" w:cs="Times New Roman"/>
          <w:sz w:val="24"/>
          <w:szCs w:val="24"/>
        </w:rPr>
        <w:t xml:space="preserve"> de manera natural genera</w:t>
      </w:r>
      <w:r w:rsidR="00D63383">
        <w:rPr>
          <w:rFonts w:ascii="Times New Roman" w:hAnsi="Times New Roman" w:cs="Times New Roman"/>
          <w:sz w:val="24"/>
          <w:szCs w:val="24"/>
        </w:rPr>
        <w:t xml:space="preserve"> </w:t>
      </w:r>
      <w:r w:rsidRPr="006C52E4">
        <w:rPr>
          <w:rFonts w:ascii="Times New Roman" w:hAnsi="Times New Roman" w:cs="Times New Roman"/>
          <w:sz w:val="24"/>
          <w:szCs w:val="24"/>
        </w:rPr>
        <w:t xml:space="preserve">nuevos retos y expectativas.  El principal reto de la FAUAS es garantizar procesos educativos de calidad en la </w:t>
      </w:r>
      <w:r w:rsidR="001F2887" w:rsidRPr="006C52E4">
        <w:rPr>
          <w:rFonts w:ascii="Times New Roman" w:hAnsi="Times New Roman" w:cs="Times New Roman"/>
          <w:sz w:val="24"/>
          <w:szCs w:val="24"/>
        </w:rPr>
        <w:t xml:space="preserve">atención del alumnado de la </w:t>
      </w:r>
      <w:r w:rsidRPr="006C52E4">
        <w:rPr>
          <w:rFonts w:ascii="Times New Roman" w:hAnsi="Times New Roman" w:cs="Times New Roman"/>
          <w:sz w:val="24"/>
          <w:szCs w:val="24"/>
        </w:rPr>
        <w:t>nueva oferta educativa</w:t>
      </w:r>
      <w:r w:rsidR="001F2887" w:rsidRPr="006C52E4">
        <w:rPr>
          <w:rFonts w:ascii="Times New Roman" w:hAnsi="Times New Roman" w:cs="Times New Roman"/>
          <w:sz w:val="24"/>
          <w:szCs w:val="24"/>
        </w:rPr>
        <w:t xml:space="preserve">.  Para ello, es necesario tener una estrategia general que contemple, como punto de partida, el diagnóstico de los factores y actores que intervienen en dichos procesos. </w:t>
      </w:r>
    </w:p>
    <w:p w14:paraId="64C2BA8A" w14:textId="27FAFFF9" w:rsidR="00A11B4D" w:rsidRPr="006C52E4" w:rsidRDefault="00E426CF" w:rsidP="002363C6">
      <w:pPr>
        <w:autoSpaceDE w:val="0"/>
        <w:autoSpaceDN w:val="0"/>
        <w:adjustRightInd w:val="0"/>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La </w:t>
      </w:r>
      <w:r w:rsidR="001F2887" w:rsidRPr="006C52E4">
        <w:rPr>
          <w:rFonts w:ascii="Times New Roman" w:hAnsi="Times New Roman" w:cs="Times New Roman"/>
          <w:sz w:val="24"/>
          <w:szCs w:val="24"/>
        </w:rPr>
        <w:t xml:space="preserve">planeación </w:t>
      </w:r>
      <w:r w:rsidR="00BD2A9C" w:rsidRPr="006C52E4">
        <w:rPr>
          <w:rFonts w:ascii="Times New Roman" w:hAnsi="Times New Roman" w:cs="Times New Roman"/>
          <w:sz w:val="24"/>
          <w:szCs w:val="24"/>
        </w:rPr>
        <w:t>de actividades a fin de lograr los objetivos y metas estable</w:t>
      </w:r>
      <w:r w:rsidR="008F3FF7" w:rsidRPr="006C52E4">
        <w:rPr>
          <w:rFonts w:ascii="Times New Roman" w:hAnsi="Times New Roman" w:cs="Times New Roman"/>
          <w:sz w:val="24"/>
          <w:szCs w:val="24"/>
        </w:rPr>
        <w:t>cidos</w:t>
      </w:r>
      <w:r w:rsidR="00BD2A9C" w:rsidRPr="006C52E4">
        <w:rPr>
          <w:rFonts w:ascii="Times New Roman" w:hAnsi="Times New Roman" w:cs="Times New Roman"/>
          <w:sz w:val="24"/>
          <w:szCs w:val="24"/>
        </w:rPr>
        <w:t xml:space="preserve"> en cada uno de los programas de las Unidades de Aprendizajes de los planes de estudios</w:t>
      </w:r>
      <w:r w:rsidR="00B40FA5" w:rsidRPr="006C52E4">
        <w:rPr>
          <w:rFonts w:ascii="Times New Roman" w:hAnsi="Times New Roman" w:cs="Times New Roman"/>
          <w:sz w:val="24"/>
          <w:szCs w:val="24"/>
        </w:rPr>
        <w:t>,</w:t>
      </w:r>
      <w:r w:rsidR="00BD2A9C" w:rsidRPr="006C52E4">
        <w:rPr>
          <w:rFonts w:ascii="Times New Roman" w:hAnsi="Times New Roman" w:cs="Times New Roman"/>
          <w:sz w:val="24"/>
          <w:szCs w:val="24"/>
        </w:rPr>
        <w:t xml:space="preserve"> de los productos de desempeño y </w:t>
      </w:r>
      <w:r w:rsidR="00B40FA5" w:rsidRPr="006C52E4">
        <w:rPr>
          <w:rFonts w:ascii="Times New Roman" w:hAnsi="Times New Roman" w:cs="Times New Roman"/>
          <w:sz w:val="24"/>
          <w:szCs w:val="24"/>
        </w:rPr>
        <w:t xml:space="preserve">nivel </w:t>
      </w:r>
      <w:r w:rsidR="005D1C5F" w:rsidRPr="006C52E4">
        <w:rPr>
          <w:rFonts w:ascii="Times New Roman" w:hAnsi="Times New Roman" w:cs="Times New Roman"/>
          <w:sz w:val="24"/>
          <w:szCs w:val="24"/>
        </w:rPr>
        <w:t xml:space="preserve">de logro de </w:t>
      </w:r>
      <w:r w:rsidR="00B40FA5" w:rsidRPr="006C52E4">
        <w:rPr>
          <w:rFonts w:ascii="Times New Roman" w:hAnsi="Times New Roman" w:cs="Times New Roman"/>
          <w:sz w:val="24"/>
          <w:szCs w:val="24"/>
        </w:rPr>
        <w:t xml:space="preserve">las </w:t>
      </w:r>
      <w:r w:rsidR="00BD2A9C" w:rsidRPr="006C52E4">
        <w:rPr>
          <w:rFonts w:ascii="Times New Roman" w:hAnsi="Times New Roman" w:cs="Times New Roman"/>
          <w:sz w:val="24"/>
          <w:szCs w:val="24"/>
        </w:rPr>
        <w:t>competencias profesionales</w:t>
      </w:r>
      <w:r w:rsidR="00B40FA5" w:rsidRPr="006C52E4">
        <w:rPr>
          <w:rFonts w:ascii="Times New Roman" w:hAnsi="Times New Roman" w:cs="Times New Roman"/>
          <w:sz w:val="24"/>
          <w:szCs w:val="24"/>
        </w:rPr>
        <w:t xml:space="preserve"> que se </w:t>
      </w:r>
      <w:r w:rsidR="005D1C5F" w:rsidRPr="006C52E4">
        <w:rPr>
          <w:rFonts w:ascii="Times New Roman" w:hAnsi="Times New Roman" w:cs="Times New Roman"/>
          <w:sz w:val="24"/>
          <w:szCs w:val="24"/>
        </w:rPr>
        <w:t>han especificado para cada semestre</w:t>
      </w:r>
      <w:r w:rsidR="007A0865">
        <w:rPr>
          <w:rFonts w:ascii="Times New Roman" w:hAnsi="Times New Roman" w:cs="Times New Roman"/>
          <w:sz w:val="24"/>
          <w:szCs w:val="24"/>
        </w:rPr>
        <w:t>, se realiza</w:t>
      </w:r>
      <w:r w:rsidRPr="006C52E4">
        <w:rPr>
          <w:rFonts w:ascii="Times New Roman" w:hAnsi="Times New Roman" w:cs="Times New Roman"/>
          <w:sz w:val="24"/>
          <w:szCs w:val="24"/>
        </w:rPr>
        <w:t xml:space="preserve"> tomando en cuenta</w:t>
      </w:r>
      <w:r w:rsidR="00AF4854" w:rsidRPr="006C52E4">
        <w:rPr>
          <w:rFonts w:ascii="Times New Roman" w:hAnsi="Times New Roman" w:cs="Times New Roman"/>
          <w:sz w:val="24"/>
          <w:szCs w:val="24"/>
        </w:rPr>
        <w:t xml:space="preserve"> los resultados del diagnóstico de factores internos y externos, de la evaluación del semestre previo y de los tiempos y contextos específicos en que se desarrollará</w:t>
      </w:r>
      <w:r w:rsidR="008F3FF7" w:rsidRPr="006C52E4">
        <w:rPr>
          <w:rFonts w:ascii="Times New Roman" w:hAnsi="Times New Roman" w:cs="Times New Roman"/>
          <w:sz w:val="24"/>
          <w:szCs w:val="24"/>
        </w:rPr>
        <w:t>n los cursos de cada</w:t>
      </w:r>
      <w:r w:rsidR="00AF4854" w:rsidRPr="006C52E4">
        <w:rPr>
          <w:rFonts w:ascii="Times New Roman" w:hAnsi="Times New Roman" w:cs="Times New Roman"/>
          <w:sz w:val="24"/>
          <w:szCs w:val="24"/>
        </w:rPr>
        <w:t xml:space="preserve"> semestre.</w:t>
      </w:r>
      <w:r w:rsidR="0068540D" w:rsidRPr="006C52E4">
        <w:rPr>
          <w:rFonts w:ascii="Times New Roman" w:hAnsi="Times New Roman" w:cs="Times New Roman"/>
          <w:sz w:val="24"/>
          <w:szCs w:val="24"/>
        </w:rPr>
        <w:t xml:space="preserve"> </w:t>
      </w:r>
      <w:r w:rsidR="007A0865">
        <w:rPr>
          <w:rFonts w:ascii="Times New Roman" w:hAnsi="Times New Roman" w:cs="Times New Roman"/>
          <w:sz w:val="24"/>
          <w:szCs w:val="24"/>
        </w:rPr>
        <w:t>La</w:t>
      </w:r>
      <w:r w:rsidR="008F3FF7" w:rsidRPr="006C52E4">
        <w:rPr>
          <w:rFonts w:ascii="Times New Roman" w:hAnsi="Times New Roman" w:cs="Times New Roman"/>
          <w:sz w:val="24"/>
          <w:szCs w:val="24"/>
        </w:rPr>
        <w:t xml:space="preserve"> planeación</w:t>
      </w:r>
      <w:r w:rsidR="007A0865">
        <w:rPr>
          <w:rFonts w:ascii="Times New Roman" w:hAnsi="Times New Roman" w:cs="Times New Roman"/>
          <w:sz w:val="24"/>
          <w:szCs w:val="24"/>
        </w:rPr>
        <w:t xml:space="preserve"> es</w:t>
      </w:r>
      <w:r w:rsidR="008F3FF7" w:rsidRPr="006C52E4">
        <w:rPr>
          <w:rFonts w:ascii="Times New Roman" w:hAnsi="Times New Roman" w:cs="Times New Roman"/>
          <w:sz w:val="24"/>
          <w:szCs w:val="24"/>
        </w:rPr>
        <w:t xml:space="preserve"> flexible </w:t>
      </w:r>
      <w:r w:rsidR="007A0865">
        <w:rPr>
          <w:rFonts w:ascii="Times New Roman" w:hAnsi="Times New Roman" w:cs="Times New Roman"/>
          <w:sz w:val="24"/>
          <w:szCs w:val="24"/>
        </w:rPr>
        <w:t>porque se hace considerando que pueden hacerse los</w:t>
      </w:r>
      <w:r w:rsidR="008F3FF7" w:rsidRPr="006C52E4">
        <w:rPr>
          <w:rFonts w:ascii="Times New Roman" w:hAnsi="Times New Roman" w:cs="Times New Roman"/>
          <w:sz w:val="24"/>
          <w:szCs w:val="24"/>
        </w:rPr>
        <w:t xml:space="preserve"> ajust</w:t>
      </w:r>
      <w:r w:rsidR="007A0865">
        <w:rPr>
          <w:rFonts w:ascii="Times New Roman" w:hAnsi="Times New Roman" w:cs="Times New Roman"/>
          <w:sz w:val="24"/>
          <w:szCs w:val="24"/>
        </w:rPr>
        <w:t xml:space="preserve">es pertinentes </w:t>
      </w:r>
      <w:r w:rsidR="008F3FF7" w:rsidRPr="006C52E4">
        <w:rPr>
          <w:rFonts w:ascii="Times New Roman" w:hAnsi="Times New Roman" w:cs="Times New Roman"/>
          <w:sz w:val="24"/>
          <w:szCs w:val="24"/>
        </w:rPr>
        <w:t xml:space="preserve">en determinados momentos de </w:t>
      </w:r>
      <w:r w:rsidR="007A0865">
        <w:rPr>
          <w:rFonts w:ascii="Times New Roman" w:hAnsi="Times New Roman" w:cs="Times New Roman"/>
          <w:sz w:val="24"/>
          <w:szCs w:val="24"/>
        </w:rPr>
        <w:t>la</w:t>
      </w:r>
      <w:r w:rsidR="008F3FF7" w:rsidRPr="006C52E4">
        <w:rPr>
          <w:rFonts w:ascii="Times New Roman" w:hAnsi="Times New Roman" w:cs="Times New Roman"/>
          <w:sz w:val="24"/>
          <w:szCs w:val="24"/>
        </w:rPr>
        <w:t xml:space="preserve"> ruta crítica </w:t>
      </w:r>
      <w:r w:rsidR="007A0865">
        <w:rPr>
          <w:rFonts w:ascii="Times New Roman" w:hAnsi="Times New Roman" w:cs="Times New Roman"/>
          <w:sz w:val="24"/>
          <w:szCs w:val="24"/>
        </w:rPr>
        <w:t xml:space="preserve">establecida </w:t>
      </w:r>
      <w:r w:rsidR="008F3FF7" w:rsidRPr="006C52E4">
        <w:rPr>
          <w:rFonts w:ascii="Times New Roman" w:hAnsi="Times New Roman" w:cs="Times New Roman"/>
          <w:sz w:val="24"/>
          <w:szCs w:val="24"/>
        </w:rPr>
        <w:t xml:space="preserve">en función de los resultados parciales. Es decir, si las evaluaciones parciales indican que los alumnos no están logrando el nivel de conocimientos, habilidades, destrezas y actitudes esperados, tendrán que </w:t>
      </w:r>
      <w:r w:rsidR="007A0865">
        <w:rPr>
          <w:rFonts w:ascii="Times New Roman" w:hAnsi="Times New Roman" w:cs="Times New Roman"/>
          <w:sz w:val="24"/>
          <w:szCs w:val="24"/>
        </w:rPr>
        <w:t>reestructurarse</w:t>
      </w:r>
      <w:r w:rsidR="008F3FF7" w:rsidRPr="006C52E4">
        <w:rPr>
          <w:rFonts w:ascii="Times New Roman" w:hAnsi="Times New Roman" w:cs="Times New Roman"/>
          <w:sz w:val="24"/>
          <w:szCs w:val="24"/>
        </w:rPr>
        <w:t xml:space="preserve"> las estrategias didácticas</w:t>
      </w:r>
      <w:r w:rsidR="00A11B4D" w:rsidRPr="006C52E4">
        <w:rPr>
          <w:rFonts w:ascii="Times New Roman" w:hAnsi="Times New Roman" w:cs="Times New Roman"/>
          <w:sz w:val="24"/>
          <w:szCs w:val="24"/>
        </w:rPr>
        <w:t xml:space="preserve">; modificarlas y/o </w:t>
      </w:r>
      <w:r w:rsidR="0068540D" w:rsidRPr="006C52E4">
        <w:rPr>
          <w:rFonts w:ascii="Times New Roman" w:hAnsi="Times New Roman" w:cs="Times New Roman"/>
          <w:sz w:val="24"/>
          <w:szCs w:val="24"/>
        </w:rPr>
        <w:t>considerar otras nuevas</w:t>
      </w:r>
      <w:r w:rsidR="00A11B4D" w:rsidRPr="006C52E4">
        <w:rPr>
          <w:rFonts w:ascii="Times New Roman" w:hAnsi="Times New Roman" w:cs="Times New Roman"/>
          <w:sz w:val="24"/>
          <w:szCs w:val="24"/>
        </w:rPr>
        <w:t>, sin renunciar al propósito de lograr las competencias establecidas en el programa.</w:t>
      </w:r>
    </w:p>
    <w:p w14:paraId="0A523A6D" w14:textId="77777777" w:rsidR="00E21EC6" w:rsidRPr="006C52E4" w:rsidRDefault="00E21EC6" w:rsidP="002363C6">
      <w:pPr>
        <w:autoSpaceDE w:val="0"/>
        <w:autoSpaceDN w:val="0"/>
        <w:adjustRightInd w:val="0"/>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Las políticas educativas para el nivel superior es que las universidades pueden recibir apoyos extraordinarios en la medida en que sus programas educativos son de calidad. La manera de demostrar tal calidad es participando en procesos de evaluación de los programas educativos y acreditándolos.  Así, la nueva oferta educativa, estará en condición </w:t>
      </w:r>
      <w:r w:rsidRPr="006C52E4">
        <w:rPr>
          <w:rFonts w:ascii="Times New Roman" w:hAnsi="Times New Roman" w:cs="Times New Roman"/>
          <w:sz w:val="24"/>
          <w:szCs w:val="24"/>
        </w:rPr>
        <w:lastRenderedPageBreak/>
        <w:t>de ser evaluable en cuanto concluya la primera generación. Momento en el que tie</w:t>
      </w:r>
      <w:r w:rsidR="0095746C" w:rsidRPr="006C52E4">
        <w:rPr>
          <w:rFonts w:ascii="Times New Roman" w:hAnsi="Times New Roman" w:cs="Times New Roman"/>
          <w:sz w:val="24"/>
          <w:szCs w:val="24"/>
        </w:rPr>
        <w:t xml:space="preserve">ne que mostrar una serie de factores (parámetros e indicadores) de los procesos formativos de alumnos y docentes, de equipamiento e infraestructura, de planes y programas de estudios, de procesos normativos, de la estructura y organización administrativa que se conjugaron para lograr la formación de tales egresados y con el perfil de egreso deseado.  Esta investigación es necesaria porque contribuye al análisis de los complejos procesos educativos y sus resultados. </w:t>
      </w:r>
    </w:p>
    <w:p w14:paraId="0F9820B2" w14:textId="77777777" w:rsidR="00967D83" w:rsidRPr="006C52E4" w:rsidRDefault="00967D83" w:rsidP="002363C6">
      <w:pPr>
        <w:autoSpaceDE w:val="0"/>
        <w:autoSpaceDN w:val="0"/>
        <w:adjustRightInd w:val="0"/>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Es necesario </w:t>
      </w:r>
      <w:r w:rsidR="00E2640D" w:rsidRPr="006C52E4">
        <w:rPr>
          <w:rFonts w:ascii="Times New Roman" w:hAnsi="Times New Roman" w:cs="Times New Roman"/>
          <w:sz w:val="24"/>
          <w:szCs w:val="24"/>
        </w:rPr>
        <w:t>contar con una</w:t>
      </w:r>
      <w:r w:rsidRPr="006C52E4">
        <w:rPr>
          <w:rFonts w:ascii="Times New Roman" w:hAnsi="Times New Roman" w:cs="Times New Roman"/>
          <w:sz w:val="24"/>
          <w:szCs w:val="24"/>
        </w:rPr>
        <w:t xml:space="preserve"> estrategia </w:t>
      </w:r>
      <w:r w:rsidR="00E2640D" w:rsidRPr="006C52E4">
        <w:rPr>
          <w:rFonts w:ascii="Times New Roman" w:hAnsi="Times New Roman" w:cs="Times New Roman"/>
          <w:sz w:val="24"/>
          <w:szCs w:val="24"/>
        </w:rPr>
        <w:t xml:space="preserve">que permita conocer </w:t>
      </w:r>
      <w:r w:rsidRPr="006C52E4">
        <w:rPr>
          <w:rFonts w:ascii="Times New Roman" w:hAnsi="Times New Roman" w:cs="Times New Roman"/>
          <w:sz w:val="24"/>
          <w:szCs w:val="24"/>
        </w:rPr>
        <w:t xml:space="preserve">el impacto </w:t>
      </w:r>
      <w:r w:rsidR="00E2640D" w:rsidRPr="006C52E4">
        <w:rPr>
          <w:rFonts w:ascii="Times New Roman" w:hAnsi="Times New Roman" w:cs="Times New Roman"/>
          <w:sz w:val="24"/>
          <w:szCs w:val="24"/>
        </w:rPr>
        <w:t>que</w:t>
      </w:r>
      <w:r w:rsidRPr="006C52E4">
        <w:rPr>
          <w:rFonts w:ascii="Times New Roman" w:hAnsi="Times New Roman" w:cs="Times New Roman"/>
          <w:sz w:val="24"/>
          <w:szCs w:val="24"/>
        </w:rPr>
        <w:t xml:space="preserve"> la implementación de </w:t>
      </w:r>
      <w:r w:rsidR="00E2640D" w:rsidRPr="006C52E4">
        <w:rPr>
          <w:rFonts w:ascii="Times New Roman" w:hAnsi="Times New Roman" w:cs="Times New Roman"/>
          <w:sz w:val="24"/>
          <w:szCs w:val="24"/>
        </w:rPr>
        <w:t>la nueva oferta educativa causa a las actuales dinámicas de los proceso académicos, de gestión, administrativos y de investigación en la Facultad de Arquitectura. Esta estrategia es la planeación</w:t>
      </w:r>
      <w:r w:rsidRPr="006C52E4">
        <w:rPr>
          <w:rFonts w:ascii="Times New Roman" w:hAnsi="Times New Roman" w:cs="Times New Roman"/>
          <w:sz w:val="24"/>
          <w:szCs w:val="24"/>
        </w:rPr>
        <w:t xml:space="preserve"> </w:t>
      </w:r>
      <w:r w:rsidR="00E2640D" w:rsidRPr="006C52E4">
        <w:rPr>
          <w:rFonts w:ascii="Times New Roman" w:hAnsi="Times New Roman" w:cs="Times New Roman"/>
          <w:sz w:val="24"/>
          <w:szCs w:val="24"/>
        </w:rPr>
        <w:t xml:space="preserve">educativa desde una visión amplia, es decir, que involucra la evaluación de las estrategias, actividades y metas que se establecen </w:t>
      </w:r>
      <w:r w:rsidR="00AE05F4" w:rsidRPr="006C52E4">
        <w:rPr>
          <w:rFonts w:ascii="Times New Roman" w:hAnsi="Times New Roman" w:cs="Times New Roman"/>
          <w:sz w:val="24"/>
          <w:szCs w:val="24"/>
        </w:rPr>
        <w:t>con el fin de estar en condiciones de</w:t>
      </w:r>
      <w:r w:rsidRPr="006C52E4">
        <w:rPr>
          <w:rFonts w:ascii="Times New Roman" w:hAnsi="Times New Roman" w:cs="Times New Roman"/>
          <w:sz w:val="24"/>
          <w:szCs w:val="24"/>
        </w:rPr>
        <w:t xml:space="preserve"> realizar los ajustes necesarios y potenciar el desarrollo de los programas y minimizar los efectos negativos, en el caso de que se presenten.</w:t>
      </w:r>
    </w:p>
    <w:p w14:paraId="5A2B0FE0" w14:textId="77777777" w:rsidR="00BD466E" w:rsidRPr="006C52E4" w:rsidRDefault="00BD466E" w:rsidP="002363C6">
      <w:pPr>
        <w:autoSpaceDE w:val="0"/>
        <w:autoSpaceDN w:val="0"/>
        <w:adjustRightInd w:val="0"/>
        <w:spacing w:line="360" w:lineRule="auto"/>
        <w:jc w:val="both"/>
        <w:rPr>
          <w:rFonts w:ascii="Times New Roman" w:hAnsi="Times New Roman" w:cs="Times New Roman"/>
          <w:bCs/>
          <w:sz w:val="24"/>
          <w:szCs w:val="24"/>
        </w:rPr>
      </w:pPr>
    </w:p>
    <w:p w14:paraId="410CDB97" w14:textId="77777777" w:rsidR="007B4DDD" w:rsidRPr="008C03A4" w:rsidRDefault="00BD466E" w:rsidP="002363C6">
      <w:pPr>
        <w:autoSpaceDE w:val="0"/>
        <w:autoSpaceDN w:val="0"/>
        <w:adjustRightInd w:val="0"/>
        <w:spacing w:line="360" w:lineRule="auto"/>
        <w:jc w:val="both"/>
        <w:rPr>
          <w:rFonts w:ascii="Times New Roman" w:hAnsi="Times New Roman" w:cs="Times New Roman"/>
          <w:b/>
          <w:sz w:val="24"/>
          <w:szCs w:val="24"/>
        </w:rPr>
      </w:pPr>
      <w:r w:rsidRPr="008C03A4">
        <w:rPr>
          <w:rFonts w:ascii="Times New Roman" w:hAnsi="Times New Roman" w:cs="Times New Roman"/>
          <w:b/>
          <w:bCs/>
          <w:sz w:val="24"/>
          <w:szCs w:val="24"/>
        </w:rPr>
        <w:t>Objetivo general</w:t>
      </w:r>
    </w:p>
    <w:p w14:paraId="25511A2E" w14:textId="77777777" w:rsidR="00AE05F4" w:rsidRPr="006C52E4" w:rsidRDefault="00AE05F4" w:rsidP="002363C6">
      <w:pPr>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Planear, dar seguimiento y evaluar </w:t>
      </w:r>
      <w:r w:rsidR="00911004" w:rsidRPr="006C52E4">
        <w:rPr>
          <w:rFonts w:ascii="Times New Roman" w:hAnsi="Times New Roman" w:cs="Times New Roman"/>
          <w:sz w:val="24"/>
          <w:szCs w:val="24"/>
        </w:rPr>
        <w:t xml:space="preserve">en contexto y colaborativamente, </w:t>
      </w:r>
      <w:r w:rsidRPr="006C52E4">
        <w:rPr>
          <w:rFonts w:ascii="Times New Roman" w:hAnsi="Times New Roman" w:cs="Times New Roman"/>
          <w:sz w:val="24"/>
          <w:szCs w:val="24"/>
        </w:rPr>
        <w:t xml:space="preserve">las estrategias para </w:t>
      </w:r>
      <w:r w:rsidR="00FC15F5" w:rsidRPr="006C52E4">
        <w:rPr>
          <w:rFonts w:ascii="Times New Roman" w:hAnsi="Times New Roman" w:cs="Times New Roman"/>
          <w:sz w:val="24"/>
          <w:szCs w:val="24"/>
        </w:rPr>
        <w:t xml:space="preserve">la implementación del plan de estudios de las licenciaturas en Diseño de Interiores </w:t>
      </w:r>
      <w:r w:rsidRPr="006C52E4">
        <w:rPr>
          <w:rFonts w:ascii="Times New Roman" w:hAnsi="Times New Roman" w:cs="Times New Roman"/>
          <w:sz w:val="24"/>
          <w:szCs w:val="24"/>
        </w:rPr>
        <w:t xml:space="preserve">y Ambientación </w:t>
      </w:r>
      <w:r w:rsidR="00FC15F5" w:rsidRPr="006C52E4">
        <w:rPr>
          <w:rFonts w:ascii="Times New Roman" w:hAnsi="Times New Roman" w:cs="Times New Roman"/>
          <w:sz w:val="24"/>
          <w:szCs w:val="24"/>
        </w:rPr>
        <w:t>y</w:t>
      </w:r>
      <w:r w:rsidRPr="006C52E4">
        <w:rPr>
          <w:rFonts w:ascii="Times New Roman" w:hAnsi="Times New Roman" w:cs="Times New Roman"/>
          <w:sz w:val="24"/>
          <w:szCs w:val="24"/>
        </w:rPr>
        <w:t>, Diseño Urbano y del Paisaje</w:t>
      </w:r>
      <w:r w:rsidR="00FC15F5" w:rsidRPr="006C52E4">
        <w:rPr>
          <w:rFonts w:ascii="Times New Roman" w:hAnsi="Times New Roman" w:cs="Times New Roman"/>
          <w:sz w:val="24"/>
          <w:szCs w:val="24"/>
        </w:rPr>
        <w:t xml:space="preserve"> durante el ciclo escolar 2013-2014.  El propósito es valorar en qué medida los productos académicos logrados por los alumnos muestran el nivel de dominio de las competencias profesionales establecidas para los periodos 1 y 2 de los respectivos planes de estudios y para las respectivas unidades de aprendizaje que forman parte de ellos.</w:t>
      </w:r>
      <w:r w:rsidR="00911004" w:rsidRPr="006C52E4">
        <w:rPr>
          <w:rFonts w:ascii="Times New Roman" w:hAnsi="Times New Roman" w:cs="Times New Roman"/>
          <w:sz w:val="24"/>
          <w:szCs w:val="24"/>
        </w:rPr>
        <w:t xml:space="preserve">  </w:t>
      </w:r>
      <w:r w:rsidR="008E37D8" w:rsidRPr="006C52E4">
        <w:rPr>
          <w:rFonts w:ascii="Times New Roman" w:hAnsi="Times New Roman" w:cs="Times New Roman"/>
          <w:sz w:val="24"/>
          <w:szCs w:val="24"/>
        </w:rPr>
        <w:t xml:space="preserve">Para lograrlo es necesario considerar la participación de alumnos, profesores y directivos </w:t>
      </w:r>
      <w:r w:rsidRPr="006C52E4">
        <w:rPr>
          <w:rFonts w:ascii="Times New Roman" w:hAnsi="Times New Roman" w:cs="Times New Roman"/>
          <w:sz w:val="24"/>
          <w:szCs w:val="24"/>
        </w:rPr>
        <w:t>involucrados así como un conjunto de factores internos y externos que determinan el que algunas estrategia</w:t>
      </w:r>
      <w:r w:rsidR="000C28C2" w:rsidRPr="006C52E4">
        <w:rPr>
          <w:rFonts w:ascii="Times New Roman" w:hAnsi="Times New Roman" w:cs="Times New Roman"/>
          <w:sz w:val="24"/>
          <w:szCs w:val="24"/>
        </w:rPr>
        <w:t>s</w:t>
      </w:r>
      <w:r w:rsidRPr="006C52E4">
        <w:rPr>
          <w:rFonts w:ascii="Times New Roman" w:hAnsi="Times New Roman" w:cs="Times New Roman"/>
          <w:sz w:val="24"/>
          <w:szCs w:val="24"/>
        </w:rPr>
        <w:t xml:space="preserve"> y actividades puedan o no realizarse y que son parte del proceso de formación de los alumnos.</w:t>
      </w:r>
    </w:p>
    <w:p w14:paraId="336626E3" w14:textId="77777777" w:rsidR="00BD466E" w:rsidRPr="006C52E4" w:rsidRDefault="00BD466E" w:rsidP="002363C6">
      <w:pPr>
        <w:spacing w:line="360" w:lineRule="auto"/>
        <w:jc w:val="both"/>
        <w:rPr>
          <w:rFonts w:ascii="Times New Roman" w:hAnsi="Times New Roman" w:cs="Times New Roman"/>
          <w:sz w:val="24"/>
          <w:szCs w:val="24"/>
        </w:rPr>
      </w:pPr>
    </w:p>
    <w:p w14:paraId="04717D8F" w14:textId="77777777" w:rsidR="002363C6" w:rsidRDefault="002363C6" w:rsidP="002363C6">
      <w:pPr>
        <w:autoSpaceDE w:val="0"/>
        <w:autoSpaceDN w:val="0"/>
        <w:adjustRightInd w:val="0"/>
        <w:spacing w:line="360" w:lineRule="auto"/>
        <w:jc w:val="both"/>
        <w:rPr>
          <w:rFonts w:ascii="Times New Roman" w:hAnsi="Times New Roman" w:cs="Times New Roman"/>
          <w:b/>
          <w:bCs/>
          <w:sz w:val="24"/>
          <w:szCs w:val="24"/>
        </w:rPr>
      </w:pPr>
    </w:p>
    <w:p w14:paraId="70EE9393" w14:textId="77777777" w:rsidR="00FC15F5" w:rsidRPr="008C03A4" w:rsidRDefault="00BD466E" w:rsidP="002363C6">
      <w:pPr>
        <w:autoSpaceDE w:val="0"/>
        <w:autoSpaceDN w:val="0"/>
        <w:adjustRightInd w:val="0"/>
        <w:spacing w:line="360" w:lineRule="auto"/>
        <w:jc w:val="both"/>
        <w:rPr>
          <w:rFonts w:ascii="Times New Roman" w:hAnsi="Times New Roman" w:cs="Times New Roman"/>
          <w:b/>
          <w:sz w:val="24"/>
          <w:szCs w:val="24"/>
        </w:rPr>
      </w:pPr>
      <w:r w:rsidRPr="008C03A4">
        <w:rPr>
          <w:rFonts w:ascii="Times New Roman" w:hAnsi="Times New Roman" w:cs="Times New Roman"/>
          <w:b/>
          <w:bCs/>
          <w:sz w:val="24"/>
          <w:szCs w:val="24"/>
        </w:rPr>
        <w:lastRenderedPageBreak/>
        <w:t>Objetivos específicos</w:t>
      </w:r>
    </w:p>
    <w:p w14:paraId="0BA068B0" w14:textId="4E8B0F1B" w:rsidR="00FC15F5" w:rsidRPr="006C52E4" w:rsidRDefault="008E37D8" w:rsidP="002363C6">
      <w:pPr>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Realizar </w:t>
      </w:r>
      <w:r w:rsidR="00A675C2" w:rsidRPr="006C52E4">
        <w:rPr>
          <w:rFonts w:ascii="Times New Roman" w:hAnsi="Times New Roman" w:cs="Times New Roman"/>
          <w:sz w:val="24"/>
          <w:szCs w:val="24"/>
        </w:rPr>
        <w:t>un diagnóstico de los principales factores y actores que interviene</w:t>
      </w:r>
      <w:r w:rsidR="00D63383">
        <w:rPr>
          <w:rFonts w:ascii="Times New Roman" w:hAnsi="Times New Roman" w:cs="Times New Roman"/>
          <w:sz w:val="24"/>
          <w:szCs w:val="24"/>
        </w:rPr>
        <w:t>n</w:t>
      </w:r>
      <w:r w:rsidR="00A675C2" w:rsidRPr="006C52E4">
        <w:rPr>
          <w:rFonts w:ascii="Times New Roman" w:hAnsi="Times New Roman" w:cs="Times New Roman"/>
          <w:sz w:val="24"/>
          <w:szCs w:val="24"/>
        </w:rPr>
        <w:t xml:space="preserve"> en la implementación del plan de estudios de las licenciaturas en Diseño de Interiores y Urbanismo durante el ciclo escolar 2013-2014.</w:t>
      </w:r>
    </w:p>
    <w:p w14:paraId="23DCEC33" w14:textId="77777777" w:rsidR="00A675C2" w:rsidRPr="006C52E4" w:rsidRDefault="001A12CD" w:rsidP="002363C6">
      <w:pPr>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Analizar las etapas de la planeación didáctica de las unidades de aprendizaje realizadas por los docentes a fin de detectar los productos que serán sujetos/objetos de valoración.  </w:t>
      </w:r>
    </w:p>
    <w:p w14:paraId="6D5E2635" w14:textId="77777777" w:rsidR="001A12CD" w:rsidRPr="006C52E4" w:rsidRDefault="001A12CD" w:rsidP="002363C6">
      <w:pPr>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Evaluar los productos de aprendizaje logrados por los alumnos, los procesos educativos desarrollados por los maestros</w:t>
      </w:r>
      <w:r w:rsidR="00686B7A" w:rsidRPr="006C52E4">
        <w:rPr>
          <w:rFonts w:ascii="Times New Roman" w:hAnsi="Times New Roman" w:cs="Times New Roman"/>
          <w:sz w:val="24"/>
          <w:szCs w:val="24"/>
        </w:rPr>
        <w:t>, los servicios y equipamiento educativo que se utilizaron/requirieron en la implementación de los planes de estudio.</w:t>
      </w:r>
    </w:p>
    <w:p w14:paraId="4A310866" w14:textId="77777777" w:rsidR="00654CA2" w:rsidRPr="006C52E4" w:rsidRDefault="00654CA2" w:rsidP="002363C6">
      <w:pPr>
        <w:spacing w:line="360" w:lineRule="auto"/>
        <w:jc w:val="both"/>
        <w:rPr>
          <w:rFonts w:ascii="Times New Roman" w:hAnsi="Times New Roman" w:cs="Times New Roman"/>
          <w:bCs/>
          <w:sz w:val="24"/>
          <w:szCs w:val="24"/>
        </w:rPr>
      </w:pPr>
    </w:p>
    <w:p w14:paraId="0C9B87B6" w14:textId="77777777" w:rsidR="007B4DDD" w:rsidRPr="008C03A4" w:rsidRDefault="00654CA2" w:rsidP="002363C6">
      <w:pPr>
        <w:spacing w:line="360" w:lineRule="auto"/>
        <w:jc w:val="both"/>
        <w:rPr>
          <w:rFonts w:ascii="Times New Roman" w:hAnsi="Times New Roman" w:cs="Times New Roman"/>
          <w:b/>
          <w:bCs/>
          <w:sz w:val="24"/>
          <w:szCs w:val="24"/>
        </w:rPr>
      </w:pPr>
      <w:r w:rsidRPr="008C03A4">
        <w:rPr>
          <w:rFonts w:ascii="Times New Roman" w:hAnsi="Times New Roman" w:cs="Times New Roman"/>
          <w:b/>
          <w:bCs/>
          <w:sz w:val="24"/>
          <w:szCs w:val="24"/>
        </w:rPr>
        <w:t>Metodología</w:t>
      </w:r>
    </w:p>
    <w:p w14:paraId="45B21214" w14:textId="77777777" w:rsidR="007B4DDD" w:rsidRPr="005124CC" w:rsidRDefault="007F344C" w:rsidP="002363C6">
      <w:pPr>
        <w:spacing w:line="360" w:lineRule="auto"/>
        <w:jc w:val="both"/>
        <w:rPr>
          <w:rFonts w:ascii="Times New Roman" w:hAnsi="Times New Roman" w:cs="Times New Roman"/>
          <w:sz w:val="24"/>
          <w:szCs w:val="24"/>
        </w:rPr>
      </w:pPr>
      <w:r w:rsidRPr="006C52E4">
        <w:rPr>
          <w:rFonts w:ascii="Times New Roman" w:hAnsi="Times New Roman" w:cs="Times New Roman"/>
          <w:sz w:val="24"/>
          <w:szCs w:val="24"/>
        </w:rPr>
        <w:t xml:space="preserve">La metodología para el desarrollo de este trabajo de investigación es la –Metodología de Investigación acción-.  El Responsable de este Proyecto de Investigación, participó en la elaboración del diseño curricular de los programas de licenciatura en Diseño de Interiores y Urbanismo, es parte de la planta de maestros de tiempo completo en la FAUAS y participa en las reuniones periódicas, que realizan el cuerpo de profesores, para la valoración y análisis de resultados de las estrategias didácticas implementadas en los grupos de ambas </w:t>
      </w:r>
      <w:r w:rsidRPr="005124CC">
        <w:rPr>
          <w:rFonts w:ascii="Times New Roman" w:hAnsi="Times New Roman" w:cs="Times New Roman"/>
          <w:sz w:val="24"/>
          <w:szCs w:val="24"/>
        </w:rPr>
        <w:t>licenciaturas.</w:t>
      </w:r>
    </w:p>
    <w:p w14:paraId="595FFA64" w14:textId="22346E4E" w:rsidR="005124CC" w:rsidRPr="005124CC" w:rsidRDefault="0068784B" w:rsidP="002363C6">
      <w:pPr>
        <w:spacing w:line="360" w:lineRule="auto"/>
        <w:jc w:val="both"/>
        <w:rPr>
          <w:rFonts w:ascii="Times New Roman" w:hAnsi="Times New Roman" w:cs="Times New Roman"/>
          <w:sz w:val="24"/>
          <w:szCs w:val="24"/>
        </w:rPr>
      </w:pPr>
      <w:r w:rsidRPr="005124CC">
        <w:rPr>
          <w:rFonts w:ascii="Times New Roman" w:hAnsi="Times New Roman" w:cs="Times New Roman"/>
          <w:sz w:val="24"/>
          <w:szCs w:val="24"/>
        </w:rPr>
        <w:t xml:space="preserve">Hizo análisis del perfil </w:t>
      </w:r>
      <w:r w:rsidR="00910BBF" w:rsidRPr="005124CC">
        <w:rPr>
          <w:rFonts w:ascii="Times New Roman" w:hAnsi="Times New Roman" w:cs="Times New Roman"/>
          <w:sz w:val="24"/>
          <w:szCs w:val="24"/>
        </w:rPr>
        <w:t xml:space="preserve">de los profesores que actualmente tienen asignada la carga académica de docencia en estas licenciaturas.  </w:t>
      </w:r>
      <w:r w:rsidRPr="005124CC">
        <w:rPr>
          <w:rFonts w:ascii="Times New Roman" w:hAnsi="Times New Roman" w:cs="Times New Roman"/>
          <w:sz w:val="24"/>
          <w:szCs w:val="24"/>
        </w:rPr>
        <w:t>El desempeño docente es un factor determinante en la calidad de un programa educativo, los</w:t>
      </w:r>
      <w:r w:rsidR="00910BBF" w:rsidRPr="005124CC">
        <w:rPr>
          <w:rFonts w:ascii="Times New Roman" w:hAnsi="Times New Roman" w:cs="Times New Roman"/>
          <w:sz w:val="24"/>
          <w:szCs w:val="24"/>
        </w:rPr>
        <w:t xml:space="preserve"> profesores son los responsables directos de que se brinde una educación de calidad</w:t>
      </w:r>
      <w:r w:rsidRPr="005124CC">
        <w:rPr>
          <w:rFonts w:ascii="Times New Roman" w:hAnsi="Times New Roman" w:cs="Times New Roman"/>
          <w:sz w:val="24"/>
          <w:szCs w:val="24"/>
        </w:rPr>
        <w:t>, con mayor razón</w:t>
      </w:r>
      <w:r w:rsidR="00910BBF" w:rsidRPr="005124CC">
        <w:rPr>
          <w:rFonts w:ascii="Times New Roman" w:hAnsi="Times New Roman" w:cs="Times New Roman"/>
          <w:sz w:val="24"/>
          <w:szCs w:val="24"/>
        </w:rPr>
        <w:t xml:space="preserve"> en programas de reciente</w:t>
      </w:r>
      <w:r w:rsidRPr="005124CC">
        <w:rPr>
          <w:rFonts w:ascii="Times New Roman" w:hAnsi="Times New Roman" w:cs="Times New Roman"/>
          <w:sz w:val="24"/>
          <w:szCs w:val="24"/>
        </w:rPr>
        <w:t>, porque para los alumnos no hay otros alumnos que les apoyen con sugerencias de cómo establecer estrategias para sus trayectorias escolares, solo tienen a los profesores y éstos también están experimentando con nuevas estrategias y contenidos. Este tipo se reflexiones se realizaron y se seguirán realizando en el colectivo de docentes de estos programas</w:t>
      </w:r>
      <w:r w:rsidR="005124CC" w:rsidRPr="005124CC">
        <w:rPr>
          <w:rFonts w:ascii="Times New Roman" w:hAnsi="Times New Roman" w:cs="Times New Roman"/>
          <w:sz w:val="24"/>
          <w:szCs w:val="24"/>
        </w:rPr>
        <w:t>.</w:t>
      </w:r>
    </w:p>
    <w:p w14:paraId="012E7712" w14:textId="290E0736" w:rsidR="00910BBF" w:rsidRPr="005124CC" w:rsidRDefault="00A45329" w:rsidP="002363C6">
      <w:pPr>
        <w:spacing w:line="360" w:lineRule="auto"/>
        <w:jc w:val="both"/>
        <w:rPr>
          <w:rFonts w:ascii="Times New Roman" w:hAnsi="Times New Roman" w:cs="Times New Roman"/>
          <w:sz w:val="24"/>
          <w:szCs w:val="24"/>
        </w:rPr>
      </w:pPr>
      <w:r w:rsidRPr="005124CC">
        <w:rPr>
          <w:rFonts w:ascii="Times New Roman" w:hAnsi="Times New Roman" w:cs="Times New Roman"/>
          <w:sz w:val="24"/>
          <w:szCs w:val="24"/>
        </w:rPr>
        <w:lastRenderedPageBreak/>
        <w:t xml:space="preserve">Valorar </w:t>
      </w:r>
      <w:r w:rsidR="00910BBF" w:rsidRPr="005124CC">
        <w:rPr>
          <w:rFonts w:ascii="Times New Roman" w:hAnsi="Times New Roman" w:cs="Times New Roman"/>
          <w:sz w:val="24"/>
          <w:szCs w:val="24"/>
        </w:rPr>
        <w:t>los recursos materiales; infraestructura y equipamiento.  De entrada ya se sabe que existe déficit de espacios, se requieren más aulas, talleres y laboratorios</w:t>
      </w:r>
      <w:r w:rsidR="00A76C87" w:rsidRPr="005124CC">
        <w:rPr>
          <w:rFonts w:ascii="Times New Roman" w:hAnsi="Times New Roman" w:cs="Times New Roman"/>
          <w:sz w:val="24"/>
          <w:szCs w:val="24"/>
        </w:rPr>
        <w:t xml:space="preserve">. Diseñar las estrategias didácticas que sea posible aplicar bajo las condiciones actuales de carencias de espacios, donde alumnos y profesores son conscientes de </w:t>
      </w:r>
      <w:r w:rsidR="000F5FD2" w:rsidRPr="005124CC">
        <w:rPr>
          <w:rFonts w:ascii="Times New Roman" w:hAnsi="Times New Roman" w:cs="Times New Roman"/>
          <w:sz w:val="24"/>
          <w:szCs w:val="24"/>
        </w:rPr>
        <w:t>eso</w:t>
      </w:r>
      <w:r w:rsidR="00A76C87" w:rsidRPr="005124CC">
        <w:rPr>
          <w:rFonts w:ascii="Times New Roman" w:hAnsi="Times New Roman" w:cs="Times New Roman"/>
          <w:sz w:val="24"/>
          <w:szCs w:val="24"/>
        </w:rPr>
        <w:t xml:space="preserve"> y aprovechan al máximos los recursos para lograr los niveles de competencias que se espera desarrollen y muestren a través de los productos logrados en cada semestre.  Una valoración similar se tendrá que hacer con el equipamiento académico que está a disposición de alumnos </w:t>
      </w:r>
      <w:r w:rsidR="000F5FD2" w:rsidRPr="005124CC">
        <w:rPr>
          <w:rFonts w:ascii="Times New Roman" w:hAnsi="Times New Roman" w:cs="Times New Roman"/>
          <w:sz w:val="24"/>
          <w:szCs w:val="24"/>
        </w:rPr>
        <w:t xml:space="preserve">y profesores </w:t>
      </w:r>
      <w:r w:rsidR="00A76C87" w:rsidRPr="005124CC">
        <w:rPr>
          <w:rFonts w:ascii="Times New Roman" w:hAnsi="Times New Roman" w:cs="Times New Roman"/>
          <w:sz w:val="24"/>
          <w:szCs w:val="24"/>
        </w:rPr>
        <w:t>como apoyo a</w:t>
      </w:r>
      <w:r w:rsidR="000F5FD2" w:rsidRPr="005124CC">
        <w:rPr>
          <w:rFonts w:ascii="Times New Roman" w:hAnsi="Times New Roman" w:cs="Times New Roman"/>
          <w:sz w:val="24"/>
          <w:szCs w:val="24"/>
        </w:rPr>
        <w:t>l</w:t>
      </w:r>
      <w:r w:rsidR="00A76C87" w:rsidRPr="005124CC">
        <w:rPr>
          <w:rFonts w:ascii="Times New Roman" w:hAnsi="Times New Roman" w:cs="Times New Roman"/>
          <w:sz w:val="24"/>
          <w:szCs w:val="24"/>
        </w:rPr>
        <w:t xml:space="preserve"> proceso</w:t>
      </w:r>
      <w:r w:rsidR="000F5FD2" w:rsidRPr="005124CC">
        <w:rPr>
          <w:rFonts w:ascii="Times New Roman" w:hAnsi="Times New Roman" w:cs="Times New Roman"/>
          <w:sz w:val="24"/>
          <w:szCs w:val="24"/>
        </w:rPr>
        <w:t xml:space="preserve"> </w:t>
      </w:r>
      <w:r w:rsidR="00A76C87" w:rsidRPr="005124CC">
        <w:rPr>
          <w:rFonts w:ascii="Times New Roman" w:hAnsi="Times New Roman" w:cs="Times New Roman"/>
          <w:sz w:val="24"/>
          <w:szCs w:val="24"/>
        </w:rPr>
        <w:t>educativo. Nos referimos a los servicios de Internet, biblioteca, centro de cómputo y laboratorio de medio ambiente.</w:t>
      </w:r>
    </w:p>
    <w:p w14:paraId="6E9AA535" w14:textId="49B18C21" w:rsidR="00A76C87" w:rsidRPr="005124CC" w:rsidRDefault="00A76C87" w:rsidP="002363C6">
      <w:pPr>
        <w:spacing w:line="360" w:lineRule="auto"/>
        <w:jc w:val="both"/>
        <w:rPr>
          <w:rFonts w:ascii="Times New Roman" w:hAnsi="Times New Roman" w:cs="Times New Roman"/>
          <w:sz w:val="24"/>
          <w:szCs w:val="24"/>
        </w:rPr>
      </w:pPr>
      <w:r w:rsidRPr="005124CC">
        <w:rPr>
          <w:rFonts w:ascii="Times New Roman" w:hAnsi="Times New Roman" w:cs="Times New Roman"/>
          <w:sz w:val="24"/>
          <w:szCs w:val="24"/>
        </w:rPr>
        <w:t>Cada profesor realiza una valoración sobre el nivel de logro en la Unidad de Aprendizaje de la que fue responsable</w:t>
      </w:r>
      <w:r w:rsidR="00EB7917" w:rsidRPr="005124CC">
        <w:rPr>
          <w:rFonts w:ascii="Times New Roman" w:hAnsi="Times New Roman" w:cs="Times New Roman"/>
          <w:sz w:val="24"/>
          <w:szCs w:val="24"/>
        </w:rPr>
        <w:t>, lo h</w:t>
      </w:r>
      <w:r w:rsidR="000F5FD2" w:rsidRPr="005124CC">
        <w:rPr>
          <w:rFonts w:ascii="Times New Roman" w:hAnsi="Times New Roman" w:cs="Times New Roman"/>
          <w:sz w:val="24"/>
          <w:szCs w:val="24"/>
        </w:rPr>
        <w:t>ace</w:t>
      </w:r>
      <w:r w:rsidR="00EB7917" w:rsidRPr="005124CC">
        <w:rPr>
          <w:rFonts w:ascii="Times New Roman" w:hAnsi="Times New Roman" w:cs="Times New Roman"/>
          <w:sz w:val="24"/>
          <w:szCs w:val="24"/>
        </w:rPr>
        <w:t xml:space="preserve">, teniendo como referente la planeación del curso y los resultados obtenidos, ubica las desviaciones y analiza las causas que las originaron.  Con este material, se realiza un foro de análisis crítico entre el grupo de profesores que participan en cada licenciatura a fin de detectar los factores y su nivel de influencia en el logro de los resultados.  Este análisis será considerado para la toma de decisiones sobre las estrategias didácticas que habrán de implementarse en </w:t>
      </w:r>
      <w:r w:rsidR="00AE4A2D" w:rsidRPr="005124CC">
        <w:rPr>
          <w:rFonts w:ascii="Times New Roman" w:hAnsi="Times New Roman" w:cs="Times New Roman"/>
          <w:sz w:val="24"/>
          <w:szCs w:val="24"/>
        </w:rPr>
        <w:t>cursos futuros.</w:t>
      </w:r>
    </w:p>
    <w:p w14:paraId="3DC0E0E2" w14:textId="466F6D5D" w:rsidR="00A00A1D" w:rsidRPr="005124CC" w:rsidRDefault="00A00A1D" w:rsidP="002363C6">
      <w:pPr>
        <w:spacing w:line="360" w:lineRule="auto"/>
        <w:jc w:val="both"/>
        <w:rPr>
          <w:rFonts w:ascii="Times New Roman" w:hAnsi="Times New Roman" w:cs="Times New Roman"/>
          <w:sz w:val="24"/>
          <w:szCs w:val="24"/>
        </w:rPr>
      </w:pPr>
      <w:r w:rsidRPr="005124CC">
        <w:rPr>
          <w:rFonts w:ascii="Times New Roman" w:hAnsi="Times New Roman" w:cs="Times New Roman"/>
          <w:sz w:val="24"/>
          <w:szCs w:val="24"/>
        </w:rPr>
        <w:t>Los alumnos también participan en la evaluación de los resultados de</w:t>
      </w:r>
      <w:r w:rsidR="00AE4A2D" w:rsidRPr="005124CC">
        <w:rPr>
          <w:rFonts w:ascii="Times New Roman" w:hAnsi="Times New Roman" w:cs="Times New Roman"/>
          <w:sz w:val="24"/>
          <w:szCs w:val="24"/>
        </w:rPr>
        <w:t xml:space="preserve"> estos primeros periodos</w:t>
      </w:r>
      <w:r w:rsidRPr="005124CC">
        <w:rPr>
          <w:rFonts w:ascii="Times New Roman" w:hAnsi="Times New Roman" w:cs="Times New Roman"/>
          <w:sz w:val="24"/>
          <w:szCs w:val="24"/>
        </w:rPr>
        <w:t xml:space="preserve">. </w:t>
      </w:r>
      <w:r w:rsidR="00AE4A2D" w:rsidRPr="005124CC">
        <w:rPr>
          <w:rFonts w:ascii="Times New Roman" w:hAnsi="Times New Roman" w:cs="Times New Roman"/>
          <w:sz w:val="24"/>
          <w:szCs w:val="24"/>
        </w:rPr>
        <w:t>Presentaron</w:t>
      </w:r>
      <w:r w:rsidRPr="005124CC">
        <w:rPr>
          <w:rFonts w:ascii="Times New Roman" w:hAnsi="Times New Roman" w:cs="Times New Roman"/>
          <w:sz w:val="24"/>
          <w:szCs w:val="24"/>
        </w:rPr>
        <w:t xml:space="preserve"> </w:t>
      </w:r>
      <w:r w:rsidR="00AE4A2D" w:rsidRPr="005124CC">
        <w:rPr>
          <w:rFonts w:ascii="Times New Roman" w:hAnsi="Times New Roman" w:cs="Times New Roman"/>
          <w:sz w:val="24"/>
          <w:szCs w:val="24"/>
        </w:rPr>
        <w:t>en</w:t>
      </w:r>
      <w:r w:rsidRPr="005124CC">
        <w:rPr>
          <w:rFonts w:ascii="Times New Roman" w:hAnsi="Times New Roman" w:cs="Times New Roman"/>
          <w:sz w:val="24"/>
          <w:szCs w:val="24"/>
        </w:rPr>
        <w:t xml:space="preserve"> exposición </w:t>
      </w:r>
      <w:r w:rsidR="00AE4A2D" w:rsidRPr="005124CC">
        <w:rPr>
          <w:rFonts w:ascii="Times New Roman" w:hAnsi="Times New Roman" w:cs="Times New Roman"/>
          <w:sz w:val="24"/>
          <w:szCs w:val="24"/>
        </w:rPr>
        <w:t>pública para la comunidad escolar los</w:t>
      </w:r>
      <w:r w:rsidRPr="005124CC">
        <w:rPr>
          <w:rFonts w:ascii="Times New Roman" w:hAnsi="Times New Roman" w:cs="Times New Roman"/>
          <w:sz w:val="24"/>
          <w:szCs w:val="24"/>
        </w:rPr>
        <w:t xml:space="preserve"> producto</w:t>
      </w:r>
      <w:r w:rsidR="00AE4A2D" w:rsidRPr="005124CC">
        <w:rPr>
          <w:rFonts w:ascii="Times New Roman" w:hAnsi="Times New Roman" w:cs="Times New Roman"/>
          <w:sz w:val="24"/>
          <w:szCs w:val="24"/>
        </w:rPr>
        <w:t xml:space="preserve">s académicos </w:t>
      </w:r>
      <w:r w:rsidRPr="005124CC">
        <w:rPr>
          <w:rFonts w:ascii="Times New Roman" w:hAnsi="Times New Roman" w:cs="Times New Roman"/>
          <w:sz w:val="24"/>
          <w:szCs w:val="24"/>
        </w:rPr>
        <w:t>obtenido</w:t>
      </w:r>
      <w:r w:rsidR="00AE4A2D" w:rsidRPr="005124CC">
        <w:rPr>
          <w:rFonts w:ascii="Times New Roman" w:hAnsi="Times New Roman" w:cs="Times New Roman"/>
          <w:sz w:val="24"/>
          <w:szCs w:val="24"/>
        </w:rPr>
        <w:t>s</w:t>
      </w:r>
      <w:r w:rsidRPr="005124CC">
        <w:rPr>
          <w:rFonts w:ascii="Times New Roman" w:hAnsi="Times New Roman" w:cs="Times New Roman"/>
          <w:sz w:val="24"/>
          <w:szCs w:val="24"/>
        </w:rPr>
        <w:t xml:space="preserve"> y </w:t>
      </w:r>
      <w:r w:rsidR="00AE4A2D" w:rsidRPr="005124CC">
        <w:rPr>
          <w:rFonts w:ascii="Times New Roman" w:hAnsi="Times New Roman" w:cs="Times New Roman"/>
          <w:sz w:val="24"/>
          <w:szCs w:val="24"/>
        </w:rPr>
        <w:t>fueron</w:t>
      </w:r>
      <w:r w:rsidRPr="005124CC">
        <w:rPr>
          <w:rFonts w:ascii="Times New Roman" w:hAnsi="Times New Roman" w:cs="Times New Roman"/>
          <w:sz w:val="24"/>
          <w:szCs w:val="24"/>
        </w:rPr>
        <w:t xml:space="preserve"> cuestionados sobre los alcances logrados y las fallas detectadas en el trabajo propio y </w:t>
      </w:r>
      <w:r w:rsidR="00AE4A2D" w:rsidRPr="005124CC">
        <w:rPr>
          <w:rFonts w:ascii="Times New Roman" w:hAnsi="Times New Roman" w:cs="Times New Roman"/>
          <w:sz w:val="24"/>
          <w:szCs w:val="24"/>
        </w:rPr>
        <w:t>en el de sus compañeros de la misma cohorte</w:t>
      </w:r>
      <w:r w:rsidRPr="005124CC">
        <w:rPr>
          <w:rFonts w:ascii="Times New Roman" w:hAnsi="Times New Roman" w:cs="Times New Roman"/>
          <w:sz w:val="24"/>
          <w:szCs w:val="24"/>
        </w:rPr>
        <w:t>.  Al hacer la crítica, dan muestra del nivel de aprendizaje logrado a la vez que hacen consciencia de lo que pueden lograr en futuros trabajos.  Al hacer la crítica de otros trabajos, pueden darse cuenta del nivel de dominio que tienen sus compañeros y lo que pueden aprender de ellos, implícitamente, el referente es el trabajo propio presentado, más aún, si se hace una evaluación de todos los trabajos tratando de encontrar el trabajo que más refleja el nivel de competencia  esperado.</w:t>
      </w:r>
    </w:p>
    <w:p w14:paraId="6F652EC9" w14:textId="77777777" w:rsidR="0033798E" w:rsidRDefault="0033798E" w:rsidP="002363C6">
      <w:pPr>
        <w:spacing w:line="360" w:lineRule="auto"/>
        <w:jc w:val="both"/>
        <w:rPr>
          <w:rFonts w:ascii="Times New Roman" w:hAnsi="Times New Roman" w:cs="Times New Roman"/>
          <w:sz w:val="24"/>
          <w:szCs w:val="24"/>
        </w:rPr>
      </w:pPr>
    </w:p>
    <w:p w14:paraId="10EA93DE" w14:textId="77777777" w:rsidR="002363C6" w:rsidRDefault="002363C6" w:rsidP="002363C6">
      <w:pPr>
        <w:spacing w:line="360" w:lineRule="auto"/>
        <w:jc w:val="both"/>
        <w:rPr>
          <w:rFonts w:ascii="Times New Roman" w:hAnsi="Times New Roman" w:cs="Times New Roman"/>
          <w:sz w:val="24"/>
          <w:szCs w:val="24"/>
        </w:rPr>
      </w:pPr>
    </w:p>
    <w:p w14:paraId="123778FA" w14:textId="77777777" w:rsidR="002363C6" w:rsidRPr="005124CC" w:rsidRDefault="002363C6" w:rsidP="002363C6">
      <w:pPr>
        <w:spacing w:line="360" w:lineRule="auto"/>
        <w:jc w:val="both"/>
        <w:rPr>
          <w:rFonts w:ascii="Times New Roman" w:hAnsi="Times New Roman" w:cs="Times New Roman"/>
          <w:sz w:val="24"/>
          <w:szCs w:val="24"/>
        </w:rPr>
      </w:pPr>
    </w:p>
    <w:p w14:paraId="32BB29A8" w14:textId="77777777" w:rsidR="00404CBD" w:rsidRPr="008C03A4" w:rsidRDefault="00404CBD" w:rsidP="002363C6">
      <w:pPr>
        <w:spacing w:line="360" w:lineRule="auto"/>
        <w:jc w:val="both"/>
        <w:rPr>
          <w:rFonts w:ascii="Times New Roman" w:hAnsi="Times New Roman" w:cs="Times New Roman"/>
          <w:b/>
          <w:bCs/>
          <w:sz w:val="24"/>
          <w:szCs w:val="24"/>
        </w:rPr>
      </w:pPr>
      <w:r w:rsidRPr="008C03A4">
        <w:rPr>
          <w:rFonts w:ascii="Times New Roman" w:hAnsi="Times New Roman" w:cs="Times New Roman"/>
          <w:b/>
          <w:bCs/>
          <w:sz w:val="24"/>
          <w:szCs w:val="24"/>
        </w:rPr>
        <w:lastRenderedPageBreak/>
        <w:t>Resultados</w:t>
      </w:r>
    </w:p>
    <w:p w14:paraId="331B1E37" w14:textId="0B3C6470" w:rsidR="00404CBD" w:rsidRPr="00FB478A" w:rsidRDefault="00FB478A" w:rsidP="002363C6">
      <w:pPr>
        <w:spacing w:after="240" w:line="360" w:lineRule="auto"/>
        <w:jc w:val="both"/>
        <w:rPr>
          <w:rFonts w:ascii="Times New Roman" w:hAnsi="Times New Roman" w:cs="Times New Roman"/>
          <w:sz w:val="24"/>
          <w:szCs w:val="24"/>
        </w:rPr>
      </w:pPr>
      <w:r w:rsidRPr="00FB478A">
        <w:rPr>
          <w:rFonts w:ascii="Times New Roman" w:hAnsi="Times New Roman" w:cs="Times New Roman"/>
          <w:sz w:val="24"/>
          <w:szCs w:val="24"/>
        </w:rPr>
        <w:t>Los resultados corresponden a indicadores de calidad académica después de un año de implementar los programas educativos de las licenciaturas en DIA y DUP. Para los primeros dos periodos del plan de estudios de cada licenciatura, se presenta el rendimiento académico por cohorte, el rendimiento académico por asignatura, la deserción escolar del primero al segundo periodo, la evaluación al desempeño docente y las correlaciones entre estos indicadores</w:t>
      </w:r>
    </w:p>
    <w:p w14:paraId="3262F128" w14:textId="36C9F146" w:rsidR="00404CBD" w:rsidRPr="008C03A4" w:rsidRDefault="00404CBD" w:rsidP="002363C6">
      <w:pPr>
        <w:spacing w:line="360" w:lineRule="auto"/>
        <w:jc w:val="both"/>
        <w:rPr>
          <w:rFonts w:ascii="Times New Roman" w:hAnsi="Times New Roman" w:cs="Times New Roman"/>
          <w:b/>
          <w:bCs/>
          <w:sz w:val="24"/>
          <w:szCs w:val="24"/>
        </w:rPr>
      </w:pPr>
      <w:r w:rsidRPr="008C03A4">
        <w:rPr>
          <w:rFonts w:ascii="Times New Roman" w:hAnsi="Times New Roman" w:cs="Times New Roman"/>
          <w:b/>
          <w:bCs/>
          <w:sz w:val="24"/>
          <w:szCs w:val="24"/>
        </w:rPr>
        <w:t>Rendimiento académico</w:t>
      </w:r>
      <w:r w:rsidR="00495A09" w:rsidRPr="008C03A4">
        <w:rPr>
          <w:rFonts w:ascii="Times New Roman" w:hAnsi="Times New Roman" w:cs="Times New Roman"/>
          <w:b/>
          <w:bCs/>
          <w:sz w:val="24"/>
          <w:szCs w:val="24"/>
        </w:rPr>
        <w:t xml:space="preserve"> por cohorte</w:t>
      </w:r>
    </w:p>
    <w:p w14:paraId="32D3FF99" w14:textId="11AC81AC" w:rsidR="00B85958" w:rsidRDefault="00B85958"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En el presente documento se entiende por rendimiento académico al promedio de calificaciones que obtiene el alumno en cada periodo del plan de estudios. En la Tabla 1, se muestra el rendimiento académico de la </w:t>
      </w:r>
      <w:r w:rsidR="008C4F74">
        <w:rPr>
          <w:rFonts w:ascii="Times New Roman" w:hAnsi="Times New Roman" w:cs="Times New Roman"/>
          <w:bCs/>
          <w:sz w:val="24"/>
          <w:szCs w:val="24"/>
        </w:rPr>
        <w:t>Cohorte 2013-2018 de las licenciaturas; Diseño de Interiores y Ambientación (media aritmética = 7.43)  y, Diseño Urbano y del Paisaje (media aritmét</w:t>
      </w:r>
      <w:r w:rsidR="00495A09">
        <w:rPr>
          <w:rFonts w:ascii="Times New Roman" w:hAnsi="Times New Roman" w:cs="Times New Roman"/>
          <w:bCs/>
          <w:sz w:val="24"/>
          <w:szCs w:val="24"/>
        </w:rPr>
        <w:t>ica = 7.38) correspondiente al P</w:t>
      </w:r>
      <w:r w:rsidR="008C4F74">
        <w:rPr>
          <w:rFonts w:ascii="Times New Roman" w:hAnsi="Times New Roman" w:cs="Times New Roman"/>
          <w:bCs/>
          <w:sz w:val="24"/>
          <w:szCs w:val="24"/>
        </w:rPr>
        <w:t xml:space="preserve">eriodo 1 del plan de estudio correspondiente. </w:t>
      </w:r>
    </w:p>
    <w:tbl>
      <w:tblPr>
        <w:tblStyle w:val="GridTable4Accent6"/>
        <w:tblW w:w="8827" w:type="dxa"/>
        <w:tblLook w:val="04A0" w:firstRow="1" w:lastRow="0" w:firstColumn="1" w:lastColumn="0" w:noHBand="0" w:noVBand="1"/>
      </w:tblPr>
      <w:tblGrid>
        <w:gridCol w:w="3681"/>
        <w:gridCol w:w="461"/>
        <w:gridCol w:w="1020"/>
        <w:gridCol w:w="611"/>
        <w:gridCol w:w="1062"/>
        <w:gridCol w:w="776"/>
        <w:gridCol w:w="1216"/>
      </w:tblGrid>
      <w:tr w:rsidR="001F422E" w:rsidRPr="006E7F30" w14:paraId="7C3DE7F7" w14:textId="77777777" w:rsidTr="0023766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27" w:type="dxa"/>
            <w:gridSpan w:val="7"/>
            <w:tcBorders>
              <w:bottom w:val="single" w:sz="4" w:space="0" w:color="auto"/>
            </w:tcBorders>
            <w:hideMark/>
          </w:tcPr>
          <w:p w14:paraId="06A78B02" w14:textId="0AFFEDED" w:rsidR="001F422E" w:rsidRDefault="0023766D" w:rsidP="00503D17">
            <w:pPr>
              <w:spacing w:line="360" w:lineRule="auto"/>
              <w:rPr>
                <w:rFonts w:ascii="Times New Roman" w:eastAsia="Times New Roman" w:hAnsi="Times New Roman" w:cs="Times New Roman"/>
                <w:bCs w:val="0"/>
                <w:color w:val="000000"/>
                <w:lang w:eastAsia="es-MX"/>
              </w:rPr>
            </w:pPr>
            <w:r>
              <w:rPr>
                <w:rFonts w:ascii="Times New Roman" w:eastAsia="Times New Roman" w:hAnsi="Times New Roman" w:cs="Times New Roman"/>
                <w:color w:val="000000"/>
                <w:lang w:eastAsia="es-MX"/>
              </w:rPr>
              <w:t>Tabla 1:</w:t>
            </w:r>
            <w:r w:rsidR="001F422E" w:rsidRPr="006E7F30">
              <w:rPr>
                <w:rFonts w:ascii="Times New Roman" w:eastAsia="Times New Roman" w:hAnsi="Times New Roman" w:cs="Times New Roman"/>
                <w:color w:val="000000"/>
                <w:lang w:eastAsia="es-MX"/>
              </w:rPr>
              <w:t xml:space="preserve"> </w:t>
            </w:r>
          </w:p>
          <w:p w14:paraId="648C7A54" w14:textId="77777777" w:rsidR="001F422E" w:rsidRPr="006E7F30" w:rsidRDefault="001F422E" w:rsidP="0023766D">
            <w:pPr>
              <w:spacing w:line="276" w:lineRule="auto"/>
              <w:rPr>
                <w:rFonts w:ascii="Times New Roman" w:eastAsia="Times New Roman" w:hAnsi="Times New Roman" w:cs="Times New Roman"/>
                <w:color w:val="000000"/>
                <w:lang w:eastAsia="es-MX"/>
              </w:rPr>
            </w:pPr>
            <w:r w:rsidRPr="006E7F30">
              <w:rPr>
                <w:rFonts w:ascii="Times New Roman" w:eastAsia="Times New Roman" w:hAnsi="Times New Roman" w:cs="Times New Roman"/>
                <w:color w:val="000000"/>
                <w:lang w:eastAsia="es-MX"/>
              </w:rPr>
              <w:t>Rendimiento académico por carrera en el Periodo 1</w:t>
            </w:r>
          </w:p>
        </w:tc>
      </w:tr>
      <w:tr w:rsidR="001F422E" w:rsidRPr="006E7F30" w14:paraId="49E32786" w14:textId="77777777" w:rsidTr="0023766D">
        <w:trPr>
          <w:cnfStyle w:val="000000100000" w:firstRow="0" w:lastRow="0" w:firstColumn="0" w:lastColumn="0" w:oddVBand="0" w:evenVBand="0" w:oddHBand="1"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uto"/>
            </w:tcBorders>
            <w:vAlign w:val="center"/>
            <w:hideMark/>
          </w:tcPr>
          <w:p w14:paraId="6DF8EDCE" w14:textId="77777777" w:rsidR="001F422E" w:rsidRPr="006E7F30" w:rsidRDefault="001F422E" w:rsidP="0023766D">
            <w:pPr>
              <w:spacing w:line="276" w:lineRule="auto"/>
              <w:ind w:left="-113" w:right="-144"/>
              <w:rPr>
                <w:rFonts w:ascii="Times New Roman" w:eastAsia="Times New Roman" w:hAnsi="Times New Roman" w:cs="Times New Roman"/>
                <w:color w:val="000000"/>
                <w:lang w:eastAsia="es-MX"/>
              </w:rPr>
            </w:pPr>
            <w:r w:rsidRPr="006E7F30">
              <w:rPr>
                <w:rFonts w:ascii="Times New Roman" w:eastAsia="Times New Roman" w:hAnsi="Times New Roman" w:cs="Times New Roman"/>
                <w:color w:val="000000"/>
                <w:lang w:eastAsia="es-MX"/>
              </w:rPr>
              <w:t>Carrera</w:t>
            </w:r>
          </w:p>
        </w:tc>
        <w:tc>
          <w:tcPr>
            <w:tcW w:w="461" w:type="dxa"/>
            <w:tcBorders>
              <w:top w:val="single" w:sz="4" w:space="0" w:color="auto"/>
            </w:tcBorders>
            <w:vAlign w:val="center"/>
            <w:hideMark/>
          </w:tcPr>
          <w:p w14:paraId="01C7FA71" w14:textId="77777777" w:rsidR="001F422E" w:rsidRPr="006E7F30" w:rsidRDefault="001F422E" w:rsidP="0023766D">
            <w:pPr>
              <w:spacing w:line="276" w:lineRule="auto"/>
              <w:ind w:left="-113" w:right="-14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N</w:t>
            </w:r>
          </w:p>
        </w:tc>
        <w:tc>
          <w:tcPr>
            <w:tcW w:w="1020" w:type="dxa"/>
            <w:tcBorders>
              <w:top w:val="single" w:sz="4" w:space="0" w:color="auto"/>
            </w:tcBorders>
            <w:vAlign w:val="center"/>
            <w:hideMark/>
          </w:tcPr>
          <w:p w14:paraId="6FDF653D" w14:textId="77777777" w:rsidR="001F422E" w:rsidRPr="006E7F30" w:rsidRDefault="001F422E" w:rsidP="0023766D">
            <w:pPr>
              <w:spacing w:line="276" w:lineRule="auto"/>
              <w:ind w:left="-113" w:right="-14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Media</w:t>
            </w:r>
            <w:r>
              <w:rPr>
                <w:rFonts w:ascii="Times New Roman" w:eastAsia="Times New Roman" w:hAnsi="Times New Roman" w:cs="Times New Roman"/>
                <w:bCs/>
                <w:color w:val="000000"/>
                <w:lang w:eastAsia="es-MX"/>
              </w:rPr>
              <w:t xml:space="preserve"> aritmética</w:t>
            </w:r>
          </w:p>
        </w:tc>
        <w:tc>
          <w:tcPr>
            <w:tcW w:w="611" w:type="dxa"/>
            <w:tcBorders>
              <w:top w:val="single" w:sz="4" w:space="0" w:color="auto"/>
            </w:tcBorders>
            <w:vAlign w:val="center"/>
            <w:hideMark/>
          </w:tcPr>
          <w:p w14:paraId="683BCB19" w14:textId="77777777" w:rsidR="001F422E" w:rsidRPr="006E7F30" w:rsidRDefault="001F422E" w:rsidP="0023766D">
            <w:pPr>
              <w:spacing w:line="276" w:lineRule="auto"/>
              <w:ind w:left="-113" w:right="-14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proofErr w:type="spellStart"/>
            <w:r w:rsidRPr="006E7F30">
              <w:rPr>
                <w:rFonts w:ascii="Times New Roman" w:eastAsia="Times New Roman" w:hAnsi="Times New Roman" w:cs="Times New Roman"/>
                <w:bCs/>
                <w:color w:val="000000"/>
                <w:lang w:eastAsia="es-MX"/>
              </w:rPr>
              <w:t>Desv</w:t>
            </w:r>
            <w:proofErr w:type="spellEnd"/>
            <w:r w:rsidRPr="006E7F30">
              <w:rPr>
                <w:rFonts w:ascii="Times New Roman" w:eastAsia="Times New Roman" w:hAnsi="Times New Roman" w:cs="Times New Roman"/>
                <w:bCs/>
                <w:color w:val="000000"/>
                <w:lang w:eastAsia="es-MX"/>
              </w:rPr>
              <w:t xml:space="preserve">. </w:t>
            </w:r>
            <w:proofErr w:type="spellStart"/>
            <w:r w:rsidRPr="006E7F30">
              <w:rPr>
                <w:rFonts w:ascii="Times New Roman" w:eastAsia="Times New Roman" w:hAnsi="Times New Roman" w:cs="Times New Roman"/>
                <w:bCs/>
                <w:color w:val="000000"/>
                <w:lang w:eastAsia="es-MX"/>
              </w:rPr>
              <w:t>Est</w:t>
            </w:r>
            <w:proofErr w:type="spellEnd"/>
            <w:r w:rsidRPr="006E7F30">
              <w:rPr>
                <w:rFonts w:ascii="Times New Roman" w:eastAsia="Times New Roman" w:hAnsi="Times New Roman" w:cs="Times New Roman"/>
                <w:bCs/>
                <w:color w:val="000000"/>
                <w:lang w:eastAsia="es-MX"/>
              </w:rPr>
              <w:t>.</w:t>
            </w:r>
          </w:p>
        </w:tc>
        <w:tc>
          <w:tcPr>
            <w:tcW w:w="1062" w:type="dxa"/>
            <w:tcBorders>
              <w:top w:val="single" w:sz="4" w:space="0" w:color="auto"/>
            </w:tcBorders>
            <w:vAlign w:val="center"/>
            <w:hideMark/>
          </w:tcPr>
          <w:p w14:paraId="58EB6B40" w14:textId="7D764E7D" w:rsidR="001F422E" w:rsidRPr="006E7F30" w:rsidRDefault="001F422E" w:rsidP="0023766D">
            <w:pPr>
              <w:spacing w:line="276" w:lineRule="auto"/>
              <w:ind w:left="-113" w:right="-14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proofErr w:type="spellStart"/>
            <w:r w:rsidRPr="006E7F30">
              <w:rPr>
                <w:rFonts w:ascii="Times New Roman" w:eastAsia="Times New Roman" w:hAnsi="Times New Roman" w:cs="Times New Roman"/>
                <w:color w:val="000000"/>
                <w:lang w:eastAsia="es-MX"/>
              </w:rPr>
              <w:t>Desv</w:t>
            </w:r>
            <w:proofErr w:type="spellEnd"/>
            <w:r w:rsidRPr="006E7F30">
              <w:rPr>
                <w:rFonts w:ascii="Times New Roman" w:eastAsia="Times New Roman" w:hAnsi="Times New Roman" w:cs="Times New Roman"/>
                <w:color w:val="000000"/>
                <w:lang w:eastAsia="es-MX"/>
              </w:rPr>
              <w:t xml:space="preserve">. </w:t>
            </w:r>
            <w:proofErr w:type="spellStart"/>
            <w:r w:rsidRPr="006E7F30">
              <w:rPr>
                <w:rFonts w:ascii="Times New Roman" w:eastAsia="Times New Roman" w:hAnsi="Times New Roman" w:cs="Times New Roman"/>
                <w:color w:val="000000"/>
                <w:lang w:eastAsia="es-MX"/>
              </w:rPr>
              <w:t>Est</w:t>
            </w:r>
            <w:proofErr w:type="spellEnd"/>
            <w:r w:rsidRPr="006E7F30">
              <w:rPr>
                <w:rFonts w:ascii="Times New Roman" w:eastAsia="Times New Roman" w:hAnsi="Times New Roman" w:cs="Times New Roman"/>
                <w:color w:val="000000"/>
                <w:lang w:eastAsia="es-MX"/>
              </w:rPr>
              <w:t xml:space="preserve">. </w:t>
            </w:r>
            <w:proofErr w:type="spellStart"/>
            <w:r w:rsidRPr="006E7F30">
              <w:rPr>
                <w:rFonts w:ascii="Times New Roman" w:eastAsia="Times New Roman" w:hAnsi="Times New Roman" w:cs="Times New Roman"/>
                <w:color w:val="000000"/>
                <w:lang w:eastAsia="es-MX"/>
              </w:rPr>
              <w:t>Mancom</w:t>
            </w:r>
            <w:proofErr w:type="spellEnd"/>
            <w:r>
              <w:rPr>
                <w:rFonts w:ascii="Times New Roman" w:eastAsia="Times New Roman" w:hAnsi="Times New Roman" w:cs="Times New Roman"/>
                <w:color w:val="000000"/>
                <w:lang w:eastAsia="es-MX"/>
              </w:rPr>
              <w:t>.</w:t>
            </w:r>
          </w:p>
        </w:tc>
        <w:tc>
          <w:tcPr>
            <w:tcW w:w="776" w:type="dxa"/>
            <w:tcBorders>
              <w:top w:val="single" w:sz="4" w:space="0" w:color="auto"/>
            </w:tcBorders>
            <w:vAlign w:val="center"/>
            <w:hideMark/>
          </w:tcPr>
          <w:p w14:paraId="5A7E690A" w14:textId="77777777" w:rsidR="001F422E" w:rsidRPr="006E7F30" w:rsidRDefault="001F422E" w:rsidP="0023766D">
            <w:pPr>
              <w:spacing w:line="276" w:lineRule="auto"/>
              <w:ind w:left="-113" w:right="-14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 xml:space="preserve">t de </w:t>
            </w:r>
            <w:proofErr w:type="spellStart"/>
            <w:r w:rsidRPr="006E7F30">
              <w:rPr>
                <w:rFonts w:ascii="Times New Roman" w:eastAsia="Times New Roman" w:hAnsi="Times New Roman" w:cs="Times New Roman"/>
                <w:bCs/>
                <w:color w:val="000000"/>
                <w:lang w:eastAsia="es-MX"/>
              </w:rPr>
              <w:t>student</w:t>
            </w:r>
            <w:proofErr w:type="spellEnd"/>
          </w:p>
        </w:tc>
        <w:tc>
          <w:tcPr>
            <w:tcW w:w="1216" w:type="dxa"/>
            <w:tcBorders>
              <w:top w:val="single" w:sz="4" w:space="0" w:color="auto"/>
            </w:tcBorders>
            <w:vAlign w:val="center"/>
            <w:hideMark/>
          </w:tcPr>
          <w:p w14:paraId="3E9088F6" w14:textId="77777777" w:rsidR="001F422E" w:rsidRPr="006E7F30" w:rsidRDefault="001F422E" w:rsidP="0023766D">
            <w:pPr>
              <w:spacing w:line="276" w:lineRule="auto"/>
              <w:ind w:left="-113" w:right="-14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Regularidad académica</w:t>
            </w:r>
          </w:p>
        </w:tc>
      </w:tr>
      <w:tr w:rsidR="001F422E" w:rsidRPr="006E7F30" w14:paraId="5CEAC050" w14:textId="77777777" w:rsidTr="00F248D4">
        <w:trPr>
          <w:trHeight w:val="300"/>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FABF8F" w:themeColor="accent6" w:themeTint="99"/>
            </w:tcBorders>
            <w:vAlign w:val="center"/>
            <w:hideMark/>
          </w:tcPr>
          <w:p w14:paraId="2A701792" w14:textId="77777777" w:rsidR="001F422E" w:rsidRPr="006E7F30" w:rsidRDefault="001F422E" w:rsidP="0023766D">
            <w:pPr>
              <w:spacing w:line="276" w:lineRule="auto"/>
              <w:ind w:left="-113" w:right="-144"/>
              <w:rPr>
                <w:rFonts w:ascii="Times New Roman" w:eastAsia="Times New Roman" w:hAnsi="Times New Roman" w:cs="Times New Roman"/>
                <w:color w:val="000000"/>
                <w:lang w:eastAsia="es-MX"/>
              </w:rPr>
            </w:pPr>
            <w:r w:rsidRPr="006E7F30">
              <w:rPr>
                <w:rFonts w:ascii="Times New Roman" w:eastAsia="Times New Roman" w:hAnsi="Times New Roman" w:cs="Times New Roman"/>
                <w:color w:val="000000"/>
                <w:lang w:eastAsia="es-MX"/>
              </w:rPr>
              <w:t>Diseño de Interiores y Ambientación</w:t>
            </w:r>
          </w:p>
        </w:tc>
        <w:tc>
          <w:tcPr>
            <w:tcW w:w="461" w:type="dxa"/>
            <w:tcBorders>
              <w:bottom w:val="single" w:sz="4" w:space="0" w:color="FABF8F" w:themeColor="accent6" w:themeTint="99"/>
            </w:tcBorders>
            <w:vAlign w:val="center"/>
            <w:hideMark/>
          </w:tcPr>
          <w:p w14:paraId="2945185A" w14:textId="77777777" w:rsidR="001F422E" w:rsidRPr="006E7F30" w:rsidRDefault="001F422E" w:rsidP="0023766D">
            <w:pPr>
              <w:spacing w:line="276" w:lineRule="auto"/>
              <w:ind w:left="-113" w:right="-14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92</w:t>
            </w:r>
          </w:p>
        </w:tc>
        <w:tc>
          <w:tcPr>
            <w:tcW w:w="1020" w:type="dxa"/>
            <w:tcBorders>
              <w:bottom w:val="single" w:sz="4" w:space="0" w:color="FABF8F" w:themeColor="accent6" w:themeTint="99"/>
            </w:tcBorders>
            <w:vAlign w:val="center"/>
            <w:hideMark/>
          </w:tcPr>
          <w:p w14:paraId="5AC40624" w14:textId="77777777" w:rsidR="001F422E" w:rsidRPr="006E7F30" w:rsidRDefault="001F422E" w:rsidP="0023766D">
            <w:pPr>
              <w:spacing w:line="276" w:lineRule="auto"/>
              <w:ind w:left="-113" w:right="-14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7.43</w:t>
            </w:r>
          </w:p>
        </w:tc>
        <w:tc>
          <w:tcPr>
            <w:tcW w:w="611" w:type="dxa"/>
            <w:tcBorders>
              <w:bottom w:val="single" w:sz="4" w:space="0" w:color="FABF8F" w:themeColor="accent6" w:themeTint="99"/>
            </w:tcBorders>
            <w:vAlign w:val="center"/>
            <w:hideMark/>
          </w:tcPr>
          <w:p w14:paraId="2D2C7DED" w14:textId="77777777" w:rsidR="001F422E" w:rsidRPr="006E7F30" w:rsidRDefault="001F422E" w:rsidP="0023766D">
            <w:pPr>
              <w:spacing w:line="276" w:lineRule="auto"/>
              <w:ind w:left="-113" w:right="-14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2.19</w:t>
            </w:r>
          </w:p>
        </w:tc>
        <w:tc>
          <w:tcPr>
            <w:tcW w:w="1062" w:type="dxa"/>
            <w:vMerge w:val="restart"/>
            <w:tcBorders>
              <w:bottom w:val="single" w:sz="4" w:space="0" w:color="FABF8F" w:themeColor="accent6" w:themeTint="99"/>
            </w:tcBorders>
            <w:noWrap/>
            <w:vAlign w:val="center"/>
            <w:hideMark/>
          </w:tcPr>
          <w:p w14:paraId="1EE7C7B0" w14:textId="77777777" w:rsidR="001F422E" w:rsidRPr="006E7F30" w:rsidRDefault="001F422E" w:rsidP="0023766D">
            <w:pPr>
              <w:spacing w:line="276" w:lineRule="auto"/>
              <w:ind w:left="-113" w:right="-144"/>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6E7F30">
              <w:rPr>
                <w:rFonts w:ascii="Calibri" w:eastAsia="Times New Roman" w:hAnsi="Calibri" w:cs="Times New Roman"/>
                <w:color w:val="000000"/>
                <w:lang w:eastAsia="es-MX"/>
              </w:rPr>
              <w:t>2.1</w:t>
            </w:r>
            <w:r>
              <w:rPr>
                <w:rFonts w:ascii="Calibri" w:eastAsia="Times New Roman" w:hAnsi="Calibri" w:cs="Times New Roman"/>
                <w:color w:val="000000"/>
                <w:lang w:eastAsia="es-MX"/>
              </w:rPr>
              <w:t>1</w:t>
            </w:r>
          </w:p>
        </w:tc>
        <w:tc>
          <w:tcPr>
            <w:tcW w:w="776" w:type="dxa"/>
            <w:vMerge w:val="restart"/>
            <w:tcBorders>
              <w:bottom w:val="single" w:sz="4" w:space="0" w:color="FABF8F" w:themeColor="accent6" w:themeTint="99"/>
            </w:tcBorders>
            <w:vAlign w:val="center"/>
            <w:hideMark/>
          </w:tcPr>
          <w:p w14:paraId="3CE47591" w14:textId="77777777" w:rsidR="001F422E" w:rsidRPr="006E7F30" w:rsidRDefault="001F422E" w:rsidP="0023766D">
            <w:pPr>
              <w:spacing w:line="276" w:lineRule="auto"/>
              <w:ind w:left="-113" w:right="-14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0.16</w:t>
            </w:r>
          </w:p>
        </w:tc>
        <w:tc>
          <w:tcPr>
            <w:tcW w:w="1216" w:type="dxa"/>
            <w:tcBorders>
              <w:bottom w:val="single" w:sz="4" w:space="0" w:color="FABF8F" w:themeColor="accent6" w:themeTint="99"/>
            </w:tcBorders>
            <w:vAlign w:val="center"/>
            <w:hideMark/>
          </w:tcPr>
          <w:p w14:paraId="237F1238" w14:textId="77777777" w:rsidR="001F422E" w:rsidRPr="006E7F30" w:rsidRDefault="001F422E" w:rsidP="0023766D">
            <w:pPr>
              <w:spacing w:line="276" w:lineRule="auto"/>
              <w:ind w:left="-113" w:right="-144"/>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63%</w:t>
            </w:r>
          </w:p>
        </w:tc>
      </w:tr>
      <w:tr w:rsidR="001F422E" w:rsidRPr="006E7F30" w14:paraId="486FB1B1" w14:textId="77777777" w:rsidTr="00F248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auto"/>
            </w:tcBorders>
            <w:vAlign w:val="center"/>
            <w:hideMark/>
          </w:tcPr>
          <w:p w14:paraId="34E0B254" w14:textId="77777777" w:rsidR="001F422E" w:rsidRPr="006E7F30" w:rsidRDefault="001F422E" w:rsidP="0023766D">
            <w:pPr>
              <w:spacing w:line="276" w:lineRule="auto"/>
              <w:ind w:left="-113" w:right="-144"/>
              <w:rPr>
                <w:rFonts w:ascii="Times New Roman" w:eastAsia="Times New Roman" w:hAnsi="Times New Roman" w:cs="Times New Roman"/>
                <w:color w:val="000000"/>
                <w:lang w:eastAsia="es-MX"/>
              </w:rPr>
            </w:pPr>
            <w:r w:rsidRPr="006E7F30">
              <w:rPr>
                <w:rFonts w:ascii="Times New Roman" w:eastAsia="Times New Roman" w:hAnsi="Times New Roman" w:cs="Times New Roman"/>
                <w:color w:val="000000"/>
                <w:lang w:eastAsia="es-MX"/>
              </w:rPr>
              <w:t>Diseño Urbano y del Paisaje</w:t>
            </w:r>
          </w:p>
        </w:tc>
        <w:tc>
          <w:tcPr>
            <w:tcW w:w="461" w:type="dxa"/>
            <w:tcBorders>
              <w:bottom w:val="single" w:sz="4" w:space="0" w:color="auto"/>
            </w:tcBorders>
            <w:vAlign w:val="center"/>
            <w:hideMark/>
          </w:tcPr>
          <w:p w14:paraId="2B25FE42" w14:textId="77777777" w:rsidR="001F422E" w:rsidRPr="006E7F30" w:rsidRDefault="001F422E" w:rsidP="0023766D">
            <w:pPr>
              <w:spacing w:line="276" w:lineRule="auto"/>
              <w:ind w:left="-113" w:right="-14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86</w:t>
            </w:r>
          </w:p>
        </w:tc>
        <w:tc>
          <w:tcPr>
            <w:tcW w:w="1020" w:type="dxa"/>
            <w:tcBorders>
              <w:bottom w:val="single" w:sz="4" w:space="0" w:color="auto"/>
            </w:tcBorders>
            <w:vAlign w:val="center"/>
            <w:hideMark/>
          </w:tcPr>
          <w:p w14:paraId="6B97F73A" w14:textId="77777777" w:rsidR="001F422E" w:rsidRPr="006E7F30" w:rsidRDefault="001F422E" w:rsidP="0023766D">
            <w:pPr>
              <w:spacing w:line="276" w:lineRule="auto"/>
              <w:ind w:left="-113" w:right="-14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7.38</w:t>
            </w:r>
          </w:p>
        </w:tc>
        <w:tc>
          <w:tcPr>
            <w:tcW w:w="611" w:type="dxa"/>
            <w:tcBorders>
              <w:bottom w:val="single" w:sz="4" w:space="0" w:color="auto"/>
            </w:tcBorders>
            <w:vAlign w:val="center"/>
            <w:hideMark/>
          </w:tcPr>
          <w:p w14:paraId="3FF45053" w14:textId="77777777" w:rsidR="001F422E" w:rsidRPr="006E7F30" w:rsidRDefault="001F422E" w:rsidP="0023766D">
            <w:pPr>
              <w:spacing w:line="276" w:lineRule="auto"/>
              <w:ind w:left="-113" w:right="-14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2.02</w:t>
            </w:r>
          </w:p>
        </w:tc>
        <w:tc>
          <w:tcPr>
            <w:tcW w:w="1062" w:type="dxa"/>
            <w:vMerge/>
            <w:tcBorders>
              <w:bottom w:val="single" w:sz="4" w:space="0" w:color="auto"/>
            </w:tcBorders>
            <w:vAlign w:val="center"/>
            <w:hideMark/>
          </w:tcPr>
          <w:p w14:paraId="1ABA5B7E" w14:textId="77777777" w:rsidR="001F422E" w:rsidRPr="006E7F30" w:rsidRDefault="001F422E" w:rsidP="0023766D">
            <w:pPr>
              <w:spacing w:line="276" w:lineRule="auto"/>
              <w:ind w:left="-113" w:right="-144"/>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p>
        </w:tc>
        <w:tc>
          <w:tcPr>
            <w:tcW w:w="776" w:type="dxa"/>
            <w:vMerge/>
            <w:tcBorders>
              <w:bottom w:val="single" w:sz="4" w:space="0" w:color="auto"/>
            </w:tcBorders>
            <w:vAlign w:val="center"/>
            <w:hideMark/>
          </w:tcPr>
          <w:p w14:paraId="7A54B45B" w14:textId="77777777" w:rsidR="001F422E" w:rsidRPr="006E7F30" w:rsidRDefault="001F422E" w:rsidP="0023766D">
            <w:pPr>
              <w:spacing w:line="276" w:lineRule="auto"/>
              <w:ind w:left="-113" w:right="-14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p>
        </w:tc>
        <w:tc>
          <w:tcPr>
            <w:tcW w:w="1216" w:type="dxa"/>
            <w:tcBorders>
              <w:bottom w:val="single" w:sz="4" w:space="0" w:color="auto"/>
            </w:tcBorders>
            <w:vAlign w:val="center"/>
            <w:hideMark/>
          </w:tcPr>
          <w:p w14:paraId="1E98011F" w14:textId="77777777" w:rsidR="001F422E" w:rsidRPr="006E7F30" w:rsidRDefault="001F422E" w:rsidP="0023766D">
            <w:pPr>
              <w:spacing w:line="276" w:lineRule="auto"/>
              <w:ind w:left="-113" w:right="-144"/>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34%</w:t>
            </w:r>
          </w:p>
        </w:tc>
      </w:tr>
    </w:tbl>
    <w:p w14:paraId="651C3845" w14:textId="77777777" w:rsidR="001F422E" w:rsidRDefault="001F422E" w:rsidP="00404CBD">
      <w:pPr>
        <w:spacing w:line="360" w:lineRule="auto"/>
        <w:rPr>
          <w:rFonts w:ascii="Times New Roman" w:hAnsi="Times New Roman" w:cs="Times New Roman"/>
          <w:bCs/>
          <w:sz w:val="24"/>
          <w:szCs w:val="24"/>
        </w:rPr>
      </w:pPr>
    </w:p>
    <w:p w14:paraId="0B4A3687" w14:textId="0CCFE97D" w:rsidR="00F14A30" w:rsidRDefault="00F14A30"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 diferencia de rendimiento académico de estas cohortes, en este periodo, es muy pequeña (0.05) por lo que, solo por mero trámite se le aplica la prueba “t de </w:t>
      </w:r>
      <w:proofErr w:type="spellStart"/>
      <w:r>
        <w:rPr>
          <w:rFonts w:ascii="Times New Roman" w:hAnsi="Times New Roman" w:cs="Times New Roman"/>
          <w:bCs/>
          <w:sz w:val="24"/>
          <w:szCs w:val="24"/>
        </w:rPr>
        <w:t>student</w:t>
      </w:r>
      <w:proofErr w:type="spellEnd"/>
      <w:r>
        <w:rPr>
          <w:rFonts w:ascii="Times New Roman" w:hAnsi="Times New Roman" w:cs="Times New Roman"/>
          <w:bCs/>
          <w:sz w:val="24"/>
          <w:szCs w:val="24"/>
        </w:rPr>
        <w:t>” para definir si es o no estadísticamente significativa. El resultado es que no hay evidencia para afirmar que una cohorte haya tenido mejor rendimiento académico que la otra.</w:t>
      </w:r>
    </w:p>
    <w:p w14:paraId="0CD44D7D" w14:textId="4808EC02" w:rsidR="00A94E11" w:rsidRDefault="00A94E11"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Con el propósito de hacer una valoración del rendimiento académico se establece la siguiente convención: rendimiento académico alto</w:t>
      </w:r>
      <w:r w:rsidR="00F14A30">
        <w:rPr>
          <w:rFonts w:ascii="Times New Roman" w:hAnsi="Times New Roman" w:cs="Times New Roman"/>
          <w:bCs/>
          <w:sz w:val="24"/>
          <w:szCs w:val="24"/>
        </w:rPr>
        <w:t>,</w:t>
      </w:r>
      <w:r>
        <w:rPr>
          <w:rFonts w:ascii="Times New Roman" w:hAnsi="Times New Roman" w:cs="Times New Roman"/>
          <w:bCs/>
          <w:sz w:val="24"/>
          <w:szCs w:val="24"/>
        </w:rPr>
        <w:t xml:space="preserve"> cuando le media aritmética es igual o may</w:t>
      </w:r>
      <w:r w:rsidR="00F14A30">
        <w:rPr>
          <w:rFonts w:ascii="Times New Roman" w:hAnsi="Times New Roman" w:cs="Times New Roman"/>
          <w:bCs/>
          <w:sz w:val="24"/>
          <w:szCs w:val="24"/>
        </w:rPr>
        <w:t>or que nueve;</w:t>
      </w:r>
      <w:r>
        <w:rPr>
          <w:rFonts w:ascii="Times New Roman" w:hAnsi="Times New Roman" w:cs="Times New Roman"/>
          <w:bCs/>
          <w:sz w:val="24"/>
          <w:szCs w:val="24"/>
        </w:rPr>
        <w:t xml:space="preserve"> rendimiento académico medio</w:t>
      </w:r>
      <w:r w:rsidR="00F14A30">
        <w:rPr>
          <w:rFonts w:ascii="Times New Roman" w:hAnsi="Times New Roman" w:cs="Times New Roman"/>
          <w:bCs/>
          <w:sz w:val="24"/>
          <w:szCs w:val="24"/>
        </w:rPr>
        <w:t>,</w:t>
      </w:r>
      <w:r>
        <w:rPr>
          <w:rFonts w:ascii="Times New Roman" w:hAnsi="Times New Roman" w:cs="Times New Roman"/>
          <w:bCs/>
          <w:sz w:val="24"/>
          <w:szCs w:val="24"/>
        </w:rPr>
        <w:t xml:space="preserve"> cuando la media aritmética es mayor o igual a ocho y menor que nueve y</w:t>
      </w:r>
      <w:r w:rsidR="001F422E">
        <w:rPr>
          <w:rFonts w:ascii="Times New Roman" w:hAnsi="Times New Roman" w:cs="Times New Roman"/>
          <w:bCs/>
          <w:sz w:val="24"/>
          <w:szCs w:val="24"/>
        </w:rPr>
        <w:t>;</w:t>
      </w:r>
      <w:r>
        <w:rPr>
          <w:rFonts w:ascii="Times New Roman" w:hAnsi="Times New Roman" w:cs="Times New Roman"/>
          <w:bCs/>
          <w:sz w:val="24"/>
          <w:szCs w:val="24"/>
        </w:rPr>
        <w:t xml:space="preserve"> rendimiento académico bajo, cuando la media aritmética es menor que ocho.</w:t>
      </w:r>
    </w:p>
    <w:p w14:paraId="0B408F8A" w14:textId="14D85AE5" w:rsidR="00F14A30" w:rsidRDefault="00A94E11"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De acuerdo a lo anterior, podemos decir que, en general, los alumnos de estas cohortes tienen rendimiento académico bajo en el Periodo 1.</w:t>
      </w:r>
      <w:r w:rsidR="009C72BD">
        <w:rPr>
          <w:rFonts w:ascii="Times New Roman" w:hAnsi="Times New Roman" w:cs="Times New Roman"/>
          <w:bCs/>
          <w:sz w:val="24"/>
          <w:szCs w:val="24"/>
        </w:rPr>
        <w:t xml:space="preserve"> El análisis de este resultado puede tener explicaciones de acuerdo a determinados referentes que se definan para ello. En este caso, descartaremos referentes externos del rendimiento académico de cohortes de programas educativos homólogos ofertados en otras instituciones de educación superior. Trataremos de construir uno propio a partir del rendimiento académico logrado en cada una de las unidades de aprendizaje. Esto, porque nos posicionaremos en la mejora continua</w:t>
      </w:r>
      <w:r w:rsidR="00F14A30">
        <w:rPr>
          <w:rFonts w:ascii="Times New Roman" w:hAnsi="Times New Roman" w:cs="Times New Roman"/>
          <w:bCs/>
          <w:sz w:val="24"/>
          <w:szCs w:val="24"/>
        </w:rPr>
        <w:t xml:space="preserve"> de los procesos de aprendizaje lo que implica la búsqueda permanente de estrategias didácticas que más contribuyen a elevar los niveles de competencias de los alumnos y con ello a su rendimiento académico</w:t>
      </w:r>
      <w:r w:rsidR="001F422E">
        <w:rPr>
          <w:rFonts w:ascii="Times New Roman" w:hAnsi="Times New Roman" w:cs="Times New Roman"/>
          <w:bCs/>
          <w:sz w:val="24"/>
          <w:szCs w:val="24"/>
        </w:rPr>
        <w:t>.</w:t>
      </w:r>
      <w:r w:rsidR="00495A09">
        <w:rPr>
          <w:rFonts w:ascii="Times New Roman" w:hAnsi="Times New Roman" w:cs="Times New Roman"/>
          <w:bCs/>
          <w:sz w:val="24"/>
          <w:szCs w:val="24"/>
        </w:rPr>
        <w:t xml:space="preserve"> </w:t>
      </w:r>
    </w:p>
    <w:p w14:paraId="51E054CB" w14:textId="36EF2EF4" w:rsidR="00495A09" w:rsidRDefault="00495A09"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En la Tabla 2, se muestra el rendimiento académico de la Cohorte 2013-2018 de las licenciaturas; Diseño de Interiores y Ambientación (media aritmética = 7.92)  y, Diseño Urbano y del Paisaje (media aritmética = 8.07) correspondiente al Periodo 2 del plan de estudio correspondiente. </w:t>
      </w:r>
    </w:p>
    <w:tbl>
      <w:tblPr>
        <w:tblStyle w:val="GridTable4Accent6"/>
        <w:tblW w:w="8858" w:type="dxa"/>
        <w:tblLook w:val="04A0" w:firstRow="1" w:lastRow="0" w:firstColumn="1" w:lastColumn="0" w:noHBand="0" w:noVBand="1"/>
      </w:tblPr>
      <w:tblGrid>
        <w:gridCol w:w="3681"/>
        <w:gridCol w:w="425"/>
        <w:gridCol w:w="993"/>
        <w:gridCol w:w="616"/>
        <w:gridCol w:w="1084"/>
        <w:gridCol w:w="767"/>
        <w:gridCol w:w="1292"/>
      </w:tblGrid>
      <w:tr w:rsidR="006E7F30" w:rsidRPr="006E7F30" w14:paraId="52BAC47A" w14:textId="77777777" w:rsidTr="0023766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858" w:type="dxa"/>
            <w:gridSpan w:val="7"/>
            <w:tcBorders>
              <w:bottom w:val="single" w:sz="4" w:space="0" w:color="auto"/>
            </w:tcBorders>
            <w:hideMark/>
          </w:tcPr>
          <w:p w14:paraId="2D96CB25" w14:textId="783BD65C" w:rsidR="006E7F30" w:rsidRPr="001F422E" w:rsidRDefault="0023766D" w:rsidP="00503D17">
            <w:pPr>
              <w:spacing w:line="360" w:lineRule="auto"/>
              <w:rPr>
                <w:rFonts w:ascii="Times New Roman" w:eastAsia="Times New Roman" w:hAnsi="Times New Roman" w:cs="Times New Roman"/>
                <w:color w:val="000000"/>
                <w:lang w:eastAsia="es-MX"/>
              </w:rPr>
            </w:pPr>
            <w:r>
              <w:rPr>
                <w:rFonts w:ascii="Times New Roman" w:eastAsia="Times New Roman" w:hAnsi="Times New Roman" w:cs="Times New Roman"/>
                <w:color w:val="000000"/>
                <w:lang w:eastAsia="es-MX"/>
              </w:rPr>
              <w:t>Tabla 2:</w:t>
            </w:r>
          </w:p>
          <w:p w14:paraId="297A4521" w14:textId="0CFC04AA" w:rsidR="006E7F30" w:rsidRPr="006E7F30" w:rsidRDefault="006E7F30" w:rsidP="00495A09">
            <w:pPr>
              <w:spacing w:line="276" w:lineRule="auto"/>
              <w:rPr>
                <w:rFonts w:ascii="Times New Roman" w:eastAsia="Times New Roman" w:hAnsi="Times New Roman" w:cs="Times New Roman"/>
                <w:color w:val="000000"/>
                <w:lang w:eastAsia="es-MX"/>
              </w:rPr>
            </w:pPr>
            <w:r w:rsidRPr="006E7F30">
              <w:rPr>
                <w:rFonts w:ascii="Times New Roman" w:eastAsia="Times New Roman" w:hAnsi="Times New Roman" w:cs="Times New Roman"/>
                <w:color w:val="000000"/>
                <w:lang w:eastAsia="es-MX"/>
              </w:rPr>
              <w:t>Rendimiento académico por carrera en el Periodo 2</w:t>
            </w:r>
          </w:p>
        </w:tc>
      </w:tr>
      <w:tr w:rsidR="001F422E" w:rsidRPr="006E7F30" w14:paraId="7EDB84AE" w14:textId="77777777" w:rsidTr="0023766D">
        <w:trPr>
          <w:cnfStyle w:val="000000100000" w:firstRow="0" w:lastRow="0" w:firstColumn="0" w:lastColumn="0" w:oddVBand="0" w:evenVBand="0" w:oddHBand="1" w:evenHBand="0" w:firstRowFirstColumn="0" w:firstRowLastColumn="0" w:lastRowFirstColumn="0" w:lastRowLastColumn="0"/>
          <w:trHeight w:val="85"/>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uto"/>
            </w:tcBorders>
            <w:vAlign w:val="center"/>
            <w:hideMark/>
          </w:tcPr>
          <w:p w14:paraId="333359D8" w14:textId="77777777" w:rsidR="006E7F30" w:rsidRPr="006E7F30" w:rsidRDefault="006E7F30" w:rsidP="00495A09">
            <w:pPr>
              <w:spacing w:line="276" w:lineRule="auto"/>
              <w:rPr>
                <w:rFonts w:ascii="Times New Roman" w:eastAsia="Times New Roman" w:hAnsi="Times New Roman" w:cs="Times New Roman"/>
                <w:color w:val="000000"/>
                <w:lang w:eastAsia="es-MX"/>
              </w:rPr>
            </w:pPr>
            <w:r w:rsidRPr="006E7F30">
              <w:rPr>
                <w:rFonts w:ascii="Times New Roman" w:eastAsia="Times New Roman" w:hAnsi="Times New Roman" w:cs="Times New Roman"/>
                <w:color w:val="000000"/>
                <w:lang w:eastAsia="es-MX"/>
              </w:rPr>
              <w:t>Carrera</w:t>
            </w:r>
          </w:p>
        </w:tc>
        <w:tc>
          <w:tcPr>
            <w:tcW w:w="425" w:type="dxa"/>
            <w:tcBorders>
              <w:top w:val="single" w:sz="4" w:space="0" w:color="auto"/>
            </w:tcBorders>
            <w:vAlign w:val="center"/>
            <w:hideMark/>
          </w:tcPr>
          <w:p w14:paraId="540A78DA" w14:textId="77777777" w:rsidR="006E7F30" w:rsidRPr="006E7F30" w:rsidRDefault="006E7F30" w:rsidP="00495A09">
            <w:pPr>
              <w:spacing w:line="276" w:lineRule="auto"/>
              <w:ind w:left="-108" w:right="-18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N</w:t>
            </w:r>
          </w:p>
        </w:tc>
        <w:tc>
          <w:tcPr>
            <w:tcW w:w="993" w:type="dxa"/>
            <w:tcBorders>
              <w:top w:val="single" w:sz="4" w:space="0" w:color="auto"/>
            </w:tcBorders>
            <w:vAlign w:val="center"/>
            <w:hideMark/>
          </w:tcPr>
          <w:p w14:paraId="30CB24AE" w14:textId="36AD1644" w:rsidR="006E7F30" w:rsidRPr="006E7F30" w:rsidRDefault="006E7F30" w:rsidP="00495A09">
            <w:pPr>
              <w:spacing w:line="276" w:lineRule="auto"/>
              <w:ind w:left="-108" w:right="-18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Media</w:t>
            </w:r>
            <w:r w:rsidR="00B85958" w:rsidRPr="001F422E">
              <w:rPr>
                <w:rFonts w:ascii="Times New Roman" w:eastAsia="Times New Roman" w:hAnsi="Times New Roman" w:cs="Times New Roman"/>
                <w:color w:val="000000"/>
                <w:lang w:eastAsia="es-MX"/>
              </w:rPr>
              <w:t xml:space="preserve"> aritmética</w:t>
            </w:r>
          </w:p>
        </w:tc>
        <w:tc>
          <w:tcPr>
            <w:tcW w:w="616" w:type="dxa"/>
            <w:tcBorders>
              <w:top w:val="single" w:sz="4" w:space="0" w:color="auto"/>
            </w:tcBorders>
            <w:vAlign w:val="center"/>
            <w:hideMark/>
          </w:tcPr>
          <w:p w14:paraId="7C4AE6BF" w14:textId="77777777" w:rsidR="006E7F30" w:rsidRPr="006E7F30" w:rsidRDefault="006E7F30" w:rsidP="00495A09">
            <w:pPr>
              <w:spacing w:line="276" w:lineRule="auto"/>
              <w:ind w:left="-108" w:right="-18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proofErr w:type="spellStart"/>
            <w:r w:rsidRPr="006E7F30">
              <w:rPr>
                <w:rFonts w:ascii="Times New Roman" w:eastAsia="Times New Roman" w:hAnsi="Times New Roman" w:cs="Times New Roman"/>
                <w:bCs/>
                <w:color w:val="000000"/>
                <w:lang w:eastAsia="es-MX"/>
              </w:rPr>
              <w:t>Desv</w:t>
            </w:r>
            <w:proofErr w:type="spellEnd"/>
            <w:r w:rsidRPr="006E7F30">
              <w:rPr>
                <w:rFonts w:ascii="Times New Roman" w:eastAsia="Times New Roman" w:hAnsi="Times New Roman" w:cs="Times New Roman"/>
                <w:bCs/>
                <w:color w:val="000000"/>
                <w:lang w:eastAsia="es-MX"/>
              </w:rPr>
              <w:t xml:space="preserve">. </w:t>
            </w:r>
            <w:proofErr w:type="spellStart"/>
            <w:r w:rsidRPr="006E7F30">
              <w:rPr>
                <w:rFonts w:ascii="Times New Roman" w:eastAsia="Times New Roman" w:hAnsi="Times New Roman" w:cs="Times New Roman"/>
                <w:bCs/>
                <w:color w:val="000000"/>
                <w:lang w:eastAsia="es-MX"/>
              </w:rPr>
              <w:t>Est</w:t>
            </w:r>
            <w:proofErr w:type="spellEnd"/>
            <w:r w:rsidRPr="006E7F30">
              <w:rPr>
                <w:rFonts w:ascii="Times New Roman" w:eastAsia="Times New Roman" w:hAnsi="Times New Roman" w:cs="Times New Roman"/>
                <w:bCs/>
                <w:color w:val="000000"/>
                <w:lang w:eastAsia="es-MX"/>
              </w:rPr>
              <w:t>.</w:t>
            </w:r>
          </w:p>
        </w:tc>
        <w:tc>
          <w:tcPr>
            <w:tcW w:w="1084" w:type="dxa"/>
            <w:tcBorders>
              <w:top w:val="single" w:sz="4" w:space="0" w:color="auto"/>
            </w:tcBorders>
            <w:vAlign w:val="center"/>
            <w:hideMark/>
          </w:tcPr>
          <w:p w14:paraId="60832EC9" w14:textId="3DFFE692" w:rsidR="006E7F30" w:rsidRPr="006E7F30" w:rsidRDefault="006E7F30" w:rsidP="00495A09">
            <w:pPr>
              <w:spacing w:line="276" w:lineRule="auto"/>
              <w:ind w:left="-108" w:right="-18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proofErr w:type="spellStart"/>
            <w:r w:rsidRPr="006E7F30">
              <w:rPr>
                <w:rFonts w:ascii="Times New Roman" w:eastAsia="Times New Roman" w:hAnsi="Times New Roman" w:cs="Times New Roman"/>
                <w:color w:val="000000"/>
                <w:lang w:eastAsia="es-MX"/>
              </w:rPr>
              <w:t>Desv</w:t>
            </w:r>
            <w:proofErr w:type="spellEnd"/>
            <w:r w:rsidRPr="006E7F30">
              <w:rPr>
                <w:rFonts w:ascii="Times New Roman" w:eastAsia="Times New Roman" w:hAnsi="Times New Roman" w:cs="Times New Roman"/>
                <w:color w:val="000000"/>
                <w:lang w:eastAsia="es-MX"/>
              </w:rPr>
              <w:t xml:space="preserve">. </w:t>
            </w:r>
            <w:proofErr w:type="spellStart"/>
            <w:r w:rsidRPr="006E7F30">
              <w:rPr>
                <w:rFonts w:ascii="Times New Roman" w:eastAsia="Times New Roman" w:hAnsi="Times New Roman" w:cs="Times New Roman"/>
                <w:color w:val="000000"/>
                <w:lang w:eastAsia="es-MX"/>
              </w:rPr>
              <w:t>Est</w:t>
            </w:r>
            <w:proofErr w:type="spellEnd"/>
            <w:r w:rsidRPr="006E7F30">
              <w:rPr>
                <w:rFonts w:ascii="Times New Roman" w:eastAsia="Times New Roman" w:hAnsi="Times New Roman" w:cs="Times New Roman"/>
                <w:color w:val="000000"/>
                <w:lang w:eastAsia="es-MX"/>
              </w:rPr>
              <w:t xml:space="preserve">. </w:t>
            </w:r>
            <w:proofErr w:type="spellStart"/>
            <w:r w:rsidRPr="006E7F30">
              <w:rPr>
                <w:rFonts w:ascii="Times New Roman" w:eastAsia="Times New Roman" w:hAnsi="Times New Roman" w:cs="Times New Roman"/>
                <w:color w:val="000000"/>
                <w:lang w:eastAsia="es-MX"/>
              </w:rPr>
              <w:t>Mancom</w:t>
            </w:r>
            <w:proofErr w:type="spellEnd"/>
            <w:r w:rsidR="001F422E">
              <w:rPr>
                <w:rFonts w:ascii="Times New Roman" w:eastAsia="Times New Roman" w:hAnsi="Times New Roman" w:cs="Times New Roman"/>
                <w:color w:val="000000"/>
                <w:lang w:eastAsia="es-MX"/>
              </w:rPr>
              <w:t>.</w:t>
            </w:r>
          </w:p>
        </w:tc>
        <w:tc>
          <w:tcPr>
            <w:tcW w:w="767" w:type="dxa"/>
            <w:tcBorders>
              <w:top w:val="single" w:sz="4" w:space="0" w:color="auto"/>
            </w:tcBorders>
            <w:vAlign w:val="center"/>
            <w:hideMark/>
          </w:tcPr>
          <w:p w14:paraId="23A6C989" w14:textId="77777777" w:rsidR="006E7F30" w:rsidRPr="006E7F30" w:rsidRDefault="006E7F30" w:rsidP="00495A09">
            <w:pPr>
              <w:spacing w:line="276" w:lineRule="auto"/>
              <w:ind w:left="-108" w:right="-18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 xml:space="preserve">t de </w:t>
            </w:r>
            <w:proofErr w:type="spellStart"/>
            <w:r w:rsidRPr="006E7F30">
              <w:rPr>
                <w:rFonts w:ascii="Times New Roman" w:eastAsia="Times New Roman" w:hAnsi="Times New Roman" w:cs="Times New Roman"/>
                <w:bCs/>
                <w:color w:val="000000"/>
                <w:lang w:eastAsia="es-MX"/>
              </w:rPr>
              <w:t>student</w:t>
            </w:r>
            <w:proofErr w:type="spellEnd"/>
          </w:p>
        </w:tc>
        <w:tc>
          <w:tcPr>
            <w:tcW w:w="1292" w:type="dxa"/>
            <w:tcBorders>
              <w:top w:val="single" w:sz="4" w:space="0" w:color="auto"/>
            </w:tcBorders>
            <w:vAlign w:val="center"/>
            <w:hideMark/>
          </w:tcPr>
          <w:p w14:paraId="508E518E" w14:textId="77777777" w:rsidR="006E7F30" w:rsidRPr="006E7F30" w:rsidRDefault="006E7F30" w:rsidP="00495A09">
            <w:pPr>
              <w:spacing w:line="276" w:lineRule="auto"/>
              <w:ind w:left="-108" w:right="-18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Regularidad académica</w:t>
            </w:r>
          </w:p>
        </w:tc>
      </w:tr>
      <w:tr w:rsidR="001F422E" w:rsidRPr="006E7F30" w14:paraId="5B454BFE" w14:textId="77777777" w:rsidTr="00F248D4">
        <w:trPr>
          <w:trHeight w:val="300"/>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FABF8F" w:themeColor="accent6" w:themeTint="99"/>
            </w:tcBorders>
            <w:vAlign w:val="center"/>
            <w:hideMark/>
          </w:tcPr>
          <w:p w14:paraId="467E0E15" w14:textId="77777777" w:rsidR="006E7F30" w:rsidRPr="006E7F30" w:rsidRDefault="006E7F30" w:rsidP="00495A09">
            <w:pPr>
              <w:spacing w:line="276" w:lineRule="auto"/>
              <w:rPr>
                <w:rFonts w:ascii="Times New Roman" w:eastAsia="Times New Roman" w:hAnsi="Times New Roman" w:cs="Times New Roman"/>
                <w:color w:val="000000"/>
                <w:lang w:eastAsia="es-MX"/>
              </w:rPr>
            </w:pPr>
            <w:r w:rsidRPr="006E7F30">
              <w:rPr>
                <w:rFonts w:ascii="Times New Roman" w:eastAsia="Times New Roman" w:hAnsi="Times New Roman" w:cs="Times New Roman"/>
                <w:color w:val="000000"/>
                <w:lang w:eastAsia="es-MX"/>
              </w:rPr>
              <w:t>Diseño de Interiores y Ambientación</w:t>
            </w:r>
          </w:p>
        </w:tc>
        <w:tc>
          <w:tcPr>
            <w:tcW w:w="425" w:type="dxa"/>
            <w:tcBorders>
              <w:bottom w:val="single" w:sz="4" w:space="0" w:color="FABF8F" w:themeColor="accent6" w:themeTint="99"/>
            </w:tcBorders>
            <w:vAlign w:val="center"/>
            <w:hideMark/>
          </w:tcPr>
          <w:p w14:paraId="6CEF13AB" w14:textId="77777777" w:rsidR="006E7F30" w:rsidRPr="006E7F30" w:rsidRDefault="006E7F30" w:rsidP="00495A09">
            <w:pPr>
              <w:spacing w:line="276" w:lineRule="auto"/>
              <w:ind w:left="-108" w:right="-18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62</w:t>
            </w:r>
          </w:p>
        </w:tc>
        <w:tc>
          <w:tcPr>
            <w:tcW w:w="993" w:type="dxa"/>
            <w:tcBorders>
              <w:bottom w:val="single" w:sz="4" w:space="0" w:color="FABF8F" w:themeColor="accent6" w:themeTint="99"/>
            </w:tcBorders>
            <w:vAlign w:val="center"/>
            <w:hideMark/>
          </w:tcPr>
          <w:p w14:paraId="2AD2715F" w14:textId="77777777" w:rsidR="006E7F30" w:rsidRPr="006E7F30" w:rsidRDefault="006E7F30" w:rsidP="00495A09">
            <w:pPr>
              <w:spacing w:line="276" w:lineRule="auto"/>
              <w:ind w:left="-108" w:right="-18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7.92</w:t>
            </w:r>
          </w:p>
        </w:tc>
        <w:tc>
          <w:tcPr>
            <w:tcW w:w="616" w:type="dxa"/>
            <w:tcBorders>
              <w:bottom w:val="single" w:sz="4" w:space="0" w:color="FABF8F" w:themeColor="accent6" w:themeTint="99"/>
            </w:tcBorders>
            <w:vAlign w:val="center"/>
            <w:hideMark/>
          </w:tcPr>
          <w:p w14:paraId="665412DD" w14:textId="77777777" w:rsidR="006E7F30" w:rsidRPr="006E7F30" w:rsidRDefault="006E7F30" w:rsidP="00495A09">
            <w:pPr>
              <w:spacing w:line="276" w:lineRule="auto"/>
              <w:ind w:left="-108" w:right="-18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1.83</w:t>
            </w:r>
          </w:p>
        </w:tc>
        <w:tc>
          <w:tcPr>
            <w:tcW w:w="1084" w:type="dxa"/>
            <w:vMerge w:val="restart"/>
            <w:tcBorders>
              <w:bottom w:val="single" w:sz="4" w:space="0" w:color="FABF8F" w:themeColor="accent6" w:themeTint="99"/>
            </w:tcBorders>
            <w:noWrap/>
            <w:vAlign w:val="center"/>
            <w:hideMark/>
          </w:tcPr>
          <w:p w14:paraId="4264A1D2" w14:textId="24401E07" w:rsidR="006E7F30" w:rsidRPr="006E7F30" w:rsidRDefault="006E7F30" w:rsidP="00495A09">
            <w:pPr>
              <w:spacing w:line="276" w:lineRule="auto"/>
              <w:ind w:left="-108" w:right="-18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1F422E">
              <w:rPr>
                <w:rFonts w:ascii="Times New Roman" w:eastAsia="Times New Roman" w:hAnsi="Times New Roman" w:cs="Times New Roman"/>
                <w:color w:val="000000"/>
                <w:lang w:eastAsia="es-MX"/>
              </w:rPr>
              <w:t>1.69</w:t>
            </w:r>
          </w:p>
        </w:tc>
        <w:tc>
          <w:tcPr>
            <w:tcW w:w="767" w:type="dxa"/>
            <w:vMerge w:val="restart"/>
            <w:tcBorders>
              <w:bottom w:val="single" w:sz="4" w:space="0" w:color="FABF8F" w:themeColor="accent6" w:themeTint="99"/>
            </w:tcBorders>
            <w:vAlign w:val="center"/>
            <w:hideMark/>
          </w:tcPr>
          <w:p w14:paraId="29A0C098" w14:textId="77777777" w:rsidR="006E7F30" w:rsidRPr="006E7F30" w:rsidRDefault="006E7F30" w:rsidP="00495A09">
            <w:pPr>
              <w:spacing w:line="276" w:lineRule="auto"/>
              <w:ind w:left="-108" w:right="-18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-0.52</w:t>
            </w:r>
          </w:p>
        </w:tc>
        <w:tc>
          <w:tcPr>
            <w:tcW w:w="1292" w:type="dxa"/>
            <w:tcBorders>
              <w:bottom w:val="single" w:sz="4" w:space="0" w:color="FABF8F" w:themeColor="accent6" w:themeTint="99"/>
            </w:tcBorders>
            <w:vAlign w:val="center"/>
            <w:hideMark/>
          </w:tcPr>
          <w:p w14:paraId="17094FC1" w14:textId="77777777" w:rsidR="006E7F30" w:rsidRPr="006E7F30" w:rsidRDefault="006E7F30" w:rsidP="00495A09">
            <w:pPr>
              <w:spacing w:line="276" w:lineRule="auto"/>
              <w:ind w:left="-108" w:right="-189"/>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71%</w:t>
            </w:r>
          </w:p>
        </w:tc>
      </w:tr>
      <w:tr w:rsidR="001F422E" w:rsidRPr="006E7F30" w14:paraId="71E31F2D" w14:textId="77777777" w:rsidTr="00F248D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tcBorders>
              <w:bottom w:val="single" w:sz="4" w:space="0" w:color="auto"/>
            </w:tcBorders>
            <w:vAlign w:val="center"/>
            <w:hideMark/>
          </w:tcPr>
          <w:p w14:paraId="0C8147E9" w14:textId="77777777" w:rsidR="006E7F30" w:rsidRPr="006E7F30" w:rsidRDefault="006E7F30" w:rsidP="00495A09">
            <w:pPr>
              <w:spacing w:line="276" w:lineRule="auto"/>
              <w:rPr>
                <w:rFonts w:ascii="Times New Roman" w:eastAsia="Times New Roman" w:hAnsi="Times New Roman" w:cs="Times New Roman"/>
                <w:color w:val="000000"/>
                <w:lang w:eastAsia="es-MX"/>
              </w:rPr>
            </w:pPr>
            <w:r w:rsidRPr="006E7F30">
              <w:rPr>
                <w:rFonts w:ascii="Times New Roman" w:eastAsia="Times New Roman" w:hAnsi="Times New Roman" w:cs="Times New Roman"/>
                <w:color w:val="000000"/>
                <w:lang w:eastAsia="es-MX"/>
              </w:rPr>
              <w:t>Diseño Urbano y del Paisaje</w:t>
            </w:r>
          </w:p>
        </w:tc>
        <w:tc>
          <w:tcPr>
            <w:tcW w:w="425" w:type="dxa"/>
            <w:tcBorders>
              <w:bottom w:val="single" w:sz="4" w:space="0" w:color="auto"/>
            </w:tcBorders>
            <w:vAlign w:val="center"/>
            <w:hideMark/>
          </w:tcPr>
          <w:p w14:paraId="56B07A0E" w14:textId="77777777" w:rsidR="006E7F30" w:rsidRPr="006E7F30" w:rsidRDefault="006E7F30" w:rsidP="00495A09">
            <w:pPr>
              <w:spacing w:line="276" w:lineRule="auto"/>
              <w:ind w:left="-108" w:right="-18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74</w:t>
            </w:r>
          </w:p>
        </w:tc>
        <w:tc>
          <w:tcPr>
            <w:tcW w:w="993" w:type="dxa"/>
            <w:tcBorders>
              <w:bottom w:val="single" w:sz="4" w:space="0" w:color="auto"/>
            </w:tcBorders>
            <w:vAlign w:val="center"/>
            <w:hideMark/>
          </w:tcPr>
          <w:p w14:paraId="4B473EB5" w14:textId="77777777" w:rsidR="006E7F30" w:rsidRPr="006E7F30" w:rsidRDefault="006E7F30" w:rsidP="00495A09">
            <w:pPr>
              <w:spacing w:line="276" w:lineRule="auto"/>
              <w:ind w:left="-108" w:right="-18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8.07</w:t>
            </w:r>
          </w:p>
        </w:tc>
        <w:tc>
          <w:tcPr>
            <w:tcW w:w="616" w:type="dxa"/>
            <w:tcBorders>
              <w:bottom w:val="single" w:sz="4" w:space="0" w:color="auto"/>
            </w:tcBorders>
            <w:vAlign w:val="center"/>
            <w:hideMark/>
          </w:tcPr>
          <w:p w14:paraId="073D7482" w14:textId="77777777" w:rsidR="006E7F30" w:rsidRPr="006E7F30" w:rsidRDefault="006E7F30" w:rsidP="00495A09">
            <w:pPr>
              <w:spacing w:line="276" w:lineRule="auto"/>
              <w:ind w:left="-108" w:right="-18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1.56</w:t>
            </w:r>
          </w:p>
        </w:tc>
        <w:tc>
          <w:tcPr>
            <w:tcW w:w="1084" w:type="dxa"/>
            <w:vMerge/>
            <w:tcBorders>
              <w:bottom w:val="single" w:sz="4" w:space="0" w:color="auto"/>
            </w:tcBorders>
            <w:vAlign w:val="center"/>
            <w:hideMark/>
          </w:tcPr>
          <w:p w14:paraId="5BAB4F08" w14:textId="77777777" w:rsidR="006E7F30" w:rsidRPr="006E7F30" w:rsidRDefault="006E7F30" w:rsidP="00495A09">
            <w:pPr>
              <w:spacing w:line="276" w:lineRule="auto"/>
              <w:ind w:left="-108" w:right="-18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p>
        </w:tc>
        <w:tc>
          <w:tcPr>
            <w:tcW w:w="767" w:type="dxa"/>
            <w:vMerge/>
            <w:tcBorders>
              <w:bottom w:val="single" w:sz="4" w:space="0" w:color="auto"/>
            </w:tcBorders>
            <w:vAlign w:val="center"/>
            <w:hideMark/>
          </w:tcPr>
          <w:p w14:paraId="5603BB66" w14:textId="77777777" w:rsidR="006E7F30" w:rsidRPr="006E7F30" w:rsidRDefault="006E7F30" w:rsidP="00495A09">
            <w:pPr>
              <w:spacing w:line="276" w:lineRule="auto"/>
              <w:ind w:left="-108" w:right="-18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p>
        </w:tc>
        <w:tc>
          <w:tcPr>
            <w:tcW w:w="1292" w:type="dxa"/>
            <w:tcBorders>
              <w:bottom w:val="single" w:sz="4" w:space="0" w:color="auto"/>
            </w:tcBorders>
            <w:vAlign w:val="center"/>
            <w:hideMark/>
          </w:tcPr>
          <w:p w14:paraId="68391B8F" w14:textId="77777777" w:rsidR="006E7F30" w:rsidRPr="006E7F30" w:rsidRDefault="006E7F30" w:rsidP="00495A09">
            <w:pPr>
              <w:spacing w:line="276" w:lineRule="auto"/>
              <w:ind w:left="-108" w:right="-189"/>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6E7F30">
              <w:rPr>
                <w:rFonts w:ascii="Times New Roman" w:eastAsia="Times New Roman" w:hAnsi="Times New Roman" w:cs="Times New Roman"/>
                <w:bCs/>
                <w:color w:val="000000"/>
                <w:lang w:eastAsia="es-MX"/>
              </w:rPr>
              <w:t>62%</w:t>
            </w:r>
          </w:p>
        </w:tc>
      </w:tr>
    </w:tbl>
    <w:p w14:paraId="39662F10" w14:textId="77777777" w:rsidR="006E7F30" w:rsidRDefault="006E7F30" w:rsidP="00404CBD">
      <w:pPr>
        <w:spacing w:line="360" w:lineRule="auto"/>
        <w:rPr>
          <w:rFonts w:ascii="Times New Roman" w:hAnsi="Times New Roman" w:cs="Times New Roman"/>
          <w:bCs/>
          <w:sz w:val="24"/>
          <w:szCs w:val="24"/>
        </w:rPr>
      </w:pPr>
    </w:p>
    <w:p w14:paraId="19EF7BA7" w14:textId="042E91D3" w:rsidR="00616D91" w:rsidRDefault="00FE0B9E"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El rendimiento académico de las cohortes mejora en el Periodo 2 respecto al obtenido en el Periodo 1. En la licenciatura en Diseño de Interiores y Ambientación tal rendimiento pasa de 7.43 a 7.92 mejorando 0.49 puntos</w:t>
      </w:r>
      <w:r w:rsidR="00616D91">
        <w:rPr>
          <w:rFonts w:ascii="Times New Roman" w:hAnsi="Times New Roman" w:cs="Times New Roman"/>
          <w:bCs/>
          <w:sz w:val="24"/>
          <w:szCs w:val="24"/>
        </w:rPr>
        <w:t xml:space="preserve">, diferencia que de acuerdo a la prueba “t de </w:t>
      </w:r>
      <w:proofErr w:type="spellStart"/>
      <w:r w:rsidR="00616D91">
        <w:rPr>
          <w:rFonts w:ascii="Times New Roman" w:hAnsi="Times New Roman" w:cs="Times New Roman"/>
          <w:bCs/>
          <w:sz w:val="24"/>
          <w:szCs w:val="24"/>
        </w:rPr>
        <w:t>student</w:t>
      </w:r>
      <w:proofErr w:type="spellEnd"/>
      <w:r w:rsidR="00616D91">
        <w:rPr>
          <w:rFonts w:ascii="Times New Roman" w:hAnsi="Times New Roman" w:cs="Times New Roman"/>
          <w:bCs/>
          <w:sz w:val="24"/>
          <w:szCs w:val="24"/>
        </w:rPr>
        <w:t>” no es estadísticamente significativa</w:t>
      </w:r>
      <w:r>
        <w:rPr>
          <w:rFonts w:ascii="Times New Roman" w:hAnsi="Times New Roman" w:cs="Times New Roman"/>
          <w:bCs/>
          <w:sz w:val="24"/>
          <w:szCs w:val="24"/>
        </w:rPr>
        <w:t xml:space="preserve">. En el caso de la licenciatura en Diseño Urbano y del Paisaje pasa de 7.38 a 8.07 mejorando 0.69 puntos. </w:t>
      </w:r>
      <w:r w:rsidR="00616D91">
        <w:rPr>
          <w:rFonts w:ascii="Times New Roman" w:hAnsi="Times New Roman" w:cs="Times New Roman"/>
          <w:bCs/>
          <w:sz w:val="24"/>
          <w:szCs w:val="24"/>
        </w:rPr>
        <w:t xml:space="preserve">Al hacer la comparación del rendimiento académico del Periodo 1 y el Periodo 2, con el 99% de confianza, se puede afirmar que la cohorte de Diseño Urbano y del Paisaje ha mejorado su rendimiento académico en el periodo 2 respecto al obtenido en el periodo 1. </w:t>
      </w:r>
    </w:p>
    <w:p w14:paraId="6CD61679" w14:textId="4112CAE5" w:rsidR="00610B48" w:rsidRDefault="00610B48"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 pesar de lo anterior, si se comparan los resultados que ambas cohortes obtienen en el Periodo 2, la diferencia no es estadísticamente significativa y el hecho de que la cohorte de </w:t>
      </w:r>
      <w:r>
        <w:rPr>
          <w:rFonts w:ascii="Times New Roman" w:hAnsi="Times New Roman" w:cs="Times New Roman"/>
          <w:bCs/>
          <w:sz w:val="24"/>
          <w:szCs w:val="24"/>
        </w:rPr>
        <w:lastRenderedPageBreak/>
        <w:t xml:space="preserve">Diseño Urbano y del Paisaje muestre una mejora significativa en su rendimiento es que en el Periodo 1, su rendimiento estuvo por debajo del de la cohorte de Diseño de Interiores y Ambientación mientras que en el Periodo 2 estuvo por encima, es decir, </w:t>
      </w:r>
      <w:r w:rsidR="000C3495">
        <w:rPr>
          <w:rFonts w:ascii="Times New Roman" w:hAnsi="Times New Roman" w:cs="Times New Roman"/>
          <w:bCs/>
          <w:sz w:val="24"/>
          <w:szCs w:val="24"/>
        </w:rPr>
        <w:t>logró</w:t>
      </w:r>
      <w:r>
        <w:rPr>
          <w:rFonts w:ascii="Times New Roman" w:hAnsi="Times New Roman" w:cs="Times New Roman"/>
          <w:bCs/>
          <w:sz w:val="24"/>
          <w:szCs w:val="24"/>
        </w:rPr>
        <w:t xml:space="preserve"> mayor </w:t>
      </w:r>
      <w:r w:rsidR="000C3495">
        <w:rPr>
          <w:rFonts w:ascii="Times New Roman" w:hAnsi="Times New Roman" w:cs="Times New Roman"/>
          <w:bCs/>
          <w:sz w:val="24"/>
          <w:szCs w:val="24"/>
        </w:rPr>
        <w:t>rendimiento académico</w:t>
      </w:r>
      <w:r>
        <w:rPr>
          <w:rFonts w:ascii="Times New Roman" w:hAnsi="Times New Roman" w:cs="Times New Roman"/>
          <w:bCs/>
          <w:sz w:val="24"/>
          <w:szCs w:val="24"/>
        </w:rPr>
        <w:t>.</w:t>
      </w:r>
    </w:p>
    <w:p w14:paraId="3419DE60" w14:textId="78853BEB" w:rsidR="00CB54D2" w:rsidRDefault="00CB54D2"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 acuerdo a los niveles de valoración establecidos para el rendimiento académico podemos decir que en el Periodo 2, la Cohorte de DIA sigue teniendo un rendimiento académico bajo (media aritmética &lt; 8.0) mientras que la Cohorte de DUP alcanza un rendimiento académico medio (media aritmética &gt; 8.0).</w:t>
      </w:r>
    </w:p>
    <w:p w14:paraId="3E051D0A" w14:textId="77777777" w:rsidR="00616D91" w:rsidRDefault="00616D91" w:rsidP="002363C6">
      <w:pPr>
        <w:spacing w:line="360" w:lineRule="auto"/>
        <w:jc w:val="both"/>
        <w:rPr>
          <w:rFonts w:ascii="Times New Roman" w:hAnsi="Times New Roman" w:cs="Times New Roman"/>
          <w:bCs/>
          <w:sz w:val="24"/>
          <w:szCs w:val="24"/>
        </w:rPr>
      </w:pPr>
    </w:p>
    <w:p w14:paraId="76AEFACB" w14:textId="44542959" w:rsidR="00035811" w:rsidRPr="00880B55" w:rsidRDefault="00035811" w:rsidP="002363C6">
      <w:pPr>
        <w:spacing w:line="360" w:lineRule="auto"/>
        <w:jc w:val="both"/>
        <w:rPr>
          <w:rFonts w:ascii="Times New Roman" w:hAnsi="Times New Roman" w:cs="Times New Roman"/>
          <w:b/>
          <w:bCs/>
          <w:sz w:val="24"/>
          <w:szCs w:val="24"/>
        </w:rPr>
      </w:pPr>
      <w:r w:rsidRPr="00880B55">
        <w:rPr>
          <w:rFonts w:ascii="Times New Roman" w:hAnsi="Times New Roman" w:cs="Times New Roman"/>
          <w:b/>
          <w:bCs/>
          <w:sz w:val="24"/>
          <w:szCs w:val="24"/>
        </w:rPr>
        <w:t>Rendimiento académico por unidades de aprendizaje</w:t>
      </w:r>
    </w:p>
    <w:p w14:paraId="23B2FE00" w14:textId="29CCF5AC" w:rsidR="003B2426" w:rsidRDefault="00035811"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El análisis del rendimiento académico por unidades de aprendizaje tiene el propósito de </w:t>
      </w:r>
      <w:r w:rsidR="00964F6D">
        <w:rPr>
          <w:rFonts w:ascii="Times New Roman" w:hAnsi="Times New Roman" w:cs="Times New Roman"/>
          <w:bCs/>
          <w:sz w:val="24"/>
          <w:szCs w:val="24"/>
        </w:rPr>
        <w:t xml:space="preserve">reflexionar sobre el nivel de influencia que tienen los factores; contenido (área de conocimiento), docente (nivel de dominio de competencias docentes), alumnos (manejo de determinadas estrategias de aprendizaje) o algún otro factor. </w:t>
      </w:r>
      <w:r>
        <w:rPr>
          <w:rFonts w:ascii="Times New Roman" w:hAnsi="Times New Roman" w:cs="Times New Roman"/>
          <w:bCs/>
          <w:sz w:val="24"/>
          <w:szCs w:val="24"/>
        </w:rPr>
        <w:t>Para esto será necesario tener un historial de lo que ocurre en varias cohortes que permita que los resultados acumulados puedan servir de parámetros de valoración a los nuevos resultados, así como, la innovación de las estrategias didácticas que se estén implementando en cada ciclo escolar.</w:t>
      </w:r>
    </w:p>
    <w:p w14:paraId="0AEBB904" w14:textId="77777777" w:rsidR="00443C8A" w:rsidRDefault="00DB649C"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En la Tabla 3, se muestra el rendimiento académico en cada una de las unidades de aprendizaje correspondientes al Periodo 1 del plan de estudio de la licenciatura en DIA.</w:t>
      </w:r>
      <w:r w:rsidR="00F637FD">
        <w:rPr>
          <w:rFonts w:ascii="Times New Roman" w:hAnsi="Times New Roman" w:cs="Times New Roman"/>
          <w:bCs/>
          <w:sz w:val="24"/>
          <w:szCs w:val="24"/>
        </w:rPr>
        <w:t xml:space="preserve"> La media aritmética (</w:t>
      </w:r>
      <w:r w:rsidR="00F637FD" w:rsidRPr="001B3105">
        <w:rPr>
          <w:position w:val="-4"/>
        </w:rPr>
        <w:object w:dxaOrig="279" w:dyaOrig="260" w14:anchorId="0FF9F5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25pt;height:13.5pt" o:ole="">
            <v:imagedata r:id="rId10" o:title=""/>
          </v:shape>
          <o:OLEObject Type="Embed" ProgID="Equation.3" ShapeID="_x0000_i1026" DrawAspect="Content" ObjectID="_1530953725" r:id="rId11"/>
        </w:object>
      </w:r>
      <w:r w:rsidR="00F637FD">
        <w:rPr>
          <w:rFonts w:ascii="Times New Roman" w:hAnsi="Times New Roman" w:cs="Times New Roman"/>
          <w:bCs/>
          <w:sz w:val="24"/>
          <w:szCs w:val="24"/>
        </w:rPr>
        <w:t>) y desviación estándar (</w:t>
      </w:r>
      <w:r w:rsidR="00F637FD" w:rsidRPr="001B3105">
        <w:rPr>
          <w:position w:val="-6"/>
        </w:rPr>
        <w:object w:dxaOrig="240" w:dyaOrig="220" w14:anchorId="68A9BCF2">
          <v:shape id="_x0000_i1027" type="#_x0000_t75" style="width:12.75pt;height:12pt" o:ole="">
            <v:imagedata r:id="rId12" o:title=""/>
          </v:shape>
          <o:OLEObject Type="Embed" ProgID="Equation.3" ShapeID="_x0000_i1027" DrawAspect="Content" ObjectID="_1530953726" r:id="rId13"/>
        </w:object>
      </w:r>
      <w:r w:rsidR="00F637FD">
        <w:rPr>
          <w:rFonts w:ascii="Times New Roman" w:hAnsi="Times New Roman" w:cs="Times New Roman"/>
          <w:bCs/>
          <w:sz w:val="24"/>
          <w:szCs w:val="24"/>
        </w:rPr>
        <w:t xml:space="preserve">) de las ocho unidades de aprendizaje son 7.54 y 0.73 respectivamente. Si establecemos el intervalo de confianza </w:t>
      </w:r>
      <w:r w:rsidR="00443C8A">
        <w:rPr>
          <w:rFonts w:ascii="Times New Roman" w:hAnsi="Times New Roman" w:cs="Times New Roman"/>
          <w:bCs/>
          <w:sz w:val="24"/>
          <w:szCs w:val="24"/>
        </w:rPr>
        <w:t>[</w:t>
      </w:r>
      <w:r w:rsidR="00443C8A" w:rsidRPr="00261657">
        <w:rPr>
          <w:rFonts w:ascii="Arial" w:hAnsi="Arial" w:cs="Arial"/>
          <w:position w:val="-10"/>
        </w:rPr>
        <w:object w:dxaOrig="700" w:dyaOrig="320" w14:anchorId="773DE3C5">
          <v:shape id="_x0000_i1028" type="#_x0000_t75" style="width:34.5pt;height:15.75pt" o:ole="">
            <v:imagedata r:id="rId14" o:title=""/>
          </v:shape>
          <o:OLEObject Type="Embed" ProgID="Equation.3" ShapeID="_x0000_i1028" DrawAspect="Content" ObjectID="_1530953727" r:id="rId15"/>
        </w:object>
      </w:r>
      <w:r w:rsidR="00443C8A">
        <w:rPr>
          <w:rFonts w:ascii="Times New Roman" w:hAnsi="Times New Roman" w:cs="Times New Roman"/>
          <w:bCs/>
          <w:sz w:val="24"/>
          <w:szCs w:val="24"/>
        </w:rPr>
        <w:t>] = [</w:t>
      </w:r>
      <w:r w:rsidR="00443C8A">
        <w:rPr>
          <w:rFonts w:ascii="Arial" w:hAnsi="Arial" w:cs="Arial"/>
        </w:rPr>
        <w:t>6.80, 8.27</w:t>
      </w:r>
      <w:r w:rsidR="00443C8A">
        <w:rPr>
          <w:rFonts w:ascii="Times New Roman" w:hAnsi="Times New Roman" w:cs="Times New Roman"/>
          <w:bCs/>
          <w:sz w:val="24"/>
          <w:szCs w:val="24"/>
        </w:rPr>
        <w:t xml:space="preserve">] </w:t>
      </w:r>
      <w:r w:rsidR="00F637FD">
        <w:rPr>
          <w:rFonts w:ascii="Times New Roman" w:hAnsi="Times New Roman" w:cs="Times New Roman"/>
          <w:bCs/>
          <w:sz w:val="24"/>
          <w:szCs w:val="24"/>
        </w:rPr>
        <w:t xml:space="preserve">de encontrar </w:t>
      </w:r>
      <w:r w:rsidR="00443C8A">
        <w:rPr>
          <w:rFonts w:ascii="Times New Roman" w:hAnsi="Times New Roman" w:cs="Times New Roman"/>
          <w:bCs/>
          <w:sz w:val="24"/>
          <w:szCs w:val="24"/>
        </w:rPr>
        <w:t xml:space="preserve">unidades de aprendizaje cuyo rendimiento académico es cercano al de la media aritmética, </w:t>
      </w:r>
      <w:r w:rsidR="00F637FD">
        <w:rPr>
          <w:rFonts w:ascii="Times New Roman" w:hAnsi="Times New Roman" w:cs="Times New Roman"/>
          <w:bCs/>
          <w:sz w:val="24"/>
          <w:szCs w:val="24"/>
        </w:rPr>
        <w:t xml:space="preserve">las unidades de aprendizaje que se encuentran </w:t>
      </w:r>
      <w:r w:rsidR="00443C8A">
        <w:rPr>
          <w:rFonts w:ascii="Times New Roman" w:hAnsi="Times New Roman" w:cs="Times New Roman"/>
          <w:bCs/>
          <w:sz w:val="24"/>
          <w:szCs w:val="24"/>
        </w:rPr>
        <w:t xml:space="preserve">fuera de este intervalo son las que presentan una diferencia significativa. </w:t>
      </w:r>
    </w:p>
    <w:p w14:paraId="7528D3AD" w14:textId="77777777" w:rsidR="002363C6" w:rsidRDefault="002363C6" w:rsidP="002363C6">
      <w:pPr>
        <w:spacing w:line="360" w:lineRule="auto"/>
        <w:jc w:val="both"/>
        <w:rPr>
          <w:rFonts w:ascii="Times New Roman" w:hAnsi="Times New Roman" w:cs="Times New Roman"/>
          <w:bCs/>
          <w:sz w:val="24"/>
          <w:szCs w:val="24"/>
        </w:rPr>
      </w:pPr>
    </w:p>
    <w:p w14:paraId="3A4D9147" w14:textId="77777777" w:rsidR="002363C6" w:rsidRDefault="002363C6" w:rsidP="002363C6">
      <w:pPr>
        <w:spacing w:line="360" w:lineRule="auto"/>
        <w:jc w:val="both"/>
        <w:rPr>
          <w:rFonts w:ascii="Times New Roman" w:hAnsi="Times New Roman" w:cs="Times New Roman"/>
          <w:bCs/>
          <w:sz w:val="24"/>
          <w:szCs w:val="24"/>
        </w:rPr>
      </w:pPr>
    </w:p>
    <w:p w14:paraId="4CCB2D2E" w14:textId="77777777" w:rsidR="002363C6" w:rsidRDefault="002363C6" w:rsidP="002363C6">
      <w:pPr>
        <w:spacing w:line="360" w:lineRule="auto"/>
        <w:jc w:val="both"/>
        <w:rPr>
          <w:rFonts w:ascii="Times New Roman" w:hAnsi="Times New Roman" w:cs="Times New Roman"/>
          <w:bCs/>
          <w:sz w:val="24"/>
          <w:szCs w:val="24"/>
        </w:rPr>
      </w:pPr>
    </w:p>
    <w:tbl>
      <w:tblPr>
        <w:tblStyle w:val="ListTable3Accent6"/>
        <w:tblW w:w="9029" w:type="dxa"/>
        <w:tblLook w:val="04A0" w:firstRow="1" w:lastRow="0" w:firstColumn="1" w:lastColumn="0" w:noHBand="0" w:noVBand="1"/>
      </w:tblPr>
      <w:tblGrid>
        <w:gridCol w:w="2830"/>
        <w:gridCol w:w="850"/>
        <w:gridCol w:w="709"/>
        <w:gridCol w:w="740"/>
        <w:gridCol w:w="740"/>
        <w:gridCol w:w="740"/>
        <w:gridCol w:w="760"/>
        <w:gridCol w:w="780"/>
        <w:gridCol w:w="880"/>
      </w:tblGrid>
      <w:tr w:rsidR="000A064A" w:rsidRPr="006B23E6" w14:paraId="0D35B1FF" w14:textId="77777777" w:rsidTr="0089130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029" w:type="dxa"/>
            <w:gridSpan w:val="9"/>
            <w:tcBorders>
              <w:top w:val="single" w:sz="4" w:space="0" w:color="F79646" w:themeColor="accent6"/>
              <w:bottom w:val="single" w:sz="4" w:space="0" w:color="auto"/>
            </w:tcBorders>
            <w:noWrap/>
            <w:hideMark/>
          </w:tcPr>
          <w:p w14:paraId="103C0261" w14:textId="77777777" w:rsidR="000A064A" w:rsidRPr="006B23E6" w:rsidRDefault="000A064A" w:rsidP="00503D17">
            <w:pPr>
              <w:spacing w:line="360" w:lineRule="auto"/>
              <w:rPr>
                <w:rFonts w:ascii="Times New Roman" w:eastAsia="Times New Roman" w:hAnsi="Times New Roman" w:cs="Times New Roman"/>
                <w:color w:val="auto"/>
                <w:sz w:val="24"/>
                <w:szCs w:val="24"/>
                <w:lang w:eastAsia="es-MX"/>
              </w:rPr>
            </w:pPr>
            <w:r w:rsidRPr="006B23E6">
              <w:rPr>
                <w:rFonts w:ascii="Times New Roman" w:eastAsia="Times New Roman" w:hAnsi="Times New Roman" w:cs="Times New Roman"/>
                <w:color w:val="auto"/>
                <w:sz w:val="24"/>
                <w:szCs w:val="24"/>
                <w:lang w:eastAsia="es-MX"/>
              </w:rPr>
              <w:lastRenderedPageBreak/>
              <w:t>Tabla 3:</w:t>
            </w:r>
          </w:p>
          <w:p w14:paraId="69340F23" w14:textId="77777777" w:rsidR="000A064A" w:rsidRPr="000C3495" w:rsidRDefault="000A064A" w:rsidP="00503D17">
            <w:pPr>
              <w:spacing w:line="360" w:lineRule="auto"/>
              <w:rPr>
                <w:rFonts w:ascii="Times New Roman" w:eastAsia="Times New Roman" w:hAnsi="Times New Roman" w:cs="Times New Roman"/>
                <w:color w:val="auto"/>
                <w:sz w:val="24"/>
                <w:szCs w:val="24"/>
                <w:lang w:eastAsia="es-MX"/>
              </w:rPr>
            </w:pPr>
            <w:r w:rsidRPr="006B23E6">
              <w:rPr>
                <w:rFonts w:ascii="Times New Roman" w:eastAsia="Times New Roman" w:hAnsi="Times New Roman" w:cs="Times New Roman"/>
                <w:color w:val="auto"/>
                <w:sz w:val="24"/>
                <w:szCs w:val="24"/>
                <w:lang w:eastAsia="es-MX"/>
              </w:rPr>
              <w:t>Rendimiento académico por unidades de aprendizaje de la cohorte DIA. Periodo 1</w:t>
            </w:r>
          </w:p>
        </w:tc>
      </w:tr>
      <w:tr w:rsidR="000A064A" w:rsidRPr="00366916" w14:paraId="37369D65" w14:textId="77777777" w:rsidTr="008913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vMerge w:val="restart"/>
            <w:tcBorders>
              <w:top w:val="single" w:sz="4" w:space="0" w:color="auto"/>
            </w:tcBorders>
            <w:noWrap/>
            <w:hideMark/>
          </w:tcPr>
          <w:p w14:paraId="5FFA35E9" w14:textId="77777777" w:rsidR="000A064A" w:rsidRPr="000C3495" w:rsidRDefault="000A064A" w:rsidP="00891307">
            <w:pPr>
              <w:rPr>
                <w:rFonts w:ascii="Times New Roman" w:eastAsia="Times New Roman" w:hAnsi="Times New Roman" w:cs="Times New Roman"/>
                <w:sz w:val="24"/>
                <w:szCs w:val="24"/>
                <w:lang w:eastAsia="es-MX"/>
              </w:rPr>
            </w:pPr>
          </w:p>
        </w:tc>
        <w:tc>
          <w:tcPr>
            <w:tcW w:w="6199" w:type="dxa"/>
            <w:gridSpan w:val="8"/>
            <w:tcBorders>
              <w:top w:val="single" w:sz="4" w:space="0" w:color="auto"/>
            </w:tcBorders>
            <w:noWrap/>
            <w:hideMark/>
          </w:tcPr>
          <w:p w14:paraId="1CF32747" w14:textId="77777777" w:rsidR="000A064A" w:rsidRPr="000C3495" w:rsidRDefault="000A064A" w:rsidP="008913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366916">
              <w:rPr>
                <w:rFonts w:ascii="Times New Roman" w:eastAsia="Times New Roman" w:hAnsi="Times New Roman" w:cs="Times New Roman"/>
                <w:sz w:val="24"/>
                <w:szCs w:val="24"/>
                <w:lang w:eastAsia="es-MX"/>
              </w:rPr>
              <w:t>Unidades de Aprendizaje</w:t>
            </w:r>
          </w:p>
        </w:tc>
      </w:tr>
      <w:tr w:rsidR="000A064A" w:rsidRPr="00366916" w14:paraId="5D866490" w14:textId="77777777" w:rsidTr="00891307">
        <w:trPr>
          <w:trHeight w:val="300"/>
        </w:trPr>
        <w:tc>
          <w:tcPr>
            <w:cnfStyle w:val="001000000000" w:firstRow="0" w:lastRow="0" w:firstColumn="1" w:lastColumn="0" w:oddVBand="0" w:evenVBand="0" w:oddHBand="0" w:evenHBand="0" w:firstRowFirstColumn="0" w:firstRowLastColumn="0" w:lastRowFirstColumn="0" w:lastRowLastColumn="0"/>
            <w:tcW w:w="2830" w:type="dxa"/>
            <w:vMerge/>
            <w:noWrap/>
          </w:tcPr>
          <w:p w14:paraId="4540F3EC" w14:textId="77777777" w:rsidR="000A064A" w:rsidRPr="00366916" w:rsidRDefault="000A064A" w:rsidP="00891307">
            <w:pPr>
              <w:rPr>
                <w:rFonts w:ascii="Times New Roman" w:eastAsia="Times New Roman" w:hAnsi="Times New Roman" w:cs="Times New Roman"/>
                <w:sz w:val="24"/>
                <w:szCs w:val="24"/>
                <w:lang w:eastAsia="es-MX"/>
              </w:rPr>
            </w:pPr>
          </w:p>
        </w:tc>
        <w:tc>
          <w:tcPr>
            <w:tcW w:w="850" w:type="dxa"/>
            <w:noWrap/>
          </w:tcPr>
          <w:p w14:paraId="67DA8278" w14:textId="77777777" w:rsidR="000A064A" w:rsidRPr="00366916" w:rsidRDefault="000A064A"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lang w:eastAsia="es-MX"/>
              </w:rPr>
            </w:pPr>
            <w:r w:rsidRPr="00366916">
              <w:rPr>
                <w:rFonts w:ascii="Times New Roman" w:eastAsia="Times New Roman" w:hAnsi="Times New Roman" w:cs="Times New Roman"/>
                <w:sz w:val="24"/>
                <w:szCs w:val="24"/>
                <w:lang w:eastAsia="es-MX"/>
              </w:rPr>
              <w:t>1</w:t>
            </w:r>
            <w:r w:rsidRPr="00366916">
              <w:rPr>
                <w:rFonts w:ascii="Times New Roman" w:eastAsia="Times New Roman" w:hAnsi="Times New Roman" w:cs="Times New Roman"/>
                <w:sz w:val="24"/>
                <w:szCs w:val="24"/>
                <w:vertAlign w:val="superscript"/>
                <w:lang w:eastAsia="es-MX"/>
              </w:rPr>
              <w:t>a</w:t>
            </w:r>
          </w:p>
        </w:tc>
        <w:tc>
          <w:tcPr>
            <w:tcW w:w="709" w:type="dxa"/>
            <w:noWrap/>
          </w:tcPr>
          <w:p w14:paraId="44CC1859" w14:textId="77777777" w:rsidR="000A064A" w:rsidRPr="00366916" w:rsidRDefault="000A064A"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lang w:eastAsia="es-MX"/>
              </w:rPr>
            </w:pPr>
            <w:r w:rsidRPr="00366916">
              <w:rPr>
                <w:rFonts w:ascii="Times New Roman" w:eastAsia="Times New Roman" w:hAnsi="Times New Roman" w:cs="Times New Roman"/>
                <w:sz w:val="24"/>
                <w:szCs w:val="24"/>
                <w:lang w:eastAsia="es-MX"/>
              </w:rPr>
              <w:t>2</w:t>
            </w:r>
            <w:r w:rsidRPr="00366916">
              <w:rPr>
                <w:rFonts w:ascii="Times New Roman" w:eastAsia="Times New Roman" w:hAnsi="Times New Roman" w:cs="Times New Roman"/>
                <w:sz w:val="24"/>
                <w:szCs w:val="24"/>
                <w:vertAlign w:val="superscript"/>
                <w:lang w:eastAsia="es-MX"/>
              </w:rPr>
              <w:t>b</w:t>
            </w:r>
          </w:p>
        </w:tc>
        <w:tc>
          <w:tcPr>
            <w:tcW w:w="740" w:type="dxa"/>
            <w:noWrap/>
          </w:tcPr>
          <w:p w14:paraId="64CEF79B" w14:textId="77777777" w:rsidR="000A064A" w:rsidRPr="00366916" w:rsidRDefault="000A064A"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lang w:eastAsia="es-MX"/>
              </w:rPr>
            </w:pPr>
            <w:r w:rsidRPr="00366916">
              <w:rPr>
                <w:rFonts w:ascii="Times New Roman" w:eastAsia="Times New Roman" w:hAnsi="Times New Roman" w:cs="Times New Roman"/>
                <w:sz w:val="24"/>
                <w:szCs w:val="24"/>
                <w:lang w:eastAsia="es-MX"/>
              </w:rPr>
              <w:t>3</w:t>
            </w:r>
            <w:r w:rsidRPr="00366916">
              <w:rPr>
                <w:rFonts w:ascii="Times New Roman" w:eastAsia="Times New Roman" w:hAnsi="Times New Roman" w:cs="Times New Roman"/>
                <w:sz w:val="24"/>
                <w:szCs w:val="24"/>
                <w:vertAlign w:val="superscript"/>
                <w:lang w:eastAsia="es-MX"/>
              </w:rPr>
              <w:t>c</w:t>
            </w:r>
          </w:p>
        </w:tc>
        <w:tc>
          <w:tcPr>
            <w:tcW w:w="740" w:type="dxa"/>
            <w:noWrap/>
          </w:tcPr>
          <w:p w14:paraId="72FDD703" w14:textId="77777777" w:rsidR="000A064A" w:rsidRPr="00366916" w:rsidRDefault="000A064A"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lang w:eastAsia="es-MX"/>
              </w:rPr>
            </w:pPr>
            <w:r w:rsidRPr="00366916">
              <w:rPr>
                <w:rFonts w:ascii="Times New Roman" w:eastAsia="Times New Roman" w:hAnsi="Times New Roman" w:cs="Times New Roman"/>
                <w:sz w:val="24"/>
                <w:szCs w:val="24"/>
                <w:lang w:eastAsia="es-MX"/>
              </w:rPr>
              <w:t>4</w:t>
            </w:r>
            <w:r w:rsidRPr="00366916">
              <w:rPr>
                <w:rFonts w:ascii="Times New Roman" w:eastAsia="Times New Roman" w:hAnsi="Times New Roman" w:cs="Times New Roman"/>
                <w:sz w:val="24"/>
                <w:szCs w:val="24"/>
                <w:vertAlign w:val="superscript"/>
                <w:lang w:eastAsia="es-MX"/>
              </w:rPr>
              <w:t>d</w:t>
            </w:r>
          </w:p>
        </w:tc>
        <w:tc>
          <w:tcPr>
            <w:tcW w:w="740" w:type="dxa"/>
            <w:noWrap/>
          </w:tcPr>
          <w:p w14:paraId="0F2E88E7" w14:textId="77777777" w:rsidR="000A064A" w:rsidRPr="00366916" w:rsidRDefault="000A064A"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lang w:eastAsia="es-MX"/>
              </w:rPr>
            </w:pPr>
            <w:r w:rsidRPr="00366916">
              <w:rPr>
                <w:rFonts w:ascii="Times New Roman" w:eastAsia="Times New Roman" w:hAnsi="Times New Roman" w:cs="Times New Roman"/>
                <w:sz w:val="24"/>
                <w:szCs w:val="24"/>
                <w:lang w:eastAsia="es-MX"/>
              </w:rPr>
              <w:t>5</w:t>
            </w:r>
            <w:r w:rsidRPr="00366916">
              <w:rPr>
                <w:rFonts w:ascii="Times New Roman" w:eastAsia="Times New Roman" w:hAnsi="Times New Roman" w:cs="Times New Roman"/>
                <w:sz w:val="24"/>
                <w:szCs w:val="24"/>
                <w:vertAlign w:val="superscript"/>
                <w:lang w:eastAsia="es-MX"/>
              </w:rPr>
              <w:t>e</w:t>
            </w:r>
          </w:p>
        </w:tc>
        <w:tc>
          <w:tcPr>
            <w:tcW w:w="760" w:type="dxa"/>
            <w:noWrap/>
          </w:tcPr>
          <w:p w14:paraId="0746AE4F" w14:textId="77777777" w:rsidR="000A064A" w:rsidRPr="00366916" w:rsidRDefault="000A064A"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lang w:eastAsia="es-MX"/>
              </w:rPr>
            </w:pPr>
            <w:r w:rsidRPr="00366916">
              <w:rPr>
                <w:rFonts w:ascii="Times New Roman" w:eastAsia="Times New Roman" w:hAnsi="Times New Roman" w:cs="Times New Roman"/>
                <w:sz w:val="24"/>
                <w:szCs w:val="24"/>
                <w:lang w:eastAsia="es-MX"/>
              </w:rPr>
              <w:t>6</w:t>
            </w:r>
            <w:r w:rsidRPr="00366916">
              <w:rPr>
                <w:rFonts w:ascii="Times New Roman" w:eastAsia="Times New Roman" w:hAnsi="Times New Roman" w:cs="Times New Roman"/>
                <w:sz w:val="24"/>
                <w:szCs w:val="24"/>
                <w:vertAlign w:val="superscript"/>
                <w:lang w:eastAsia="es-MX"/>
              </w:rPr>
              <w:t>f</w:t>
            </w:r>
          </w:p>
        </w:tc>
        <w:tc>
          <w:tcPr>
            <w:tcW w:w="780" w:type="dxa"/>
            <w:noWrap/>
          </w:tcPr>
          <w:p w14:paraId="3D99BC81" w14:textId="77777777" w:rsidR="000A064A" w:rsidRPr="00366916" w:rsidRDefault="000A064A"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lang w:eastAsia="es-MX"/>
              </w:rPr>
            </w:pPr>
            <w:r w:rsidRPr="00366916">
              <w:rPr>
                <w:rFonts w:ascii="Times New Roman" w:eastAsia="Times New Roman" w:hAnsi="Times New Roman" w:cs="Times New Roman"/>
                <w:sz w:val="24"/>
                <w:szCs w:val="24"/>
                <w:lang w:eastAsia="es-MX"/>
              </w:rPr>
              <w:t>7</w:t>
            </w:r>
            <w:r w:rsidRPr="00366916">
              <w:rPr>
                <w:rFonts w:ascii="Times New Roman" w:eastAsia="Times New Roman" w:hAnsi="Times New Roman" w:cs="Times New Roman"/>
                <w:sz w:val="24"/>
                <w:szCs w:val="24"/>
                <w:vertAlign w:val="superscript"/>
                <w:lang w:eastAsia="es-MX"/>
              </w:rPr>
              <w:t>g</w:t>
            </w:r>
          </w:p>
        </w:tc>
        <w:tc>
          <w:tcPr>
            <w:tcW w:w="880" w:type="dxa"/>
            <w:noWrap/>
          </w:tcPr>
          <w:p w14:paraId="4DE1765B" w14:textId="77777777" w:rsidR="000A064A" w:rsidRPr="00366916" w:rsidRDefault="000A064A"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vertAlign w:val="superscript"/>
                <w:lang w:eastAsia="es-MX"/>
              </w:rPr>
            </w:pPr>
            <w:r w:rsidRPr="00366916">
              <w:rPr>
                <w:rFonts w:ascii="Times New Roman" w:eastAsia="Times New Roman" w:hAnsi="Times New Roman" w:cs="Times New Roman"/>
                <w:sz w:val="24"/>
                <w:szCs w:val="24"/>
                <w:lang w:eastAsia="es-MX"/>
              </w:rPr>
              <w:t>8</w:t>
            </w:r>
            <w:r w:rsidRPr="00366916">
              <w:rPr>
                <w:rFonts w:ascii="Times New Roman" w:eastAsia="Times New Roman" w:hAnsi="Times New Roman" w:cs="Times New Roman"/>
                <w:sz w:val="24"/>
                <w:szCs w:val="24"/>
                <w:vertAlign w:val="superscript"/>
                <w:lang w:eastAsia="es-MX"/>
              </w:rPr>
              <w:t>h</w:t>
            </w:r>
          </w:p>
        </w:tc>
      </w:tr>
      <w:tr w:rsidR="000A064A" w:rsidRPr="000C3495" w14:paraId="52BD28DB" w14:textId="77777777" w:rsidTr="008913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noWrap/>
            <w:hideMark/>
          </w:tcPr>
          <w:p w14:paraId="07CCCA8C" w14:textId="77777777" w:rsidR="000A064A" w:rsidRPr="000C3495" w:rsidRDefault="000A064A" w:rsidP="00891307">
            <w:pPr>
              <w:jc w:val="right"/>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MEDIA ARITMÉTICA</w:t>
            </w:r>
          </w:p>
        </w:tc>
        <w:tc>
          <w:tcPr>
            <w:tcW w:w="850" w:type="dxa"/>
            <w:noWrap/>
            <w:hideMark/>
          </w:tcPr>
          <w:p w14:paraId="5683155B" w14:textId="77777777" w:rsidR="000A064A" w:rsidRPr="000C3495" w:rsidRDefault="000A064A" w:rsidP="008913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7.42</w:t>
            </w:r>
          </w:p>
        </w:tc>
        <w:tc>
          <w:tcPr>
            <w:tcW w:w="709" w:type="dxa"/>
            <w:noWrap/>
            <w:hideMark/>
          </w:tcPr>
          <w:p w14:paraId="7DD71C3F" w14:textId="77777777" w:rsidR="000A064A" w:rsidRPr="000C3495" w:rsidRDefault="000A064A" w:rsidP="008913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7.88</w:t>
            </w:r>
          </w:p>
        </w:tc>
        <w:tc>
          <w:tcPr>
            <w:tcW w:w="740" w:type="dxa"/>
            <w:noWrap/>
            <w:hideMark/>
          </w:tcPr>
          <w:p w14:paraId="40639512" w14:textId="77777777" w:rsidR="000A064A" w:rsidRPr="000C3495" w:rsidRDefault="000A064A" w:rsidP="008913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7.34</w:t>
            </w:r>
          </w:p>
        </w:tc>
        <w:tc>
          <w:tcPr>
            <w:tcW w:w="740" w:type="dxa"/>
            <w:noWrap/>
            <w:hideMark/>
          </w:tcPr>
          <w:p w14:paraId="475ABADD" w14:textId="77777777" w:rsidR="000A064A" w:rsidRPr="000C3495" w:rsidRDefault="000A064A" w:rsidP="008913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7.23</w:t>
            </w:r>
          </w:p>
        </w:tc>
        <w:tc>
          <w:tcPr>
            <w:tcW w:w="740" w:type="dxa"/>
            <w:noWrap/>
            <w:hideMark/>
          </w:tcPr>
          <w:p w14:paraId="7EBF9CA1" w14:textId="77777777" w:rsidR="000A064A" w:rsidRPr="000C3495" w:rsidRDefault="000A064A" w:rsidP="008913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7.65</w:t>
            </w:r>
          </w:p>
        </w:tc>
        <w:tc>
          <w:tcPr>
            <w:tcW w:w="760" w:type="dxa"/>
            <w:noWrap/>
            <w:hideMark/>
          </w:tcPr>
          <w:p w14:paraId="17E8BF5B" w14:textId="77777777" w:rsidR="000A064A" w:rsidRPr="000C3495" w:rsidRDefault="000A064A" w:rsidP="008913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7.92</w:t>
            </w:r>
          </w:p>
        </w:tc>
        <w:tc>
          <w:tcPr>
            <w:tcW w:w="780" w:type="dxa"/>
            <w:noWrap/>
            <w:hideMark/>
          </w:tcPr>
          <w:p w14:paraId="5701CB11" w14:textId="77777777" w:rsidR="000A064A" w:rsidRPr="000C3495" w:rsidRDefault="000A064A" w:rsidP="008913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8.71</w:t>
            </w:r>
          </w:p>
        </w:tc>
        <w:tc>
          <w:tcPr>
            <w:tcW w:w="880" w:type="dxa"/>
            <w:noWrap/>
            <w:hideMark/>
          </w:tcPr>
          <w:p w14:paraId="7AD8302D" w14:textId="77777777" w:rsidR="000A064A" w:rsidRPr="000C3495" w:rsidRDefault="000A064A" w:rsidP="008913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6.13</w:t>
            </w:r>
          </w:p>
        </w:tc>
      </w:tr>
      <w:tr w:rsidR="000A064A" w:rsidRPr="000C3495" w14:paraId="4EC099AD" w14:textId="77777777" w:rsidTr="00891307">
        <w:trPr>
          <w:trHeight w:val="30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79646" w:themeColor="accent6"/>
              <w:bottom w:val="single" w:sz="4" w:space="0" w:color="auto"/>
            </w:tcBorders>
            <w:noWrap/>
            <w:hideMark/>
          </w:tcPr>
          <w:p w14:paraId="3DD532CC" w14:textId="77777777" w:rsidR="000A064A" w:rsidRPr="000C3495" w:rsidRDefault="000A064A" w:rsidP="00891307">
            <w:pPr>
              <w:jc w:val="right"/>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desviación estándar</w:t>
            </w:r>
          </w:p>
        </w:tc>
        <w:tc>
          <w:tcPr>
            <w:tcW w:w="850" w:type="dxa"/>
            <w:tcBorders>
              <w:top w:val="single" w:sz="4" w:space="0" w:color="F79646" w:themeColor="accent6"/>
              <w:bottom w:val="single" w:sz="4" w:space="0" w:color="auto"/>
            </w:tcBorders>
            <w:noWrap/>
            <w:hideMark/>
          </w:tcPr>
          <w:p w14:paraId="370AA2C3" w14:textId="77777777" w:rsidR="000A064A" w:rsidRPr="000C3495" w:rsidRDefault="000A064A"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2.48</w:t>
            </w:r>
          </w:p>
        </w:tc>
        <w:tc>
          <w:tcPr>
            <w:tcW w:w="709" w:type="dxa"/>
            <w:tcBorders>
              <w:top w:val="single" w:sz="4" w:space="0" w:color="F79646" w:themeColor="accent6"/>
              <w:bottom w:val="single" w:sz="4" w:space="0" w:color="auto"/>
            </w:tcBorders>
            <w:noWrap/>
            <w:hideMark/>
          </w:tcPr>
          <w:p w14:paraId="2E12E6D6" w14:textId="77777777" w:rsidR="000A064A" w:rsidRPr="000C3495" w:rsidRDefault="000A064A"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1.95</w:t>
            </w:r>
          </w:p>
        </w:tc>
        <w:tc>
          <w:tcPr>
            <w:tcW w:w="740" w:type="dxa"/>
            <w:tcBorders>
              <w:top w:val="single" w:sz="4" w:space="0" w:color="F79646" w:themeColor="accent6"/>
              <w:bottom w:val="single" w:sz="4" w:space="0" w:color="auto"/>
            </w:tcBorders>
            <w:noWrap/>
            <w:hideMark/>
          </w:tcPr>
          <w:p w14:paraId="262E6AF9" w14:textId="77777777" w:rsidR="000A064A" w:rsidRPr="000C3495" w:rsidRDefault="000A064A"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2.62</w:t>
            </w:r>
          </w:p>
        </w:tc>
        <w:tc>
          <w:tcPr>
            <w:tcW w:w="740" w:type="dxa"/>
            <w:tcBorders>
              <w:top w:val="single" w:sz="4" w:space="0" w:color="F79646" w:themeColor="accent6"/>
              <w:bottom w:val="single" w:sz="4" w:space="0" w:color="auto"/>
            </w:tcBorders>
            <w:noWrap/>
            <w:hideMark/>
          </w:tcPr>
          <w:p w14:paraId="5DCA9405" w14:textId="77777777" w:rsidR="000A064A" w:rsidRPr="000C3495" w:rsidRDefault="000A064A"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2.58</w:t>
            </w:r>
          </w:p>
        </w:tc>
        <w:tc>
          <w:tcPr>
            <w:tcW w:w="740" w:type="dxa"/>
            <w:tcBorders>
              <w:top w:val="single" w:sz="4" w:space="0" w:color="F79646" w:themeColor="accent6"/>
              <w:bottom w:val="single" w:sz="4" w:space="0" w:color="auto"/>
            </w:tcBorders>
            <w:noWrap/>
            <w:hideMark/>
          </w:tcPr>
          <w:p w14:paraId="3F9D5B2F" w14:textId="77777777" w:rsidR="000A064A" w:rsidRPr="000C3495" w:rsidRDefault="000A064A"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1.71</w:t>
            </w:r>
          </w:p>
        </w:tc>
        <w:tc>
          <w:tcPr>
            <w:tcW w:w="760" w:type="dxa"/>
            <w:tcBorders>
              <w:top w:val="single" w:sz="4" w:space="0" w:color="F79646" w:themeColor="accent6"/>
              <w:bottom w:val="single" w:sz="4" w:space="0" w:color="auto"/>
            </w:tcBorders>
            <w:noWrap/>
            <w:hideMark/>
          </w:tcPr>
          <w:p w14:paraId="12BFEBF9" w14:textId="77777777" w:rsidR="000A064A" w:rsidRPr="000C3495" w:rsidRDefault="000A064A"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2.19</w:t>
            </w:r>
          </w:p>
        </w:tc>
        <w:tc>
          <w:tcPr>
            <w:tcW w:w="780" w:type="dxa"/>
            <w:tcBorders>
              <w:top w:val="single" w:sz="4" w:space="0" w:color="F79646" w:themeColor="accent6"/>
              <w:bottom w:val="single" w:sz="4" w:space="0" w:color="auto"/>
            </w:tcBorders>
            <w:noWrap/>
            <w:hideMark/>
          </w:tcPr>
          <w:p w14:paraId="67CC7763" w14:textId="77777777" w:rsidR="000A064A" w:rsidRPr="000C3495" w:rsidRDefault="000A064A"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2.31</w:t>
            </w:r>
          </w:p>
        </w:tc>
        <w:tc>
          <w:tcPr>
            <w:tcW w:w="880" w:type="dxa"/>
            <w:tcBorders>
              <w:top w:val="single" w:sz="4" w:space="0" w:color="F79646" w:themeColor="accent6"/>
              <w:bottom w:val="single" w:sz="4" w:space="0" w:color="auto"/>
            </w:tcBorders>
            <w:noWrap/>
            <w:hideMark/>
          </w:tcPr>
          <w:p w14:paraId="2A0CF931" w14:textId="77777777" w:rsidR="000A064A" w:rsidRPr="000C3495" w:rsidRDefault="000A064A"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2.18</w:t>
            </w:r>
          </w:p>
        </w:tc>
      </w:tr>
    </w:tbl>
    <w:p w14:paraId="4DD4699F" w14:textId="77777777" w:rsidR="000A064A" w:rsidRPr="005B4836" w:rsidRDefault="000A064A" w:rsidP="000A064A">
      <w:pPr>
        <w:spacing w:before="240"/>
        <w:rPr>
          <w:rFonts w:ascii="Times New Roman" w:hAnsi="Times New Roman" w:cs="Times New Roman"/>
          <w:bCs/>
          <w:sz w:val="20"/>
          <w:szCs w:val="20"/>
        </w:rPr>
      </w:pPr>
      <w:r w:rsidRPr="005B4836">
        <w:rPr>
          <w:rFonts w:ascii="Times New Roman" w:hAnsi="Times New Roman" w:cs="Times New Roman"/>
          <w:bCs/>
          <w:sz w:val="20"/>
          <w:szCs w:val="20"/>
        </w:rPr>
        <w:t>Elaboración propia utilizando datos proporcionados por el Departamento de Control Escolar</w:t>
      </w:r>
    </w:p>
    <w:p w14:paraId="68E4E88D" w14:textId="77777777" w:rsidR="000A064A" w:rsidRPr="005B4836" w:rsidRDefault="000A064A" w:rsidP="000A064A">
      <w:pPr>
        <w:spacing w:after="0"/>
        <w:rPr>
          <w:rFonts w:ascii="Times New Roman" w:hAnsi="Times New Roman" w:cs="Times New Roman"/>
          <w:bCs/>
          <w:sz w:val="20"/>
          <w:szCs w:val="20"/>
        </w:rPr>
      </w:pPr>
      <w:r w:rsidRPr="005B4836">
        <w:rPr>
          <w:rFonts w:ascii="Times New Roman" w:eastAsia="Times New Roman" w:hAnsi="Times New Roman" w:cs="Times New Roman"/>
          <w:color w:val="000000"/>
          <w:sz w:val="20"/>
          <w:szCs w:val="20"/>
          <w:lang w:eastAsia="es-MX"/>
        </w:rPr>
        <w:t>a  Metodología del Diseño de Interiores;  b  Fundamentos básicos del diseño; c Medios de representación en el plano; d Técnicas de representación básica; e Estilos clásicos;  f Historia del arte antiguo clásico;  g Matemáticas aplicada al diseño;  h Técnicas y medios de investigación</w:t>
      </w:r>
    </w:p>
    <w:p w14:paraId="27CD7631" w14:textId="77777777" w:rsidR="000A064A" w:rsidRDefault="000A064A" w:rsidP="00404CBD">
      <w:pPr>
        <w:spacing w:line="360" w:lineRule="auto"/>
        <w:rPr>
          <w:rFonts w:ascii="Times New Roman" w:hAnsi="Times New Roman" w:cs="Times New Roman"/>
          <w:bCs/>
          <w:sz w:val="24"/>
          <w:szCs w:val="24"/>
        </w:rPr>
      </w:pPr>
    </w:p>
    <w:p w14:paraId="4666C27F" w14:textId="72C02A9E" w:rsidR="00616D91" w:rsidRPr="00B10E89" w:rsidRDefault="00443C8A"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De acuerdo con lo anterior, la asignatura </w:t>
      </w:r>
      <w:r w:rsidR="00CD064A">
        <w:rPr>
          <w:rFonts w:ascii="Times New Roman" w:hAnsi="Times New Roman" w:cs="Times New Roman"/>
          <w:bCs/>
          <w:sz w:val="24"/>
          <w:szCs w:val="24"/>
        </w:rPr>
        <w:t>“</w:t>
      </w:r>
      <w:r>
        <w:rPr>
          <w:rFonts w:ascii="Times New Roman" w:hAnsi="Times New Roman" w:cs="Times New Roman"/>
          <w:bCs/>
          <w:sz w:val="24"/>
          <w:szCs w:val="24"/>
        </w:rPr>
        <w:t>Técnicas y medios de investigación</w:t>
      </w:r>
      <w:r w:rsidR="00CD064A">
        <w:rPr>
          <w:rFonts w:ascii="Times New Roman" w:hAnsi="Times New Roman" w:cs="Times New Roman"/>
          <w:bCs/>
          <w:sz w:val="24"/>
          <w:szCs w:val="24"/>
        </w:rPr>
        <w:t>”</w:t>
      </w:r>
      <w:r>
        <w:rPr>
          <w:rFonts w:ascii="Times New Roman" w:hAnsi="Times New Roman" w:cs="Times New Roman"/>
          <w:bCs/>
          <w:sz w:val="24"/>
          <w:szCs w:val="24"/>
        </w:rPr>
        <w:t xml:space="preserve"> (6.13 &lt; 6.80), se encuentra por debajo del límite inferior del intervalo, situación que invita a profundizar en el análisis de la diversidad de situaciones que se presentaron durante el desarrollo del curso, </w:t>
      </w:r>
      <w:r w:rsidR="00CD064A">
        <w:rPr>
          <w:rFonts w:ascii="Times New Roman" w:hAnsi="Times New Roman" w:cs="Times New Roman"/>
          <w:bCs/>
          <w:sz w:val="24"/>
          <w:szCs w:val="24"/>
        </w:rPr>
        <w:t>para efecto de buscar nuevas estrategias didácticas con el propósito de elevar el rendimiento académico en cursos futuros. Por otro lado, la asignatura “</w:t>
      </w:r>
      <w:r w:rsidR="00CD064A" w:rsidRPr="00CD064A">
        <w:rPr>
          <w:rFonts w:ascii="Times New Roman" w:hAnsi="Times New Roman" w:cs="Times New Roman"/>
          <w:bCs/>
          <w:i/>
          <w:sz w:val="24"/>
          <w:szCs w:val="24"/>
        </w:rPr>
        <w:t>Matemáticas aplicada al diseño</w:t>
      </w:r>
      <w:r w:rsidR="00CD064A">
        <w:rPr>
          <w:rFonts w:ascii="Times New Roman" w:hAnsi="Times New Roman" w:cs="Times New Roman"/>
          <w:bCs/>
          <w:sz w:val="24"/>
          <w:szCs w:val="24"/>
        </w:rPr>
        <w:t xml:space="preserve">” (8.71 &gt; 8.27), presenta un rendimiento académico mayor al del límite superior, por lo que también deberá ser objeto de analizar las estrategias didácticas utilizadas que dan lugar a este resultado. En este caso, con el propósito de replicar los procesos educativos que </w:t>
      </w:r>
      <w:r w:rsidR="000A064A">
        <w:rPr>
          <w:rFonts w:ascii="Times New Roman" w:hAnsi="Times New Roman" w:cs="Times New Roman"/>
          <w:bCs/>
          <w:sz w:val="24"/>
          <w:szCs w:val="24"/>
        </w:rPr>
        <w:t>facilitan</w:t>
      </w:r>
      <w:r w:rsidR="00CD064A">
        <w:rPr>
          <w:rFonts w:ascii="Times New Roman" w:hAnsi="Times New Roman" w:cs="Times New Roman"/>
          <w:bCs/>
          <w:sz w:val="24"/>
          <w:szCs w:val="24"/>
        </w:rPr>
        <w:t xml:space="preserve"> a los </w:t>
      </w:r>
      <w:r w:rsidR="00CD064A" w:rsidRPr="00B10E89">
        <w:rPr>
          <w:rFonts w:ascii="Times New Roman" w:hAnsi="Times New Roman" w:cs="Times New Roman"/>
          <w:bCs/>
          <w:sz w:val="24"/>
          <w:szCs w:val="24"/>
        </w:rPr>
        <w:t xml:space="preserve">alumnos </w:t>
      </w:r>
      <w:r w:rsidR="000A064A" w:rsidRPr="00B10E89">
        <w:rPr>
          <w:rFonts w:ascii="Times New Roman" w:hAnsi="Times New Roman" w:cs="Times New Roman"/>
          <w:bCs/>
          <w:sz w:val="24"/>
          <w:szCs w:val="24"/>
        </w:rPr>
        <w:t xml:space="preserve">el aprendizaje, elevar su nivel de conocimiento y el rendimiento académico. </w:t>
      </w:r>
      <w:r w:rsidR="00CD064A" w:rsidRPr="00B10E89">
        <w:rPr>
          <w:rFonts w:ascii="Times New Roman" w:hAnsi="Times New Roman" w:cs="Times New Roman"/>
          <w:bCs/>
          <w:sz w:val="24"/>
          <w:szCs w:val="24"/>
        </w:rPr>
        <w:t xml:space="preserve"> </w:t>
      </w:r>
    </w:p>
    <w:p w14:paraId="36C96FEE" w14:textId="6033CD21" w:rsidR="00366916" w:rsidRPr="00B10E89" w:rsidRDefault="000A064A" w:rsidP="002363C6">
      <w:pPr>
        <w:spacing w:line="360" w:lineRule="auto"/>
        <w:jc w:val="both"/>
        <w:rPr>
          <w:rFonts w:ascii="Times New Roman" w:hAnsi="Times New Roman" w:cs="Times New Roman"/>
          <w:bCs/>
          <w:sz w:val="24"/>
          <w:szCs w:val="24"/>
        </w:rPr>
      </w:pPr>
      <w:r w:rsidRPr="00B10E89">
        <w:rPr>
          <w:rFonts w:ascii="Times New Roman" w:hAnsi="Times New Roman" w:cs="Times New Roman"/>
          <w:bCs/>
          <w:sz w:val="24"/>
          <w:szCs w:val="24"/>
        </w:rPr>
        <w:t xml:space="preserve">De los factores que se deben valorar para encontrar una explicación del por qué se han obtenido mejores resultados, de entrada hay algunos que se pueden descartar. </w:t>
      </w:r>
      <w:r w:rsidR="00F248D4">
        <w:rPr>
          <w:rFonts w:ascii="Times New Roman" w:hAnsi="Times New Roman" w:cs="Times New Roman"/>
          <w:bCs/>
          <w:sz w:val="24"/>
          <w:szCs w:val="24"/>
        </w:rPr>
        <w:t>El factor, alumno, pueden dejarse de lado en el análisis</w:t>
      </w:r>
      <w:r w:rsidRPr="00B10E89">
        <w:rPr>
          <w:rFonts w:ascii="Times New Roman" w:hAnsi="Times New Roman" w:cs="Times New Roman"/>
          <w:bCs/>
          <w:sz w:val="24"/>
          <w:szCs w:val="24"/>
        </w:rPr>
        <w:t xml:space="preserve"> puesto que </w:t>
      </w:r>
      <w:r w:rsidR="00F248D4">
        <w:rPr>
          <w:rFonts w:ascii="Times New Roman" w:hAnsi="Times New Roman" w:cs="Times New Roman"/>
          <w:bCs/>
          <w:sz w:val="24"/>
          <w:szCs w:val="24"/>
        </w:rPr>
        <w:t>ellos</w:t>
      </w:r>
      <w:r w:rsidRPr="00B10E89">
        <w:rPr>
          <w:rFonts w:ascii="Times New Roman" w:hAnsi="Times New Roman" w:cs="Times New Roman"/>
          <w:bCs/>
          <w:sz w:val="24"/>
          <w:szCs w:val="24"/>
        </w:rPr>
        <w:t xml:space="preserve"> </w:t>
      </w:r>
      <w:r w:rsidR="00F248D4">
        <w:rPr>
          <w:rFonts w:ascii="Times New Roman" w:hAnsi="Times New Roman" w:cs="Times New Roman"/>
          <w:bCs/>
          <w:sz w:val="24"/>
          <w:szCs w:val="24"/>
        </w:rPr>
        <w:t xml:space="preserve">son actores en todas las asignaturas, en consecuencia no son la variable que hace la diferencia. Otro factor es </w:t>
      </w:r>
      <w:r w:rsidR="00B10E89" w:rsidRPr="00B10E89">
        <w:rPr>
          <w:rFonts w:ascii="Times New Roman" w:hAnsi="Times New Roman" w:cs="Times New Roman"/>
          <w:bCs/>
          <w:sz w:val="24"/>
          <w:szCs w:val="24"/>
        </w:rPr>
        <w:t xml:space="preserve">el área de conocimiento, es decir, si el contenido es de fácil comprensión y asimilación, </w:t>
      </w:r>
      <w:r w:rsidR="00F248D4">
        <w:rPr>
          <w:rFonts w:ascii="Times New Roman" w:hAnsi="Times New Roman" w:cs="Times New Roman"/>
          <w:bCs/>
          <w:sz w:val="24"/>
          <w:szCs w:val="24"/>
        </w:rPr>
        <w:t xml:space="preserve">se espera un alto rendimiento académico, sin embargo, </w:t>
      </w:r>
      <w:r w:rsidR="00B10E89" w:rsidRPr="00B10E89">
        <w:rPr>
          <w:rFonts w:ascii="Times New Roman" w:hAnsi="Times New Roman" w:cs="Times New Roman"/>
          <w:bCs/>
          <w:sz w:val="24"/>
          <w:szCs w:val="24"/>
        </w:rPr>
        <w:t>se tienen indicadores que dicen lo contrario</w:t>
      </w:r>
      <w:r w:rsidR="00F248D4">
        <w:rPr>
          <w:rFonts w:ascii="Times New Roman" w:hAnsi="Times New Roman" w:cs="Times New Roman"/>
          <w:bCs/>
          <w:sz w:val="24"/>
          <w:szCs w:val="24"/>
        </w:rPr>
        <w:t xml:space="preserve"> por lo que se esperaría un menor rendimiento académico</w:t>
      </w:r>
      <w:r w:rsidR="00B10E89" w:rsidRPr="00B10E89">
        <w:rPr>
          <w:rFonts w:ascii="Times New Roman" w:hAnsi="Times New Roman" w:cs="Times New Roman"/>
          <w:bCs/>
          <w:sz w:val="24"/>
          <w:szCs w:val="24"/>
        </w:rPr>
        <w:t xml:space="preserve">. Lo que hace la diferencia puede estar en las estrategias de enseñanza implementadas por el profesor, </w:t>
      </w:r>
      <w:r w:rsidR="00F248D4">
        <w:rPr>
          <w:rFonts w:ascii="Times New Roman" w:hAnsi="Times New Roman" w:cs="Times New Roman"/>
          <w:bCs/>
          <w:sz w:val="24"/>
          <w:szCs w:val="24"/>
        </w:rPr>
        <w:t xml:space="preserve">en </w:t>
      </w:r>
      <w:r w:rsidR="00B10E89" w:rsidRPr="00B10E89">
        <w:rPr>
          <w:rFonts w:ascii="Times New Roman" w:hAnsi="Times New Roman" w:cs="Times New Roman"/>
          <w:bCs/>
          <w:sz w:val="24"/>
          <w:szCs w:val="24"/>
        </w:rPr>
        <w:t>las estrategias de aprendizaje que implementaron los alumnos</w:t>
      </w:r>
      <w:r w:rsidR="00F248D4">
        <w:rPr>
          <w:rFonts w:ascii="Times New Roman" w:hAnsi="Times New Roman" w:cs="Times New Roman"/>
          <w:bCs/>
          <w:sz w:val="24"/>
          <w:szCs w:val="24"/>
        </w:rPr>
        <w:t xml:space="preserve">, </w:t>
      </w:r>
      <w:r w:rsidR="00B10E89" w:rsidRPr="00B10E89">
        <w:rPr>
          <w:rFonts w:ascii="Times New Roman" w:hAnsi="Times New Roman" w:cs="Times New Roman"/>
          <w:bCs/>
          <w:sz w:val="24"/>
          <w:szCs w:val="24"/>
        </w:rPr>
        <w:t xml:space="preserve"> </w:t>
      </w:r>
      <w:r w:rsidR="00F248D4">
        <w:rPr>
          <w:rFonts w:ascii="Times New Roman" w:hAnsi="Times New Roman" w:cs="Times New Roman"/>
          <w:bCs/>
          <w:sz w:val="24"/>
          <w:szCs w:val="24"/>
        </w:rPr>
        <w:t>en</w:t>
      </w:r>
      <w:r w:rsidR="00B10E89" w:rsidRPr="00B10E89">
        <w:rPr>
          <w:rFonts w:ascii="Times New Roman" w:hAnsi="Times New Roman" w:cs="Times New Roman"/>
          <w:bCs/>
          <w:sz w:val="24"/>
          <w:szCs w:val="24"/>
        </w:rPr>
        <w:t xml:space="preserve"> las estrategias de evaluación y </w:t>
      </w:r>
      <w:r w:rsidR="00F248D4">
        <w:rPr>
          <w:rFonts w:ascii="Times New Roman" w:hAnsi="Times New Roman" w:cs="Times New Roman"/>
          <w:bCs/>
          <w:sz w:val="24"/>
          <w:szCs w:val="24"/>
        </w:rPr>
        <w:t xml:space="preserve">en </w:t>
      </w:r>
      <w:r w:rsidR="00B10E89" w:rsidRPr="00B10E89">
        <w:rPr>
          <w:rFonts w:ascii="Times New Roman" w:hAnsi="Times New Roman" w:cs="Times New Roman"/>
          <w:bCs/>
          <w:sz w:val="24"/>
          <w:szCs w:val="24"/>
        </w:rPr>
        <w:t>los producto</w:t>
      </w:r>
      <w:r w:rsidR="00F248D4">
        <w:rPr>
          <w:rFonts w:ascii="Times New Roman" w:hAnsi="Times New Roman" w:cs="Times New Roman"/>
          <w:bCs/>
          <w:sz w:val="24"/>
          <w:szCs w:val="24"/>
        </w:rPr>
        <w:t>s</w:t>
      </w:r>
      <w:r w:rsidR="00B10E89" w:rsidRPr="00B10E89">
        <w:rPr>
          <w:rFonts w:ascii="Times New Roman" w:hAnsi="Times New Roman" w:cs="Times New Roman"/>
          <w:bCs/>
          <w:sz w:val="24"/>
          <w:szCs w:val="24"/>
        </w:rPr>
        <w:t xml:space="preserve"> que muestran el nivel de habilitación matemática de los estudiantes.</w:t>
      </w:r>
    </w:p>
    <w:tbl>
      <w:tblPr>
        <w:tblStyle w:val="ListTable3Accent6"/>
        <w:tblW w:w="8973" w:type="dxa"/>
        <w:tblLook w:val="04A0" w:firstRow="1" w:lastRow="0" w:firstColumn="1" w:lastColumn="0" w:noHBand="0" w:noVBand="1"/>
      </w:tblPr>
      <w:tblGrid>
        <w:gridCol w:w="2830"/>
        <w:gridCol w:w="851"/>
        <w:gridCol w:w="709"/>
        <w:gridCol w:w="642"/>
        <w:gridCol w:w="940"/>
        <w:gridCol w:w="642"/>
        <w:gridCol w:w="708"/>
        <w:gridCol w:w="851"/>
        <w:gridCol w:w="800"/>
      </w:tblGrid>
      <w:tr w:rsidR="006B23E6" w:rsidRPr="006B23E6" w14:paraId="2A5A0A2A" w14:textId="77777777" w:rsidTr="0023766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973" w:type="dxa"/>
            <w:gridSpan w:val="9"/>
            <w:tcBorders>
              <w:top w:val="single" w:sz="4" w:space="0" w:color="F79646" w:themeColor="accent6"/>
              <w:bottom w:val="single" w:sz="4" w:space="0" w:color="auto"/>
            </w:tcBorders>
            <w:noWrap/>
            <w:hideMark/>
          </w:tcPr>
          <w:p w14:paraId="6F09F213" w14:textId="2CA60BC0" w:rsidR="000C3495" w:rsidRPr="006B23E6" w:rsidRDefault="000C3495" w:rsidP="00503D17">
            <w:pPr>
              <w:spacing w:line="360" w:lineRule="auto"/>
              <w:rPr>
                <w:rFonts w:ascii="Times New Roman" w:eastAsia="Times New Roman" w:hAnsi="Times New Roman" w:cs="Times New Roman"/>
                <w:color w:val="auto"/>
                <w:sz w:val="24"/>
                <w:szCs w:val="24"/>
                <w:lang w:eastAsia="es-MX"/>
              </w:rPr>
            </w:pPr>
            <w:r w:rsidRPr="006B23E6">
              <w:rPr>
                <w:rFonts w:ascii="Times New Roman" w:eastAsia="Times New Roman" w:hAnsi="Times New Roman" w:cs="Times New Roman"/>
                <w:color w:val="auto"/>
                <w:sz w:val="24"/>
                <w:szCs w:val="24"/>
                <w:lang w:eastAsia="es-MX"/>
              </w:rPr>
              <w:lastRenderedPageBreak/>
              <w:t>Tabla</w:t>
            </w:r>
            <w:r w:rsidR="0023766D" w:rsidRPr="006B23E6">
              <w:rPr>
                <w:rFonts w:ascii="Times New Roman" w:eastAsia="Times New Roman" w:hAnsi="Times New Roman" w:cs="Times New Roman"/>
                <w:color w:val="auto"/>
                <w:sz w:val="24"/>
                <w:szCs w:val="24"/>
                <w:lang w:eastAsia="es-MX"/>
              </w:rPr>
              <w:t xml:space="preserve"> 4:</w:t>
            </w:r>
          </w:p>
          <w:p w14:paraId="68D0B91A" w14:textId="6298A04D" w:rsidR="000C3495" w:rsidRPr="000C3495" w:rsidRDefault="000C3495" w:rsidP="00503D17">
            <w:pPr>
              <w:spacing w:line="360" w:lineRule="auto"/>
              <w:rPr>
                <w:rFonts w:ascii="Times New Roman" w:eastAsia="Times New Roman" w:hAnsi="Times New Roman" w:cs="Times New Roman"/>
                <w:color w:val="auto"/>
                <w:sz w:val="24"/>
                <w:szCs w:val="24"/>
                <w:lang w:eastAsia="es-MX"/>
              </w:rPr>
            </w:pPr>
            <w:r w:rsidRPr="006B23E6">
              <w:rPr>
                <w:rFonts w:ascii="Times New Roman" w:eastAsia="Times New Roman" w:hAnsi="Times New Roman" w:cs="Times New Roman"/>
                <w:color w:val="auto"/>
                <w:sz w:val="24"/>
                <w:szCs w:val="24"/>
                <w:lang w:eastAsia="es-MX"/>
              </w:rPr>
              <w:t>Rendimiento académico por unidades de aprendizaje de la cohorte DIA. Periodo 2</w:t>
            </w:r>
          </w:p>
        </w:tc>
      </w:tr>
      <w:tr w:rsidR="00DD04A6" w:rsidRPr="00DD04A6" w14:paraId="5E5D47CA" w14:textId="77777777" w:rsidTr="002376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vMerge w:val="restart"/>
            <w:tcBorders>
              <w:top w:val="single" w:sz="4" w:space="0" w:color="auto"/>
            </w:tcBorders>
            <w:noWrap/>
            <w:hideMark/>
          </w:tcPr>
          <w:p w14:paraId="5B44C06D" w14:textId="77777777" w:rsidR="00DD04A6" w:rsidRPr="000C3495" w:rsidRDefault="00DD04A6" w:rsidP="005B4836">
            <w:pPr>
              <w:rPr>
                <w:rFonts w:ascii="Times New Roman" w:eastAsia="Times New Roman" w:hAnsi="Times New Roman" w:cs="Times New Roman"/>
                <w:sz w:val="24"/>
                <w:szCs w:val="24"/>
                <w:lang w:eastAsia="es-MX"/>
              </w:rPr>
            </w:pPr>
          </w:p>
        </w:tc>
        <w:tc>
          <w:tcPr>
            <w:tcW w:w="6143" w:type="dxa"/>
            <w:gridSpan w:val="8"/>
            <w:tcBorders>
              <w:top w:val="single" w:sz="4" w:space="0" w:color="auto"/>
              <w:bottom w:val="single" w:sz="4" w:space="0" w:color="auto"/>
            </w:tcBorders>
            <w:noWrap/>
            <w:hideMark/>
          </w:tcPr>
          <w:p w14:paraId="2C9B56CA" w14:textId="2A77BE2A" w:rsidR="00DD04A6" w:rsidRPr="000C3495" w:rsidRDefault="00DD04A6" w:rsidP="00DD04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DD04A6">
              <w:rPr>
                <w:rFonts w:ascii="Times New Roman" w:eastAsia="Times New Roman" w:hAnsi="Times New Roman" w:cs="Times New Roman"/>
                <w:sz w:val="24"/>
                <w:szCs w:val="24"/>
                <w:lang w:eastAsia="es-MX"/>
              </w:rPr>
              <w:t>Unidades de Aprendizaje</w:t>
            </w:r>
          </w:p>
        </w:tc>
      </w:tr>
      <w:tr w:rsidR="00DD04A6" w:rsidRPr="00DD04A6" w14:paraId="7D993C1E" w14:textId="77777777" w:rsidTr="00DD04A6">
        <w:trPr>
          <w:trHeight w:val="300"/>
        </w:trPr>
        <w:tc>
          <w:tcPr>
            <w:cnfStyle w:val="001000000000" w:firstRow="0" w:lastRow="0" w:firstColumn="1" w:lastColumn="0" w:oddVBand="0" w:evenVBand="0" w:oddHBand="0" w:evenHBand="0" w:firstRowFirstColumn="0" w:firstRowLastColumn="0" w:lastRowFirstColumn="0" w:lastRowLastColumn="0"/>
            <w:tcW w:w="2830" w:type="dxa"/>
            <w:vMerge/>
            <w:noWrap/>
          </w:tcPr>
          <w:p w14:paraId="2918ED5A" w14:textId="77777777" w:rsidR="00DD04A6" w:rsidRPr="00DD04A6" w:rsidRDefault="00DD04A6" w:rsidP="005B4836">
            <w:pPr>
              <w:rPr>
                <w:rFonts w:ascii="Times New Roman" w:eastAsia="Times New Roman" w:hAnsi="Times New Roman" w:cs="Times New Roman"/>
                <w:sz w:val="24"/>
                <w:szCs w:val="24"/>
                <w:lang w:eastAsia="es-MX"/>
              </w:rPr>
            </w:pPr>
          </w:p>
        </w:tc>
        <w:tc>
          <w:tcPr>
            <w:tcW w:w="851" w:type="dxa"/>
            <w:noWrap/>
          </w:tcPr>
          <w:p w14:paraId="3C564D25" w14:textId="61B0E4CC" w:rsidR="00DD04A6" w:rsidRPr="00DD04A6" w:rsidRDefault="00DD04A6" w:rsidP="00DD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DD04A6">
              <w:rPr>
                <w:rFonts w:ascii="Times New Roman" w:eastAsia="Times New Roman" w:hAnsi="Times New Roman" w:cs="Times New Roman"/>
                <w:sz w:val="24"/>
                <w:szCs w:val="24"/>
                <w:lang w:eastAsia="es-MX"/>
              </w:rPr>
              <w:t>1</w:t>
            </w:r>
            <w:r w:rsidRPr="00DD04A6">
              <w:rPr>
                <w:rFonts w:ascii="Times New Roman" w:eastAsia="Times New Roman" w:hAnsi="Times New Roman" w:cs="Times New Roman"/>
                <w:sz w:val="24"/>
                <w:szCs w:val="24"/>
                <w:vertAlign w:val="superscript"/>
                <w:lang w:eastAsia="es-MX"/>
              </w:rPr>
              <w:t>a</w:t>
            </w:r>
          </w:p>
        </w:tc>
        <w:tc>
          <w:tcPr>
            <w:tcW w:w="709" w:type="dxa"/>
            <w:noWrap/>
          </w:tcPr>
          <w:p w14:paraId="55DA47CD" w14:textId="5A46560D" w:rsidR="00DD04A6" w:rsidRPr="00DD04A6" w:rsidRDefault="00DD04A6" w:rsidP="00DD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DD04A6">
              <w:rPr>
                <w:rFonts w:ascii="Times New Roman" w:eastAsia="Times New Roman" w:hAnsi="Times New Roman" w:cs="Times New Roman"/>
                <w:sz w:val="24"/>
                <w:szCs w:val="24"/>
                <w:lang w:eastAsia="es-MX"/>
              </w:rPr>
              <w:t>2</w:t>
            </w:r>
            <w:r w:rsidRPr="00DD04A6">
              <w:rPr>
                <w:rFonts w:ascii="Times New Roman" w:eastAsia="Times New Roman" w:hAnsi="Times New Roman" w:cs="Times New Roman"/>
                <w:sz w:val="24"/>
                <w:szCs w:val="24"/>
                <w:vertAlign w:val="superscript"/>
                <w:lang w:eastAsia="es-MX"/>
              </w:rPr>
              <w:t>b</w:t>
            </w:r>
          </w:p>
        </w:tc>
        <w:tc>
          <w:tcPr>
            <w:tcW w:w="642" w:type="dxa"/>
            <w:noWrap/>
          </w:tcPr>
          <w:p w14:paraId="320168A1" w14:textId="576018CC" w:rsidR="00DD04A6" w:rsidRPr="00DD04A6" w:rsidRDefault="00DD04A6" w:rsidP="00DD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DD04A6">
              <w:rPr>
                <w:rFonts w:ascii="Times New Roman" w:eastAsia="Times New Roman" w:hAnsi="Times New Roman" w:cs="Times New Roman"/>
                <w:sz w:val="24"/>
                <w:szCs w:val="24"/>
                <w:lang w:eastAsia="es-MX"/>
              </w:rPr>
              <w:t>3</w:t>
            </w:r>
            <w:r w:rsidRPr="00DD04A6">
              <w:rPr>
                <w:rFonts w:ascii="Times New Roman" w:eastAsia="Times New Roman" w:hAnsi="Times New Roman" w:cs="Times New Roman"/>
                <w:sz w:val="24"/>
                <w:szCs w:val="24"/>
                <w:vertAlign w:val="superscript"/>
                <w:lang w:eastAsia="es-MX"/>
              </w:rPr>
              <w:t>c</w:t>
            </w:r>
          </w:p>
        </w:tc>
        <w:tc>
          <w:tcPr>
            <w:tcW w:w="940" w:type="dxa"/>
            <w:noWrap/>
          </w:tcPr>
          <w:p w14:paraId="7B17A434" w14:textId="1CA42F6A" w:rsidR="00DD04A6" w:rsidRPr="00DD04A6" w:rsidRDefault="00DD04A6" w:rsidP="00DD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DD04A6">
              <w:rPr>
                <w:rFonts w:ascii="Times New Roman" w:eastAsia="Times New Roman" w:hAnsi="Times New Roman" w:cs="Times New Roman"/>
                <w:sz w:val="24"/>
                <w:szCs w:val="24"/>
                <w:lang w:eastAsia="es-MX"/>
              </w:rPr>
              <w:t>4</w:t>
            </w:r>
            <w:r w:rsidRPr="00DD04A6">
              <w:rPr>
                <w:rFonts w:ascii="Times New Roman" w:eastAsia="Times New Roman" w:hAnsi="Times New Roman" w:cs="Times New Roman"/>
                <w:sz w:val="24"/>
                <w:szCs w:val="24"/>
                <w:vertAlign w:val="superscript"/>
                <w:lang w:eastAsia="es-MX"/>
              </w:rPr>
              <w:t>d</w:t>
            </w:r>
          </w:p>
        </w:tc>
        <w:tc>
          <w:tcPr>
            <w:tcW w:w="642" w:type="dxa"/>
            <w:noWrap/>
          </w:tcPr>
          <w:p w14:paraId="5503562D" w14:textId="61BBBF29" w:rsidR="00DD04A6" w:rsidRPr="00DD04A6" w:rsidRDefault="00DD04A6" w:rsidP="00DD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DD04A6">
              <w:rPr>
                <w:rFonts w:ascii="Times New Roman" w:eastAsia="Times New Roman" w:hAnsi="Times New Roman" w:cs="Times New Roman"/>
                <w:sz w:val="24"/>
                <w:szCs w:val="24"/>
                <w:lang w:eastAsia="es-MX"/>
              </w:rPr>
              <w:t>5</w:t>
            </w:r>
            <w:r w:rsidRPr="00DD04A6">
              <w:rPr>
                <w:rFonts w:ascii="Times New Roman" w:eastAsia="Times New Roman" w:hAnsi="Times New Roman" w:cs="Times New Roman"/>
                <w:sz w:val="24"/>
                <w:szCs w:val="24"/>
                <w:vertAlign w:val="superscript"/>
                <w:lang w:eastAsia="es-MX"/>
              </w:rPr>
              <w:t>e</w:t>
            </w:r>
          </w:p>
        </w:tc>
        <w:tc>
          <w:tcPr>
            <w:tcW w:w="708" w:type="dxa"/>
            <w:noWrap/>
          </w:tcPr>
          <w:p w14:paraId="7C0DDCC7" w14:textId="7AA176EF" w:rsidR="00DD04A6" w:rsidRPr="00DD04A6" w:rsidRDefault="00DD04A6" w:rsidP="00DD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DD04A6">
              <w:rPr>
                <w:rFonts w:ascii="Times New Roman" w:eastAsia="Times New Roman" w:hAnsi="Times New Roman" w:cs="Times New Roman"/>
                <w:sz w:val="24"/>
                <w:szCs w:val="24"/>
                <w:lang w:eastAsia="es-MX"/>
              </w:rPr>
              <w:t>6</w:t>
            </w:r>
            <w:r w:rsidRPr="00DD04A6">
              <w:rPr>
                <w:rFonts w:ascii="Times New Roman" w:eastAsia="Times New Roman" w:hAnsi="Times New Roman" w:cs="Times New Roman"/>
                <w:sz w:val="24"/>
                <w:szCs w:val="24"/>
                <w:vertAlign w:val="superscript"/>
                <w:lang w:eastAsia="es-MX"/>
              </w:rPr>
              <w:t>f</w:t>
            </w:r>
          </w:p>
        </w:tc>
        <w:tc>
          <w:tcPr>
            <w:tcW w:w="851" w:type="dxa"/>
            <w:noWrap/>
          </w:tcPr>
          <w:p w14:paraId="3ADBB5BB" w14:textId="1F5CB65F" w:rsidR="00DD04A6" w:rsidRPr="00DD04A6" w:rsidRDefault="00DD04A6" w:rsidP="00DD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DD04A6">
              <w:rPr>
                <w:rFonts w:ascii="Times New Roman" w:eastAsia="Times New Roman" w:hAnsi="Times New Roman" w:cs="Times New Roman"/>
                <w:sz w:val="24"/>
                <w:szCs w:val="24"/>
                <w:lang w:eastAsia="es-MX"/>
              </w:rPr>
              <w:t>7</w:t>
            </w:r>
            <w:r w:rsidRPr="00DD04A6">
              <w:rPr>
                <w:rFonts w:ascii="Times New Roman" w:eastAsia="Times New Roman" w:hAnsi="Times New Roman" w:cs="Times New Roman"/>
                <w:sz w:val="24"/>
                <w:szCs w:val="24"/>
                <w:vertAlign w:val="superscript"/>
                <w:lang w:eastAsia="es-MX"/>
              </w:rPr>
              <w:t>g</w:t>
            </w:r>
          </w:p>
        </w:tc>
        <w:tc>
          <w:tcPr>
            <w:tcW w:w="800" w:type="dxa"/>
            <w:noWrap/>
          </w:tcPr>
          <w:p w14:paraId="19D78F18" w14:textId="42CD249E" w:rsidR="00DD04A6" w:rsidRPr="00DD04A6" w:rsidRDefault="00DD04A6" w:rsidP="00DD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DD04A6">
              <w:rPr>
                <w:rFonts w:ascii="Times New Roman" w:eastAsia="Times New Roman" w:hAnsi="Times New Roman" w:cs="Times New Roman"/>
                <w:sz w:val="24"/>
                <w:szCs w:val="24"/>
                <w:lang w:eastAsia="es-MX"/>
              </w:rPr>
              <w:t>8</w:t>
            </w:r>
            <w:r w:rsidRPr="00DD04A6">
              <w:rPr>
                <w:rFonts w:ascii="Times New Roman" w:eastAsia="Times New Roman" w:hAnsi="Times New Roman" w:cs="Times New Roman"/>
                <w:sz w:val="24"/>
                <w:szCs w:val="24"/>
                <w:vertAlign w:val="superscript"/>
                <w:lang w:eastAsia="es-MX"/>
              </w:rPr>
              <w:t>h</w:t>
            </w:r>
          </w:p>
        </w:tc>
      </w:tr>
      <w:tr w:rsidR="000C3495" w:rsidRPr="00DD04A6" w14:paraId="3ED7253F" w14:textId="77777777" w:rsidTr="002376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0" w:type="dxa"/>
            <w:noWrap/>
          </w:tcPr>
          <w:p w14:paraId="46A5A1E9" w14:textId="28F4FA46" w:rsidR="000C3495" w:rsidRPr="000C3495" w:rsidRDefault="000C3495" w:rsidP="000C3495">
            <w:pPr>
              <w:jc w:val="right"/>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MEDIA ARITMÉTICA</w:t>
            </w:r>
          </w:p>
        </w:tc>
        <w:tc>
          <w:tcPr>
            <w:tcW w:w="851" w:type="dxa"/>
            <w:noWrap/>
            <w:hideMark/>
          </w:tcPr>
          <w:p w14:paraId="5B414AC6" w14:textId="77777777" w:rsidR="000C3495" w:rsidRPr="000C3495" w:rsidRDefault="000C3495" w:rsidP="00DD04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8.29</w:t>
            </w:r>
          </w:p>
        </w:tc>
        <w:tc>
          <w:tcPr>
            <w:tcW w:w="709" w:type="dxa"/>
            <w:noWrap/>
            <w:hideMark/>
          </w:tcPr>
          <w:p w14:paraId="72DE73AE" w14:textId="77777777" w:rsidR="000C3495" w:rsidRPr="000C3495" w:rsidRDefault="000C3495" w:rsidP="00DD04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7.13</w:t>
            </w:r>
          </w:p>
        </w:tc>
        <w:tc>
          <w:tcPr>
            <w:tcW w:w="642" w:type="dxa"/>
            <w:noWrap/>
            <w:hideMark/>
          </w:tcPr>
          <w:p w14:paraId="5B08CDAD" w14:textId="77777777" w:rsidR="000C3495" w:rsidRPr="000C3495" w:rsidRDefault="000C3495" w:rsidP="00DD04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8.46</w:t>
            </w:r>
          </w:p>
        </w:tc>
        <w:tc>
          <w:tcPr>
            <w:tcW w:w="940" w:type="dxa"/>
            <w:noWrap/>
            <w:hideMark/>
          </w:tcPr>
          <w:p w14:paraId="7BC73C3D" w14:textId="77777777" w:rsidR="000C3495" w:rsidRPr="000C3495" w:rsidRDefault="000C3495" w:rsidP="00DD04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7.40</w:t>
            </w:r>
          </w:p>
        </w:tc>
        <w:tc>
          <w:tcPr>
            <w:tcW w:w="642" w:type="dxa"/>
            <w:noWrap/>
            <w:hideMark/>
          </w:tcPr>
          <w:p w14:paraId="255EDA8F" w14:textId="77777777" w:rsidR="000C3495" w:rsidRPr="000C3495" w:rsidRDefault="000C3495" w:rsidP="00DD04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8.31</w:t>
            </w:r>
          </w:p>
        </w:tc>
        <w:tc>
          <w:tcPr>
            <w:tcW w:w="708" w:type="dxa"/>
            <w:noWrap/>
            <w:hideMark/>
          </w:tcPr>
          <w:p w14:paraId="42F37717" w14:textId="77777777" w:rsidR="000C3495" w:rsidRPr="000C3495" w:rsidRDefault="000C3495" w:rsidP="00DD04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8.40</w:t>
            </w:r>
          </w:p>
        </w:tc>
        <w:tc>
          <w:tcPr>
            <w:tcW w:w="851" w:type="dxa"/>
            <w:noWrap/>
            <w:hideMark/>
          </w:tcPr>
          <w:p w14:paraId="112C90B7" w14:textId="77777777" w:rsidR="000C3495" w:rsidRPr="000C3495" w:rsidRDefault="000C3495" w:rsidP="00DD04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7.85</w:t>
            </w:r>
          </w:p>
        </w:tc>
        <w:tc>
          <w:tcPr>
            <w:tcW w:w="800" w:type="dxa"/>
            <w:noWrap/>
            <w:hideMark/>
          </w:tcPr>
          <w:p w14:paraId="75B86A69" w14:textId="77777777" w:rsidR="000C3495" w:rsidRPr="000C3495" w:rsidRDefault="000C3495" w:rsidP="00DD04A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7.48</w:t>
            </w:r>
          </w:p>
        </w:tc>
      </w:tr>
      <w:tr w:rsidR="000C3495" w:rsidRPr="00DD04A6" w14:paraId="3907492D" w14:textId="77777777" w:rsidTr="0023766D">
        <w:trPr>
          <w:trHeight w:val="300"/>
        </w:trPr>
        <w:tc>
          <w:tcPr>
            <w:cnfStyle w:val="001000000000" w:firstRow="0" w:lastRow="0" w:firstColumn="1" w:lastColumn="0" w:oddVBand="0" w:evenVBand="0" w:oddHBand="0" w:evenHBand="0" w:firstRowFirstColumn="0" w:firstRowLastColumn="0" w:lastRowFirstColumn="0" w:lastRowLastColumn="0"/>
            <w:tcW w:w="2830" w:type="dxa"/>
            <w:tcBorders>
              <w:top w:val="single" w:sz="4" w:space="0" w:color="F79646" w:themeColor="accent6"/>
              <w:bottom w:val="single" w:sz="4" w:space="0" w:color="auto"/>
            </w:tcBorders>
            <w:noWrap/>
          </w:tcPr>
          <w:p w14:paraId="5EBCB954" w14:textId="59322286" w:rsidR="000C3495" w:rsidRPr="000C3495" w:rsidRDefault="000C3495" w:rsidP="000C3495">
            <w:pPr>
              <w:jc w:val="right"/>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desviación estándar</w:t>
            </w:r>
          </w:p>
        </w:tc>
        <w:tc>
          <w:tcPr>
            <w:tcW w:w="851" w:type="dxa"/>
            <w:tcBorders>
              <w:top w:val="single" w:sz="4" w:space="0" w:color="F79646" w:themeColor="accent6"/>
              <w:bottom w:val="single" w:sz="4" w:space="0" w:color="auto"/>
            </w:tcBorders>
            <w:noWrap/>
            <w:hideMark/>
          </w:tcPr>
          <w:p w14:paraId="091EA462" w14:textId="77777777" w:rsidR="000C3495" w:rsidRPr="000C3495" w:rsidRDefault="000C3495" w:rsidP="00DD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2.22</w:t>
            </w:r>
          </w:p>
        </w:tc>
        <w:tc>
          <w:tcPr>
            <w:tcW w:w="709" w:type="dxa"/>
            <w:tcBorders>
              <w:top w:val="single" w:sz="4" w:space="0" w:color="F79646" w:themeColor="accent6"/>
              <w:bottom w:val="single" w:sz="4" w:space="0" w:color="auto"/>
            </w:tcBorders>
            <w:noWrap/>
            <w:hideMark/>
          </w:tcPr>
          <w:p w14:paraId="77950769" w14:textId="77777777" w:rsidR="000C3495" w:rsidRPr="000C3495" w:rsidRDefault="000C3495" w:rsidP="00DD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1.90</w:t>
            </w:r>
          </w:p>
        </w:tc>
        <w:tc>
          <w:tcPr>
            <w:tcW w:w="642" w:type="dxa"/>
            <w:tcBorders>
              <w:top w:val="single" w:sz="4" w:space="0" w:color="F79646" w:themeColor="accent6"/>
              <w:bottom w:val="single" w:sz="4" w:space="0" w:color="auto"/>
            </w:tcBorders>
            <w:noWrap/>
            <w:hideMark/>
          </w:tcPr>
          <w:p w14:paraId="2B4A2FBF" w14:textId="77777777" w:rsidR="000C3495" w:rsidRPr="000C3495" w:rsidRDefault="000C3495" w:rsidP="00DD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1.50</w:t>
            </w:r>
          </w:p>
        </w:tc>
        <w:tc>
          <w:tcPr>
            <w:tcW w:w="940" w:type="dxa"/>
            <w:tcBorders>
              <w:top w:val="single" w:sz="4" w:space="0" w:color="F79646" w:themeColor="accent6"/>
              <w:bottom w:val="single" w:sz="4" w:space="0" w:color="auto"/>
            </w:tcBorders>
            <w:noWrap/>
            <w:hideMark/>
          </w:tcPr>
          <w:p w14:paraId="58167BBE" w14:textId="77777777" w:rsidR="000C3495" w:rsidRPr="000C3495" w:rsidRDefault="000C3495" w:rsidP="00DD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1.97</w:t>
            </w:r>
          </w:p>
        </w:tc>
        <w:tc>
          <w:tcPr>
            <w:tcW w:w="642" w:type="dxa"/>
            <w:tcBorders>
              <w:top w:val="single" w:sz="4" w:space="0" w:color="F79646" w:themeColor="accent6"/>
              <w:bottom w:val="single" w:sz="4" w:space="0" w:color="auto"/>
            </w:tcBorders>
            <w:noWrap/>
            <w:hideMark/>
          </w:tcPr>
          <w:p w14:paraId="7195FB31" w14:textId="77777777" w:rsidR="000C3495" w:rsidRPr="000C3495" w:rsidRDefault="000C3495" w:rsidP="00DD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1.20</w:t>
            </w:r>
          </w:p>
        </w:tc>
        <w:tc>
          <w:tcPr>
            <w:tcW w:w="708" w:type="dxa"/>
            <w:tcBorders>
              <w:top w:val="single" w:sz="4" w:space="0" w:color="F79646" w:themeColor="accent6"/>
              <w:bottom w:val="single" w:sz="4" w:space="0" w:color="auto"/>
            </w:tcBorders>
            <w:noWrap/>
            <w:hideMark/>
          </w:tcPr>
          <w:p w14:paraId="21D27878" w14:textId="77777777" w:rsidR="000C3495" w:rsidRPr="000C3495" w:rsidRDefault="000C3495" w:rsidP="00DD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1.52</w:t>
            </w:r>
          </w:p>
        </w:tc>
        <w:tc>
          <w:tcPr>
            <w:tcW w:w="851" w:type="dxa"/>
            <w:tcBorders>
              <w:top w:val="single" w:sz="4" w:space="0" w:color="F79646" w:themeColor="accent6"/>
              <w:bottom w:val="single" w:sz="4" w:space="0" w:color="auto"/>
            </w:tcBorders>
            <w:noWrap/>
            <w:hideMark/>
          </w:tcPr>
          <w:p w14:paraId="22645C34" w14:textId="77777777" w:rsidR="000C3495" w:rsidRPr="000C3495" w:rsidRDefault="000C3495" w:rsidP="00DD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1.39</w:t>
            </w:r>
          </w:p>
        </w:tc>
        <w:tc>
          <w:tcPr>
            <w:tcW w:w="800" w:type="dxa"/>
            <w:tcBorders>
              <w:top w:val="single" w:sz="4" w:space="0" w:color="F79646" w:themeColor="accent6"/>
              <w:bottom w:val="single" w:sz="4" w:space="0" w:color="auto"/>
            </w:tcBorders>
            <w:noWrap/>
            <w:hideMark/>
          </w:tcPr>
          <w:p w14:paraId="7F31EABD" w14:textId="77777777" w:rsidR="000C3495" w:rsidRPr="000C3495" w:rsidRDefault="000C3495" w:rsidP="00DD04A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s-MX"/>
              </w:rPr>
            </w:pPr>
            <w:r w:rsidRPr="000C3495">
              <w:rPr>
                <w:rFonts w:ascii="Times New Roman" w:eastAsia="Times New Roman" w:hAnsi="Times New Roman" w:cs="Times New Roman"/>
                <w:color w:val="000000"/>
                <w:sz w:val="24"/>
                <w:szCs w:val="24"/>
                <w:lang w:eastAsia="es-MX"/>
              </w:rPr>
              <w:t>2.25</w:t>
            </w:r>
          </w:p>
        </w:tc>
      </w:tr>
    </w:tbl>
    <w:p w14:paraId="23FC3C80" w14:textId="77777777" w:rsidR="005B4836" w:rsidRPr="00DD04A6" w:rsidRDefault="005B4836" w:rsidP="005B4836">
      <w:pPr>
        <w:spacing w:before="240"/>
        <w:rPr>
          <w:rFonts w:ascii="Times New Roman" w:hAnsi="Times New Roman" w:cs="Times New Roman"/>
          <w:bCs/>
          <w:sz w:val="20"/>
          <w:szCs w:val="20"/>
        </w:rPr>
      </w:pPr>
      <w:r w:rsidRPr="00DD04A6">
        <w:rPr>
          <w:rFonts w:ascii="Times New Roman" w:hAnsi="Times New Roman" w:cs="Times New Roman"/>
          <w:bCs/>
          <w:sz w:val="20"/>
          <w:szCs w:val="20"/>
        </w:rPr>
        <w:t>Elaboración propia utilizando datos proporcionados por el Departamento de Control Escolar</w:t>
      </w:r>
    </w:p>
    <w:p w14:paraId="509EE408" w14:textId="77777777" w:rsidR="0023766D" w:rsidRDefault="005B4836" w:rsidP="005B4836">
      <w:pPr>
        <w:spacing w:after="0" w:line="240" w:lineRule="auto"/>
        <w:rPr>
          <w:rFonts w:ascii="Times New Roman" w:eastAsia="Times New Roman" w:hAnsi="Times New Roman" w:cs="Times New Roman"/>
          <w:color w:val="000000"/>
          <w:sz w:val="20"/>
          <w:szCs w:val="20"/>
          <w:lang w:eastAsia="es-MX"/>
        </w:rPr>
      </w:pPr>
      <w:r w:rsidRPr="00DD04A6">
        <w:rPr>
          <w:rFonts w:ascii="Times New Roman" w:hAnsi="Times New Roman" w:cs="Times New Roman"/>
          <w:bCs/>
          <w:sz w:val="20"/>
          <w:szCs w:val="20"/>
        </w:rPr>
        <w:t xml:space="preserve">a  </w:t>
      </w:r>
      <w:r w:rsidRPr="000C3495">
        <w:rPr>
          <w:rFonts w:ascii="Times New Roman" w:eastAsia="Times New Roman" w:hAnsi="Times New Roman" w:cs="Times New Roman"/>
          <w:color w:val="000000"/>
          <w:sz w:val="20"/>
          <w:szCs w:val="20"/>
          <w:lang w:eastAsia="es-MX"/>
        </w:rPr>
        <w:t>Taller de Diseños de Espacios Básicos de Vivienda</w:t>
      </w:r>
      <w:r w:rsidRPr="00DD04A6">
        <w:rPr>
          <w:rFonts w:ascii="Times New Roman" w:eastAsia="Times New Roman" w:hAnsi="Times New Roman" w:cs="Times New Roman"/>
          <w:color w:val="000000"/>
          <w:sz w:val="20"/>
          <w:szCs w:val="20"/>
          <w:lang w:eastAsia="es-MX"/>
        </w:rPr>
        <w:t xml:space="preserve">; b  </w:t>
      </w:r>
      <w:r w:rsidRPr="000C3495">
        <w:rPr>
          <w:rFonts w:ascii="Times New Roman" w:eastAsia="Times New Roman" w:hAnsi="Times New Roman" w:cs="Times New Roman"/>
          <w:color w:val="000000"/>
          <w:sz w:val="20"/>
          <w:szCs w:val="20"/>
          <w:lang w:eastAsia="es-MX"/>
        </w:rPr>
        <w:t>Antropometría y Ergonomía</w:t>
      </w:r>
      <w:r w:rsidRPr="00DD04A6">
        <w:rPr>
          <w:rFonts w:ascii="Times New Roman" w:eastAsia="Times New Roman" w:hAnsi="Times New Roman" w:cs="Times New Roman"/>
          <w:color w:val="000000"/>
          <w:sz w:val="20"/>
          <w:szCs w:val="20"/>
          <w:lang w:eastAsia="es-MX"/>
        </w:rPr>
        <w:t xml:space="preserve">; c  </w:t>
      </w:r>
      <w:r w:rsidRPr="000C3495">
        <w:rPr>
          <w:rFonts w:ascii="Times New Roman" w:eastAsia="Times New Roman" w:hAnsi="Times New Roman" w:cs="Times New Roman"/>
          <w:color w:val="000000"/>
          <w:sz w:val="20"/>
          <w:szCs w:val="20"/>
          <w:lang w:eastAsia="es-MX"/>
        </w:rPr>
        <w:t>Geometría Aplicada</w:t>
      </w:r>
      <w:r w:rsidRPr="00DD04A6">
        <w:rPr>
          <w:rFonts w:ascii="Times New Roman" w:eastAsia="Times New Roman" w:hAnsi="Times New Roman" w:cs="Times New Roman"/>
          <w:color w:val="000000"/>
          <w:sz w:val="20"/>
          <w:szCs w:val="20"/>
          <w:lang w:eastAsia="es-MX"/>
        </w:rPr>
        <w:t xml:space="preserve">; </w:t>
      </w:r>
    </w:p>
    <w:p w14:paraId="7A1DBB94" w14:textId="3B79BC8C" w:rsidR="005B4836" w:rsidRPr="00DD04A6" w:rsidRDefault="005B4836" w:rsidP="005B4836">
      <w:pPr>
        <w:spacing w:after="0" w:line="240" w:lineRule="auto"/>
        <w:rPr>
          <w:rFonts w:ascii="Times New Roman" w:eastAsia="Times New Roman" w:hAnsi="Times New Roman" w:cs="Times New Roman"/>
          <w:color w:val="000000"/>
          <w:sz w:val="20"/>
          <w:szCs w:val="20"/>
          <w:lang w:eastAsia="es-MX"/>
        </w:rPr>
      </w:pPr>
      <w:r w:rsidRPr="00DD04A6">
        <w:rPr>
          <w:rFonts w:ascii="Times New Roman" w:eastAsia="Times New Roman" w:hAnsi="Times New Roman" w:cs="Times New Roman"/>
          <w:color w:val="000000"/>
          <w:sz w:val="20"/>
          <w:szCs w:val="20"/>
          <w:lang w:eastAsia="es-MX"/>
        </w:rPr>
        <w:t xml:space="preserve">d  </w:t>
      </w:r>
      <w:r w:rsidRPr="000C3495">
        <w:rPr>
          <w:rFonts w:ascii="Times New Roman" w:eastAsia="Times New Roman" w:hAnsi="Times New Roman" w:cs="Times New Roman"/>
          <w:color w:val="000000"/>
          <w:sz w:val="20"/>
          <w:szCs w:val="20"/>
          <w:lang w:eastAsia="es-MX"/>
        </w:rPr>
        <w:t>Técnicas de Representación Avanzada</w:t>
      </w:r>
      <w:r w:rsidRPr="00DD04A6">
        <w:rPr>
          <w:rFonts w:ascii="Times New Roman" w:eastAsia="Times New Roman" w:hAnsi="Times New Roman" w:cs="Times New Roman"/>
          <w:color w:val="000000"/>
          <w:sz w:val="20"/>
          <w:szCs w:val="20"/>
          <w:lang w:eastAsia="es-MX"/>
        </w:rPr>
        <w:t xml:space="preserve">;  e  </w:t>
      </w:r>
      <w:r w:rsidRPr="000C3495">
        <w:rPr>
          <w:rFonts w:ascii="Times New Roman" w:eastAsia="Times New Roman" w:hAnsi="Times New Roman" w:cs="Times New Roman"/>
          <w:color w:val="000000"/>
          <w:sz w:val="20"/>
          <w:szCs w:val="20"/>
          <w:lang w:eastAsia="es-MX"/>
        </w:rPr>
        <w:t>Estilos del Siglo XIX</w:t>
      </w:r>
      <w:r w:rsidRPr="00DD04A6">
        <w:rPr>
          <w:rFonts w:ascii="Times New Roman" w:eastAsia="Times New Roman" w:hAnsi="Times New Roman" w:cs="Times New Roman"/>
          <w:color w:val="000000"/>
          <w:sz w:val="20"/>
          <w:szCs w:val="20"/>
          <w:lang w:eastAsia="es-MX"/>
        </w:rPr>
        <w:t xml:space="preserve">;  f </w:t>
      </w:r>
      <w:r w:rsidRPr="000C3495">
        <w:rPr>
          <w:rFonts w:ascii="Times New Roman" w:eastAsia="Times New Roman" w:hAnsi="Times New Roman" w:cs="Times New Roman"/>
          <w:color w:val="000000"/>
          <w:sz w:val="20"/>
          <w:szCs w:val="20"/>
          <w:lang w:eastAsia="es-MX"/>
        </w:rPr>
        <w:t>Vanguardias del Siglo XIX</w:t>
      </w:r>
    </w:p>
    <w:p w14:paraId="4216B49B" w14:textId="031502CB" w:rsidR="005B4836" w:rsidRPr="00DD04A6" w:rsidRDefault="005B4836" w:rsidP="005B4836">
      <w:pPr>
        <w:spacing w:after="0" w:line="240" w:lineRule="auto"/>
        <w:rPr>
          <w:rFonts w:ascii="Times New Roman" w:eastAsia="Times New Roman" w:hAnsi="Times New Roman" w:cs="Times New Roman"/>
          <w:color w:val="000000"/>
          <w:sz w:val="20"/>
          <w:szCs w:val="20"/>
          <w:lang w:eastAsia="es-MX"/>
        </w:rPr>
      </w:pPr>
      <w:r w:rsidRPr="00DD04A6">
        <w:rPr>
          <w:rFonts w:ascii="Times New Roman" w:eastAsia="Times New Roman" w:hAnsi="Times New Roman" w:cs="Times New Roman"/>
          <w:color w:val="000000"/>
          <w:sz w:val="20"/>
          <w:szCs w:val="20"/>
          <w:lang w:eastAsia="es-MX"/>
        </w:rPr>
        <w:t xml:space="preserve">g  </w:t>
      </w:r>
      <w:r w:rsidRPr="000C3495">
        <w:rPr>
          <w:rFonts w:ascii="Times New Roman" w:eastAsia="Times New Roman" w:hAnsi="Times New Roman" w:cs="Times New Roman"/>
          <w:color w:val="000000"/>
          <w:sz w:val="20"/>
          <w:szCs w:val="20"/>
          <w:lang w:eastAsia="es-MX"/>
        </w:rPr>
        <w:t>Materiales y Sistemas Constructivos</w:t>
      </w:r>
      <w:r w:rsidRPr="00DD04A6">
        <w:rPr>
          <w:rFonts w:ascii="Times New Roman" w:eastAsia="Times New Roman" w:hAnsi="Times New Roman" w:cs="Times New Roman"/>
          <w:color w:val="000000"/>
          <w:sz w:val="20"/>
          <w:szCs w:val="20"/>
          <w:lang w:eastAsia="es-MX"/>
        </w:rPr>
        <w:t xml:space="preserve">;   h </w:t>
      </w:r>
      <w:r w:rsidRPr="000C3495">
        <w:rPr>
          <w:rFonts w:ascii="Times New Roman" w:eastAsia="Times New Roman" w:hAnsi="Times New Roman" w:cs="Times New Roman"/>
          <w:color w:val="000000"/>
          <w:sz w:val="20"/>
          <w:szCs w:val="20"/>
          <w:lang w:eastAsia="es-MX"/>
        </w:rPr>
        <w:t>Comunidades de Aprendizaje</w:t>
      </w:r>
    </w:p>
    <w:p w14:paraId="38299990" w14:textId="77777777" w:rsidR="000C3495" w:rsidRDefault="000C3495" w:rsidP="00404CBD">
      <w:pPr>
        <w:spacing w:line="360" w:lineRule="auto"/>
        <w:rPr>
          <w:rFonts w:ascii="Times New Roman" w:hAnsi="Times New Roman" w:cs="Times New Roman"/>
          <w:bCs/>
          <w:sz w:val="24"/>
          <w:szCs w:val="24"/>
        </w:rPr>
      </w:pPr>
    </w:p>
    <w:p w14:paraId="6BC6B412" w14:textId="4BA06002" w:rsidR="00F248D4" w:rsidRDefault="00F248D4"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En la Tabla 4, se muestra el rendimiento académico en cada una de las unidades de aprendizaje correspondientes al Periodo 2 del plan de estudio de la licenciatura en DIA. La media aritmética (</w:t>
      </w:r>
      <w:r w:rsidRPr="001B3105">
        <w:rPr>
          <w:position w:val="-4"/>
        </w:rPr>
        <w:object w:dxaOrig="279" w:dyaOrig="260" w14:anchorId="1FAD33D1">
          <v:shape id="_x0000_i1029" type="#_x0000_t75" style="width:14.25pt;height:13.5pt" o:ole="">
            <v:imagedata r:id="rId10" o:title=""/>
          </v:shape>
          <o:OLEObject Type="Embed" ProgID="Equation.3" ShapeID="_x0000_i1029" DrawAspect="Content" ObjectID="_1530953728" r:id="rId16"/>
        </w:object>
      </w:r>
      <w:r>
        <w:rPr>
          <w:rFonts w:ascii="Times New Roman" w:hAnsi="Times New Roman" w:cs="Times New Roman"/>
          <w:bCs/>
          <w:sz w:val="24"/>
          <w:szCs w:val="24"/>
        </w:rPr>
        <w:t>) y desviación estándar (</w:t>
      </w:r>
      <w:r w:rsidRPr="001B3105">
        <w:rPr>
          <w:position w:val="-6"/>
        </w:rPr>
        <w:object w:dxaOrig="240" w:dyaOrig="220" w14:anchorId="52A9A846">
          <v:shape id="_x0000_i1030" type="#_x0000_t75" style="width:12.75pt;height:12pt" o:ole="">
            <v:imagedata r:id="rId12" o:title=""/>
          </v:shape>
          <o:OLEObject Type="Embed" ProgID="Equation.3" ShapeID="_x0000_i1030" DrawAspect="Content" ObjectID="_1530953729" r:id="rId17"/>
        </w:object>
      </w:r>
      <w:r>
        <w:rPr>
          <w:rFonts w:ascii="Times New Roman" w:hAnsi="Times New Roman" w:cs="Times New Roman"/>
          <w:bCs/>
          <w:sz w:val="24"/>
          <w:szCs w:val="24"/>
        </w:rPr>
        <w:t>) de las ocho unidades de aprendizaje son 7.92 y 0.52 respectivamente. Si establecemos el intervalo de confianza [</w:t>
      </w:r>
      <w:r w:rsidRPr="00261657">
        <w:rPr>
          <w:rFonts w:ascii="Arial" w:hAnsi="Arial" w:cs="Arial"/>
          <w:position w:val="-10"/>
        </w:rPr>
        <w:object w:dxaOrig="700" w:dyaOrig="320" w14:anchorId="51A96CFB">
          <v:shape id="_x0000_i1031" type="#_x0000_t75" style="width:34.5pt;height:15.75pt" o:ole="">
            <v:imagedata r:id="rId14" o:title=""/>
          </v:shape>
          <o:OLEObject Type="Embed" ProgID="Equation.3" ShapeID="_x0000_i1031" DrawAspect="Content" ObjectID="_1530953730" r:id="rId18"/>
        </w:object>
      </w:r>
      <w:r>
        <w:rPr>
          <w:rFonts w:ascii="Times New Roman" w:hAnsi="Times New Roman" w:cs="Times New Roman"/>
          <w:bCs/>
          <w:sz w:val="24"/>
          <w:szCs w:val="24"/>
        </w:rPr>
        <w:t>] = [7.40</w:t>
      </w:r>
      <w:r>
        <w:rPr>
          <w:rFonts w:ascii="Arial" w:hAnsi="Arial" w:cs="Arial"/>
        </w:rPr>
        <w:t>, 8.44</w:t>
      </w:r>
      <w:r>
        <w:rPr>
          <w:rFonts w:ascii="Times New Roman" w:hAnsi="Times New Roman" w:cs="Times New Roman"/>
          <w:bCs/>
          <w:sz w:val="24"/>
          <w:szCs w:val="24"/>
        </w:rPr>
        <w:t xml:space="preserve">] de encontrar unidades de aprendizaje cuyo rendimiento académico es cercano al de la media aritmética, las unidades de aprendizaje que se encuentran fuera de este intervalo son las que presentan una diferencia significativa. </w:t>
      </w:r>
    </w:p>
    <w:p w14:paraId="315EF90E" w14:textId="5F9673DF" w:rsidR="00C943CD" w:rsidRPr="00B10E89" w:rsidRDefault="00C943CD"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 acuerdo con lo anterior, la asignatura “</w:t>
      </w:r>
      <w:r w:rsidRPr="00C943CD">
        <w:rPr>
          <w:rFonts w:ascii="Times New Roman" w:eastAsia="Times New Roman" w:hAnsi="Times New Roman" w:cs="Times New Roman"/>
          <w:i/>
          <w:color w:val="000000"/>
          <w:sz w:val="24"/>
          <w:szCs w:val="24"/>
          <w:lang w:eastAsia="es-MX"/>
        </w:rPr>
        <w:t>Antropometría y Ergonomía</w:t>
      </w:r>
      <w:r>
        <w:rPr>
          <w:rFonts w:ascii="Times New Roman" w:hAnsi="Times New Roman" w:cs="Times New Roman"/>
          <w:bCs/>
          <w:sz w:val="24"/>
          <w:szCs w:val="24"/>
        </w:rPr>
        <w:t>” (7.13 &lt; 7.40), se encuentra por debajo del límite inferior del intervalo, situación que invita a profundizar en el análisis de la diversidad de situaciones que se presentaron durante el desarrollo del curso, para efecto de buscar nuevas estrategias didácticas con el propósito de elevar el rendimiento académico en cursos futuros. Por otro lado, la asignatura “</w:t>
      </w:r>
      <w:r w:rsidRPr="00C943CD">
        <w:rPr>
          <w:rFonts w:ascii="Times New Roman" w:eastAsia="Times New Roman" w:hAnsi="Times New Roman" w:cs="Times New Roman"/>
          <w:i/>
          <w:color w:val="000000"/>
          <w:sz w:val="24"/>
          <w:szCs w:val="24"/>
          <w:lang w:eastAsia="es-MX"/>
        </w:rPr>
        <w:t>Geometría Aplicada</w:t>
      </w:r>
      <w:r>
        <w:rPr>
          <w:rFonts w:ascii="Times New Roman" w:hAnsi="Times New Roman" w:cs="Times New Roman"/>
          <w:bCs/>
          <w:sz w:val="24"/>
          <w:szCs w:val="24"/>
        </w:rPr>
        <w:t xml:space="preserve">” (8.46 &gt; 8.44), presenta un rendimiento académico mayor al del límite superior, por lo que también deberá ser objeto de analizar las estrategias didácticas utilizadas que dan lugar a este resultado. En este caso, con el propósito de replicar los procesos educativos que facilitan a los </w:t>
      </w:r>
      <w:r w:rsidRPr="00B10E89">
        <w:rPr>
          <w:rFonts w:ascii="Times New Roman" w:hAnsi="Times New Roman" w:cs="Times New Roman"/>
          <w:bCs/>
          <w:sz w:val="24"/>
          <w:szCs w:val="24"/>
        </w:rPr>
        <w:t xml:space="preserve">alumnos el aprendizaje, elevar su nivel de conocimiento y el rendimiento académico.  </w:t>
      </w:r>
    </w:p>
    <w:p w14:paraId="234172E5" w14:textId="03222E22" w:rsidR="00C943CD" w:rsidRDefault="00C943CD"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Ya expresamos los posibles factores que deben ser analizados para encontrar explicaciones que conducen a que en alguna asignatura se haya logrado un rendimiento académico muy por encima de la media aritmética del conjunto de asignaturas contenidas en el periodo. </w:t>
      </w:r>
      <w:r w:rsidR="00181893">
        <w:rPr>
          <w:rFonts w:ascii="Times New Roman" w:hAnsi="Times New Roman" w:cs="Times New Roman"/>
          <w:bCs/>
          <w:sz w:val="24"/>
          <w:szCs w:val="24"/>
        </w:rPr>
        <w:t xml:space="preserve">Se </w:t>
      </w:r>
      <w:r w:rsidR="00181893">
        <w:rPr>
          <w:rFonts w:ascii="Times New Roman" w:hAnsi="Times New Roman" w:cs="Times New Roman"/>
          <w:bCs/>
          <w:sz w:val="24"/>
          <w:szCs w:val="24"/>
        </w:rPr>
        <w:lastRenderedPageBreak/>
        <w:t>ha explicado antes</w:t>
      </w:r>
      <w:r>
        <w:rPr>
          <w:rFonts w:ascii="Times New Roman" w:hAnsi="Times New Roman" w:cs="Times New Roman"/>
          <w:bCs/>
          <w:sz w:val="24"/>
          <w:szCs w:val="24"/>
        </w:rPr>
        <w:t xml:space="preserve"> que los alumnos no pueden ser el factor que haga la diferencia, entonces</w:t>
      </w:r>
      <w:r w:rsidR="00181893">
        <w:rPr>
          <w:rFonts w:ascii="Times New Roman" w:hAnsi="Times New Roman" w:cs="Times New Roman"/>
          <w:bCs/>
          <w:sz w:val="24"/>
          <w:szCs w:val="24"/>
        </w:rPr>
        <w:t>,</w:t>
      </w:r>
      <w:r>
        <w:rPr>
          <w:rFonts w:ascii="Times New Roman" w:hAnsi="Times New Roman" w:cs="Times New Roman"/>
          <w:bCs/>
          <w:sz w:val="24"/>
          <w:szCs w:val="24"/>
        </w:rPr>
        <w:t xml:space="preserve"> se debe profundizar en el análisis de las estrategias didácticas implementadas y en el perfil de los profesores</w:t>
      </w:r>
      <w:r w:rsidR="00181893">
        <w:rPr>
          <w:rFonts w:ascii="Times New Roman" w:hAnsi="Times New Roman" w:cs="Times New Roman"/>
          <w:bCs/>
          <w:sz w:val="24"/>
          <w:szCs w:val="24"/>
        </w:rPr>
        <w:t>. Se dice esto debido a que en el plan de estudios se ha considerado que los principales factores del proceso educativo son los alumnos, los maestros y el contenido</w:t>
      </w:r>
      <w:r w:rsidR="000D2F0D">
        <w:rPr>
          <w:rFonts w:ascii="Times New Roman" w:hAnsi="Times New Roman" w:cs="Times New Roman"/>
          <w:bCs/>
          <w:sz w:val="24"/>
          <w:szCs w:val="24"/>
        </w:rPr>
        <w:t>. Si los alumnos no son el factor de la diferencia, entonces debe estar en los maestros y en el dominio de determinadas competencias docentes, en el contenido y en el nivel de desarrollo didáctico del área de conocimiento y las respectivas estrategias de enseñanza, de aprendizaje y de evaluación implementadas.</w:t>
      </w:r>
    </w:p>
    <w:p w14:paraId="476F4028" w14:textId="77777777" w:rsidR="00D03E58" w:rsidRDefault="00D03E58" w:rsidP="00D03E58">
      <w:pPr>
        <w:spacing w:line="360" w:lineRule="auto"/>
        <w:rPr>
          <w:rFonts w:ascii="Times New Roman" w:hAnsi="Times New Roman" w:cs="Times New Roman"/>
          <w:bCs/>
          <w:sz w:val="24"/>
          <w:szCs w:val="24"/>
        </w:rPr>
      </w:pPr>
    </w:p>
    <w:tbl>
      <w:tblPr>
        <w:tblStyle w:val="ListTable3Accent6"/>
        <w:tblW w:w="8828" w:type="dxa"/>
        <w:tblLook w:val="04A0" w:firstRow="1" w:lastRow="0" w:firstColumn="1" w:lastColumn="0" w:noHBand="0" w:noVBand="1"/>
      </w:tblPr>
      <w:tblGrid>
        <w:gridCol w:w="2689"/>
        <w:gridCol w:w="896"/>
        <w:gridCol w:w="936"/>
        <w:gridCol w:w="756"/>
        <w:gridCol w:w="756"/>
        <w:gridCol w:w="656"/>
        <w:gridCol w:w="656"/>
        <w:gridCol w:w="607"/>
        <w:gridCol w:w="876"/>
      </w:tblGrid>
      <w:tr w:rsidR="00D03E58" w:rsidRPr="006B23E6" w14:paraId="07FD048A" w14:textId="77777777" w:rsidTr="0089130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828" w:type="dxa"/>
            <w:gridSpan w:val="9"/>
            <w:tcBorders>
              <w:top w:val="single" w:sz="4" w:space="0" w:color="F79646" w:themeColor="accent6"/>
              <w:bottom w:val="single" w:sz="4" w:space="0" w:color="auto"/>
            </w:tcBorders>
            <w:noWrap/>
            <w:hideMark/>
          </w:tcPr>
          <w:p w14:paraId="11FD0D5C" w14:textId="6A899235" w:rsidR="00D03E58" w:rsidRPr="006B23E6" w:rsidRDefault="00D03E58" w:rsidP="00503D17">
            <w:pPr>
              <w:spacing w:line="360" w:lineRule="auto"/>
              <w:rPr>
                <w:rFonts w:ascii="Times New Roman" w:eastAsia="Times New Roman" w:hAnsi="Times New Roman" w:cs="Times New Roman"/>
                <w:color w:val="auto"/>
                <w:sz w:val="24"/>
                <w:szCs w:val="24"/>
                <w:lang w:eastAsia="es-MX"/>
              </w:rPr>
            </w:pPr>
            <w:r w:rsidRPr="006B23E6">
              <w:rPr>
                <w:rFonts w:ascii="Times New Roman" w:eastAsia="Times New Roman" w:hAnsi="Times New Roman" w:cs="Times New Roman"/>
                <w:color w:val="auto"/>
                <w:sz w:val="24"/>
                <w:szCs w:val="24"/>
                <w:lang w:eastAsia="es-MX"/>
              </w:rPr>
              <w:t xml:space="preserve">Tabla </w:t>
            </w:r>
            <w:r>
              <w:rPr>
                <w:rFonts w:ascii="Times New Roman" w:eastAsia="Times New Roman" w:hAnsi="Times New Roman" w:cs="Times New Roman"/>
                <w:color w:val="auto"/>
                <w:sz w:val="24"/>
                <w:szCs w:val="24"/>
                <w:lang w:eastAsia="es-MX"/>
              </w:rPr>
              <w:t>5</w:t>
            </w:r>
            <w:r w:rsidRPr="006B23E6">
              <w:rPr>
                <w:rFonts w:ascii="Times New Roman" w:eastAsia="Times New Roman" w:hAnsi="Times New Roman" w:cs="Times New Roman"/>
                <w:color w:val="auto"/>
                <w:sz w:val="24"/>
                <w:szCs w:val="24"/>
                <w:lang w:eastAsia="es-MX"/>
              </w:rPr>
              <w:t>:</w:t>
            </w:r>
          </w:p>
          <w:p w14:paraId="33F63932" w14:textId="2D70E12D" w:rsidR="00D03E58" w:rsidRPr="000C3495" w:rsidRDefault="00D03E58" w:rsidP="00503D17">
            <w:pPr>
              <w:spacing w:line="360" w:lineRule="auto"/>
              <w:rPr>
                <w:rFonts w:ascii="Times New Roman" w:eastAsia="Times New Roman" w:hAnsi="Times New Roman" w:cs="Times New Roman"/>
                <w:color w:val="auto"/>
                <w:sz w:val="20"/>
                <w:szCs w:val="20"/>
                <w:lang w:eastAsia="es-MX"/>
              </w:rPr>
            </w:pPr>
            <w:r w:rsidRPr="006B23E6">
              <w:rPr>
                <w:rFonts w:ascii="Times New Roman" w:eastAsia="Times New Roman" w:hAnsi="Times New Roman" w:cs="Times New Roman"/>
                <w:color w:val="auto"/>
                <w:sz w:val="24"/>
                <w:szCs w:val="24"/>
                <w:lang w:eastAsia="es-MX"/>
              </w:rPr>
              <w:t xml:space="preserve">Rendimiento académico por unidades de aprendizaje de la cohorte DUP. Periodo </w:t>
            </w:r>
            <w:r>
              <w:rPr>
                <w:rFonts w:ascii="Times New Roman" w:eastAsia="Times New Roman" w:hAnsi="Times New Roman" w:cs="Times New Roman"/>
                <w:color w:val="auto"/>
                <w:sz w:val="24"/>
                <w:szCs w:val="24"/>
                <w:lang w:eastAsia="es-MX"/>
              </w:rPr>
              <w:t>1</w:t>
            </w:r>
          </w:p>
        </w:tc>
      </w:tr>
      <w:tr w:rsidR="00D03E58" w:rsidRPr="000C3495" w14:paraId="7F6ADDB4" w14:textId="77777777" w:rsidTr="008913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4" w:space="0" w:color="auto"/>
            </w:tcBorders>
            <w:noWrap/>
            <w:hideMark/>
          </w:tcPr>
          <w:p w14:paraId="10A3DFA7" w14:textId="77777777" w:rsidR="00D03E58" w:rsidRPr="000C3495" w:rsidRDefault="00D03E58" w:rsidP="00891307">
            <w:pPr>
              <w:jc w:val="center"/>
              <w:rPr>
                <w:rFonts w:ascii="Times New Roman" w:eastAsia="Times New Roman" w:hAnsi="Times New Roman" w:cs="Times New Roman"/>
                <w:sz w:val="20"/>
                <w:szCs w:val="20"/>
                <w:lang w:eastAsia="es-MX"/>
              </w:rPr>
            </w:pPr>
          </w:p>
        </w:tc>
        <w:tc>
          <w:tcPr>
            <w:tcW w:w="6139" w:type="dxa"/>
            <w:gridSpan w:val="8"/>
            <w:tcBorders>
              <w:top w:val="single" w:sz="4" w:space="0" w:color="auto"/>
            </w:tcBorders>
            <w:noWrap/>
            <w:hideMark/>
          </w:tcPr>
          <w:p w14:paraId="79C7C203" w14:textId="77777777" w:rsidR="00D03E58" w:rsidRPr="000C3495" w:rsidRDefault="00D03E58" w:rsidP="008913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s-MX"/>
              </w:rPr>
            </w:pPr>
            <w:r w:rsidRPr="004E286F">
              <w:rPr>
                <w:rFonts w:ascii="Times New Roman" w:eastAsia="Times New Roman" w:hAnsi="Times New Roman" w:cs="Times New Roman"/>
                <w:sz w:val="24"/>
                <w:szCs w:val="24"/>
                <w:lang w:eastAsia="es-MX"/>
              </w:rPr>
              <w:t>Unidades de Aprendizaje</w:t>
            </w:r>
          </w:p>
        </w:tc>
      </w:tr>
      <w:tr w:rsidR="00D03E58" w:rsidRPr="000C3495" w14:paraId="02C53099" w14:textId="77777777" w:rsidTr="00891307">
        <w:trPr>
          <w:trHeight w:val="300"/>
        </w:trPr>
        <w:tc>
          <w:tcPr>
            <w:cnfStyle w:val="001000000000" w:firstRow="0" w:lastRow="0" w:firstColumn="1" w:lastColumn="0" w:oddVBand="0" w:evenVBand="0" w:oddHBand="0" w:evenHBand="0" w:firstRowFirstColumn="0" w:firstRowLastColumn="0" w:lastRowFirstColumn="0" w:lastRowLastColumn="0"/>
            <w:tcW w:w="2689" w:type="dxa"/>
            <w:vMerge/>
            <w:noWrap/>
          </w:tcPr>
          <w:p w14:paraId="41C842E5" w14:textId="77777777" w:rsidR="00D03E58" w:rsidRPr="000C3495" w:rsidRDefault="00D03E58" w:rsidP="00891307">
            <w:pPr>
              <w:jc w:val="center"/>
              <w:rPr>
                <w:rFonts w:ascii="Times New Roman" w:eastAsia="Times New Roman" w:hAnsi="Times New Roman" w:cs="Times New Roman"/>
                <w:sz w:val="20"/>
                <w:szCs w:val="20"/>
                <w:lang w:eastAsia="es-MX"/>
              </w:rPr>
            </w:pPr>
          </w:p>
        </w:tc>
        <w:tc>
          <w:tcPr>
            <w:tcW w:w="896" w:type="dxa"/>
            <w:noWrap/>
          </w:tcPr>
          <w:p w14:paraId="3ABB1273" w14:textId="77777777" w:rsidR="00D03E58" w:rsidRPr="000C3495" w:rsidRDefault="00D03E58"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4E286F">
              <w:rPr>
                <w:rFonts w:ascii="Times New Roman" w:eastAsia="Times New Roman" w:hAnsi="Times New Roman" w:cs="Times New Roman"/>
                <w:sz w:val="24"/>
                <w:szCs w:val="24"/>
                <w:lang w:eastAsia="es-MX"/>
              </w:rPr>
              <w:t>1</w:t>
            </w:r>
            <w:r w:rsidRPr="004E286F">
              <w:rPr>
                <w:rFonts w:ascii="Times New Roman" w:eastAsia="Times New Roman" w:hAnsi="Times New Roman" w:cs="Times New Roman"/>
                <w:sz w:val="24"/>
                <w:szCs w:val="24"/>
                <w:vertAlign w:val="superscript"/>
                <w:lang w:eastAsia="es-MX"/>
              </w:rPr>
              <w:t>a</w:t>
            </w:r>
          </w:p>
        </w:tc>
        <w:tc>
          <w:tcPr>
            <w:tcW w:w="936" w:type="dxa"/>
            <w:noWrap/>
          </w:tcPr>
          <w:p w14:paraId="35BF95A7" w14:textId="77777777" w:rsidR="00D03E58" w:rsidRPr="000C3495" w:rsidRDefault="00D03E58"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4E286F">
              <w:rPr>
                <w:rFonts w:ascii="Times New Roman" w:eastAsia="Times New Roman" w:hAnsi="Times New Roman" w:cs="Times New Roman"/>
                <w:sz w:val="24"/>
                <w:szCs w:val="24"/>
                <w:lang w:eastAsia="es-MX"/>
              </w:rPr>
              <w:t>2</w:t>
            </w:r>
            <w:r w:rsidRPr="004E286F">
              <w:rPr>
                <w:rFonts w:ascii="Times New Roman" w:eastAsia="Times New Roman" w:hAnsi="Times New Roman" w:cs="Times New Roman"/>
                <w:sz w:val="24"/>
                <w:szCs w:val="24"/>
                <w:vertAlign w:val="superscript"/>
                <w:lang w:eastAsia="es-MX"/>
              </w:rPr>
              <w:t>b</w:t>
            </w:r>
          </w:p>
        </w:tc>
        <w:tc>
          <w:tcPr>
            <w:tcW w:w="756" w:type="dxa"/>
            <w:noWrap/>
          </w:tcPr>
          <w:p w14:paraId="11DCF346" w14:textId="77777777" w:rsidR="00D03E58" w:rsidRPr="000C3495" w:rsidRDefault="00D03E58"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4E286F">
              <w:rPr>
                <w:rFonts w:ascii="Times New Roman" w:eastAsia="Times New Roman" w:hAnsi="Times New Roman" w:cs="Times New Roman"/>
                <w:sz w:val="24"/>
                <w:szCs w:val="24"/>
                <w:lang w:eastAsia="es-MX"/>
              </w:rPr>
              <w:t>3</w:t>
            </w:r>
            <w:r w:rsidRPr="004E286F">
              <w:rPr>
                <w:rFonts w:ascii="Times New Roman" w:eastAsia="Times New Roman" w:hAnsi="Times New Roman" w:cs="Times New Roman"/>
                <w:sz w:val="24"/>
                <w:szCs w:val="24"/>
                <w:vertAlign w:val="superscript"/>
                <w:lang w:eastAsia="es-MX"/>
              </w:rPr>
              <w:t>c</w:t>
            </w:r>
          </w:p>
        </w:tc>
        <w:tc>
          <w:tcPr>
            <w:tcW w:w="756" w:type="dxa"/>
            <w:noWrap/>
          </w:tcPr>
          <w:p w14:paraId="646D8278" w14:textId="77777777" w:rsidR="00D03E58" w:rsidRPr="000C3495" w:rsidRDefault="00D03E58"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4E286F">
              <w:rPr>
                <w:rFonts w:ascii="Times New Roman" w:eastAsia="Times New Roman" w:hAnsi="Times New Roman" w:cs="Times New Roman"/>
                <w:sz w:val="24"/>
                <w:szCs w:val="24"/>
                <w:lang w:eastAsia="es-MX"/>
              </w:rPr>
              <w:t>4</w:t>
            </w:r>
            <w:r w:rsidRPr="004E286F">
              <w:rPr>
                <w:rFonts w:ascii="Times New Roman" w:eastAsia="Times New Roman" w:hAnsi="Times New Roman" w:cs="Times New Roman"/>
                <w:sz w:val="24"/>
                <w:szCs w:val="24"/>
                <w:vertAlign w:val="superscript"/>
                <w:lang w:eastAsia="es-MX"/>
              </w:rPr>
              <w:t>d</w:t>
            </w:r>
          </w:p>
        </w:tc>
        <w:tc>
          <w:tcPr>
            <w:tcW w:w="656" w:type="dxa"/>
            <w:noWrap/>
          </w:tcPr>
          <w:p w14:paraId="58331EB8" w14:textId="77777777" w:rsidR="00D03E58" w:rsidRPr="000C3495" w:rsidRDefault="00D03E58"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4E286F">
              <w:rPr>
                <w:rFonts w:ascii="Times New Roman" w:eastAsia="Times New Roman" w:hAnsi="Times New Roman" w:cs="Times New Roman"/>
                <w:sz w:val="24"/>
                <w:szCs w:val="24"/>
                <w:lang w:eastAsia="es-MX"/>
              </w:rPr>
              <w:t>5</w:t>
            </w:r>
            <w:r w:rsidRPr="004E286F">
              <w:rPr>
                <w:rFonts w:ascii="Times New Roman" w:eastAsia="Times New Roman" w:hAnsi="Times New Roman" w:cs="Times New Roman"/>
                <w:sz w:val="24"/>
                <w:szCs w:val="24"/>
                <w:vertAlign w:val="superscript"/>
                <w:lang w:eastAsia="es-MX"/>
              </w:rPr>
              <w:t>e</w:t>
            </w:r>
          </w:p>
        </w:tc>
        <w:tc>
          <w:tcPr>
            <w:tcW w:w="656" w:type="dxa"/>
            <w:noWrap/>
          </w:tcPr>
          <w:p w14:paraId="3C2E4C9D" w14:textId="77777777" w:rsidR="00D03E58" w:rsidRPr="000C3495" w:rsidRDefault="00D03E58"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4E286F">
              <w:rPr>
                <w:rFonts w:ascii="Times New Roman" w:eastAsia="Times New Roman" w:hAnsi="Times New Roman" w:cs="Times New Roman"/>
                <w:sz w:val="24"/>
                <w:szCs w:val="24"/>
                <w:lang w:eastAsia="es-MX"/>
              </w:rPr>
              <w:t>6</w:t>
            </w:r>
            <w:r w:rsidRPr="004E286F">
              <w:rPr>
                <w:rFonts w:ascii="Times New Roman" w:eastAsia="Times New Roman" w:hAnsi="Times New Roman" w:cs="Times New Roman"/>
                <w:sz w:val="24"/>
                <w:szCs w:val="24"/>
                <w:vertAlign w:val="superscript"/>
                <w:lang w:eastAsia="es-MX"/>
              </w:rPr>
              <w:t>f</w:t>
            </w:r>
          </w:p>
        </w:tc>
        <w:tc>
          <w:tcPr>
            <w:tcW w:w="607" w:type="dxa"/>
            <w:noWrap/>
          </w:tcPr>
          <w:p w14:paraId="573DFFB8" w14:textId="77777777" w:rsidR="00D03E58" w:rsidRPr="000C3495" w:rsidRDefault="00D03E58"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4E286F">
              <w:rPr>
                <w:rFonts w:ascii="Times New Roman" w:eastAsia="Times New Roman" w:hAnsi="Times New Roman" w:cs="Times New Roman"/>
                <w:sz w:val="24"/>
                <w:szCs w:val="24"/>
                <w:lang w:eastAsia="es-MX"/>
              </w:rPr>
              <w:t>7</w:t>
            </w:r>
            <w:r w:rsidRPr="004E286F">
              <w:rPr>
                <w:rFonts w:ascii="Times New Roman" w:eastAsia="Times New Roman" w:hAnsi="Times New Roman" w:cs="Times New Roman"/>
                <w:sz w:val="24"/>
                <w:szCs w:val="24"/>
                <w:vertAlign w:val="superscript"/>
                <w:lang w:eastAsia="es-MX"/>
              </w:rPr>
              <w:t>g</w:t>
            </w:r>
          </w:p>
        </w:tc>
        <w:tc>
          <w:tcPr>
            <w:tcW w:w="876" w:type="dxa"/>
            <w:noWrap/>
          </w:tcPr>
          <w:p w14:paraId="00882A23" w14:textId="77777777" w:rsidR="00D03E58" w:rsidRPr="000C3495" w:rsidRDefault="00D03E58"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s-MX"/>
              </w:rPr>
            </w:pPr>
            <w:r w:rsidRPr="004E286F">
              <w:rPr>
                <w:rFonts w:ascii="Times New Roman" w:eastAsia="Times New Roman" w:hAnsi="Times New Roman" w:cs="Times New Roman"/>
                <w:sz w:val="24"/>
                <w:szCs w:val="24"/>
                <w:lang w:eastAsia="es-MX"/>
              </w:rPr>
              <w:t>8</w:t>
            </w:r>
            <w:r w:rsidRPr="004E286F">
              <w:rPr>
                <w:rFonts w:ascii="Times New Roman" w:eastAsia="Times New Roman" w:hAnsi="Times New Roman" w:cs="Times New Roman"/>
                <w:sz w:val="24"/>
                <w:szCs w:val="24"/>
                <w:vertAlign w:val="superscript"/>
                <w:lang w:eastAsia="es-MX"/>
              </w:rPr>
              <w:t>h</w:t>
            </w:r>
          </w:p>
        </w:tc>
      </w:tr>
      <w:tr w:rsidR="00D03E58" w:rsidRPr="000C3495" w14:paraId="57F6C6AC" w14:textId="77777777" w:rsidTr="008913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61E613AE" w14:textId="77777777" w:rsidR="00D03E58" w:rsidRPr="000C3495" w:rsidRDefault="00D03E58" w:rsidP="00891307">
            <w:pPr>
              <w:jc w:val="right"/>
              <w:rPr>
                <w:rFonts w:ascii="Calibri" w:eastAsia="Times New Roman" w:hAnsi="Calibri" w:cs="Times New Roman"/>
                <w:color w:val="000000"/>
                <w:lang w:eastAsia="es-MX"/>
              </w:rPr>
            </w:pPr>
            <w:r w:rsidRPr="000C3495">
              <w:rPr>
                <w:rFonts w:ascii="Calibri" w:eastAsia="Times New Roman" w:hAnsi="Calibri" w:cs="Times New Roman"/>
                <w:color w:val="000000"/>
                <w:lang w:eastAsia="es-MX"/>
              </w:rPr>
              <w:t>MEDIA ARITMÉTICA</w:t>
            </w:r>
          </w:p>
        </w:tc>
        <w:tc>
          <w:tcPr>
            <w:tcW w:w="896" w:type="dxa"/>
            <w:noWrap/>
            <w:hideMark/>
          </w:tcPr>
          <w:p w14:paraId="528DE518" w14:textId="77777777" w:rsidR="00D03E58" w:rsidRPr="000C3495" w:rsidRDefault="00D03E58" w:rsidP="008913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C3495">
              <w:rPr>
                <w:rFonts w:ascii="Calibri" w:eastAsia="Times New Roman" w:hAnsi="Calibri" w:cs="Times New Roman"/>
                <w:color w:val="000000"/>
                <w:lang w:eastAsia="es-MX"/>
              </w:rPr>
              <w:t>7.91</w:t>
            </w:r>
          </w:p>
        </w:tc>
        <w:tc>
          <w:tcPr>
            <w:tcW w:w="936" w:type="dxa"/>
            <w:noWrap/>
            <w:hideMark/>
          </w:tcPr>
          <w:p w14:paraId="289AA402" w14:textId="77777777" w:rsidR="00D03E58" w:rsidRPr="000C3495" w:rsidRDefault="00D03E58" w:rsidP="008913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C3495">
              <w:rPr>
                <w:rFonts w:ascii="Calibri" w:eastAsia="Times New Roman" w:hAnsi="Calibri" w:cs="Times New Roman"/>
                <w:color w:val="000000"/>
                <w:lang w:eastAsia="es-MX"/>
              </w:rPr>
              <w:t>8.25</w:t>
            </w:r>
          </w:p>
        </w:tc>
        <w:tc>
          <w:tcPr>
            <w:tcW w:w="756" w:type="dxa"/>
            <w:noWrap/>
            <w:hideMark/>
          </w:tcPr>
          <w:p w14:paraId="4F92B5D8" w14:textId="77777777" w:rsidR="00D03E58" w:rsidRPr="000C3495" w:rsidRDefault="00D03E58" w:rsidP="008913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C3495">
              <w:rPr>
                <w:rFonts w:ascii="Calibri" w:eastAsia="Times New Roman" w:hAnsi="Calibri" w:cs="Times New Roman"/>
                <w:color w:val="000000"/>
                <w:lang w:eastAsia="es-MX"/>
              </w:rPr>
              <w:t>7.83</w:t>
            </w:r>
          </w:p>
        </w:tc>
        <w:tc>
          <w:tcPr>
            <w:tcW w:w="756" w:type="dxa"/>
            <w:noWrap/>
            <w:hideMark/>
          </w:tcPr>
          <w:p w14:paraId="4A57067F" w14:textId="77777777" w:rsidR="00D03E58" w:rsidRPr="000C3495" w:rsidRDefault="00D03E58" w:rsidP="008913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C3495">
              <w:rPr>
                <w:rFonts w:ascii="Calibri" w:eastAsia="Times New Roman" w:hAnsi="Calibri" w:cs="Times New Roman"/>
                <w:color w:val="000000"/>
                <w:lang w:eastAsia="es-MX"/>
              </w:rPr>
              <w:t>7.79</w:t>
            </w:r>
          </w:p>
        </w:tc>
        <w:tc>
          <w:tcPr>
            <w:tcW w:w="656" w:type="dxa"/>
            <w:noWrap/>
            <w:hideMark/>
          </w:tcPr>
          <w:p w14:paraId="07A1069D" w14:textId="77777777" w:rsidR="00D03E58" w:rsidRPr="000C3495" w:rsidRDefault="00D03E58" w:rsidP="008913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C3495">
              <w:rPr>
                <w:rFonts w:ascii="Calibri" w:eastAsia="Times New Roman" w:hAnsi="Calibri" w:cs="Times New Roman"/>
                <w:color w:val="000000"/>
                <w:lang w:eastAsia="es-MX"/>
              </w:rPr>
              <w:t>7.76</w:t>
            </w:r>
          </w:p>
        </w:tc>
        <w:tc>
          <w:tcPr>
            <w:tcW w:w="656" w:type="dxa"/>
            <w:noWrap/>
            <w:hideMark/>
          </w:tcPr>
          <w:p w14:paraId="47876BA8" w14:textId="77777777" w:rsidR="00D03E58" w:rsidRPr="000C3495" w:rsidRDefault="00D03E58" w:rsidP="008913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C3495">
              <w:rPr>
                <w:rFonts w:ascii="Calibri" w:eastAsia="Times New Roman" w:hAnsi="Calibri" w:cs="Times New Roman"/>
                <w:color w:val="000000"/>
                <w:lang w:eastAsia="es-MX"/>
              </w:rPr>
              <w:t>5.61</w:t>
            </w:r>
          </w:p>
        </w:tc>
        <w:tc>
          <w:tcPr>
            <w:tcW w:w="607" w:type="dxa"/>
            <w:noWrap/>
            <w:hideMark/>
          </w:tcPr>
          <w:p w14:paraId="3139F5D5" w14:textId="77777777" w:rsidR="00D03E58" w:rsidRPr="000C3495" w:rsidRDefault="00D03E58" w:rsidP="008913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C3495">
              <w:rPr>
                <w:rFonts w:ascii="Calibri" w:eastAsia="Times New Roman" w:hAnsi="Calibri" w:cs="Times New Roman"/>
                <w:color w:val="000000"/>
                <w:lang w:eastAsia="es-MX"/>
              </w:rPr>
              <w:t>8.34</w:t>
            </w:r>
          </w:p>
        </w:tc>
        <w:tc>
          <w:tcPr>
            <w:tcW w:w="876" w:type="dxa"/>
            <w:noWrap/>
            <w:hideMark/>
          </w:tcPr>
          <w:p w14:paraId="1798B224" w14:textId="77777777" w:rsidR="00D03E58" w:rsidRPr="000C3495" w:rsidRDefault="00D03E58" w:rsidP="008913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C3495">
              <w:rPr>
                <w:rFonts w:ascii="Calibri" w:eastAsia="Times New Roman" w:hAnsi="Calibri" w:cs="Times New Roman"/>
                <w:color w:val="000000"/>
                <w:lang w:eastAsia="es-MX"/>
              </w:rPr>
              <w:t>7.70</w:t>
            </w:r>
          </w:p>
        </w:tc>
      </w:tr>
      <w:tr w:rsidR="00D03E58" w:rsidRPr="000C3495" w14:paraId="0C246A50" w14:textId="77777777" w:rsidTr="00891307">
        <w:trPr>
          <w:trHeight w:val="30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F79646" w:themeColor="accent6"/>
              <w:bottom w:val="single" w:sz="4" w:space="0" w:color="auto"/>
            </w:tcBorders>
            <w:noWrap/>
            <w:hideMark/>
          </w:tcPr>
          <w:p w14:paraId="3130AC25" w14:textId="77777777" w:rsidR="00D03E58" w:rsidRPr="000C3495" w:rsidRDefault="00D03E58" w:rsidP="00891307">
            <w:pPr>
              <w:jc w:val="right"/>
              <w:rPr>
                <w:rFonts w:ascii="Calibri" w:eastAsia="Times New Roman" w:hAnsi="Calibri" w:cs="Times New Roman"/>
                <w:color w:val="000000"/>
                <w:lang w:eastAsia="es-MX"/>
              </w:rPr>
            </w:pPr>
            <w:r w:rsidRPr="000C3495">
              <w:rPr>
                <w:rFonts w:ascii="Calibri" w:eastAsia="Times New Roman" w:hAnsi="Calibri" w:cs="Times New Roman"/>
                <w:color w:val="000000"/>
                <w:lang w:eastAsia="es-MX"/>
              </w:rPr>
              <w:t>desviación estándar</w:t>
            </w:r>
          </w:p>
        </w:tc>
        <w:tc>
          <w:tcPr>
            <w:tcW w:w="896" w:type="dxa"/>
            <w:tcBorders>
              <w:top w:val="single" w:sz="4" w:space="0" w:color="F79646" w:themeColor="accent6"/>
              <w:bottom w:val="single" w:sz="4" w:space="0" w:color="auto"/>
            </w:tcBorders>
            <w:noWrap/>
            <w:hideMark/>
          </w:tcPr>
          <w:p w14:paraId="3348E45B" w14:textId="77777777" w:rsidR="00D03E58" w:rsidRPr="000C3495" w:rsidRDefault="00D03E58" w:rsidP="008913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C3495">
              <w:rPr>
                <w:rFonts w:ascii="Calibri" w:eastAsia="Times New Roman" w:hAnsi="Calibri" w:cs="Times New Roman"/>
                <w:color w:val="000000"/>
                <w:lang w:eastAsia="es-MX"/>
              </w:rPr>
              <w:t>1.78</w:t>
            </w:r>
          </w:p>
        </w:tc>
        <w:tc>
          <w:tcPr>
            <w:tcW w:w="936" w:type="dxa"/>
            <w:tcBorders>
              <w:top w:val="single" w:sz="4" w:space="0" w:color="F79646" w:themeColor="accent6"/>
              <w:bottom w:val="single" w:sz="4" w:space="0" w:color="auto"/>
            </w:tcBorders>
            <w:noWrap/>
            <w:hideMark/>
          </w:tcPr>
          <w:p w14:paraId="0E6D3387" w14:textId="77777777" w:rsidR="00D03E58" w:rsidRPr="000C3495" w:rsidRDefault="00D03E58" w:rsidP="008913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C3495">
              <w:rPr>
                <w:rFonts w:ascii="Calibri" w:eastAsia="Times New Roman" w:hAnsi="Calibri" w:cs="Times New Roman"/>
                <w:color w:val="000000"/>
                <w:lang w:eastAsia="es-MX"/>
              </w:rPr>
              <w:t>2.06</w:t>
            </w:r>
          </w:p>
        </w:tc>
        <w:tc>
          <w:tcPr>
            <w:tcW w:w="756" w:type="dxa"/>
            <w:tcBorders>
              <w:top w:val="single" w:sz="4" w:space="0" w:color="F79646" w:themeColor="accent6"/>
              <w:bottom w:val="single" w:sz="4" w:space="0" w:color="auto"/>
            </w:tcBorders>
            <w:noWrap/>
            <w:hideMark/>
          </w:tcPr>
          <w:p w14:paraId="0E5E8BED" w14:textId="77777777" w:rsidR="00D03E58" w:rsidRPr="000C3495" w:rsidRDefault="00D03E58" w:rsidP="008913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C3495">
              <w:rPr>
                <w:rFonts w:ascii="Calibri" w:eastAsia="Times New Roman" w:hAnsi="Calibri" w:cs="Times New Roman"/>
                <w:color w:val="000000"/>
                <w:lang w:eastAsia="es-MX"/>
              </w:rPr>
              <w:t>2.18</w:t>
            </w:r>
          </w:p>
        </w:tc>
        <w:tc>
          <w:tcPr>
            <w:tcW w:w="756" w:type="dxa"/>
            <w:tcBorders>
              <w:top w:val="single" w:sz="4" w:space="0" w:color="F79646" w:themeColor="accent6"/>
              <w:bottom w:val="single" w:sz="4" w:space="0" w:color="auto"/>
            </w:tcBorders>
            <w:noWrap/>
            <w:hideMark/>
          </w:tcPr>
          <w:p w14:paraId="5C2ABA52" w14:textId="77777777" w:rsidR="00D03E58" w:rsidRPr="000C3495" w:rsidRDefault="00D03E58" w:rsidP="008913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C3495">
              <w:rPr>
                <w:rFonts w:ascii="Calibri" w:eastAsia="Times New Roman" w:hAnsi="Calibri" w:cs="Times New Roman"/>
                <w:color w:val="000000"/>
                <w:lang w:eastAsia="es-MX"/>
              </w:rPr>
              <w:t>2.15</w:t>
            </w:r>
          </w:p>
        </w:tc>
        <w:tc>
          <w:tcPr>
            <w:tcW w:w="656" w:type="dxa"/>
            <w:tcBorders>
              <w:top w:val="single" w:sz="4" w:space="0" w:color="F79646" w:themeColor="accent6"/>
              <w:bottom w:val="single" w:sz="4" w:space="0" w:color="auto"/>
            </w:tcBorders>
            <w:noWrap/>
            <w:hideMark/>
          </w:tcPr>
          <w:p w14:paraId="6E3AB09B" w14:textId="77777777" w:rsidR="00D03E58" w:rsidRPr="000C3495" w:rsidRDefault="00D03E58" w:rsidP="008913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C3495">
              <w:rPr>
                <w:rFonts w:ascii="Calibri" w:eastAsia="Times New Roman" w:hAnsi="Calibri" w:cs="Times New Roman"/>
                <w:color w:val="000000"/>
                <w:lang w:eastAsia="es-MX"/>
              </w:rPr>
              <w:t>2.28</w:t>
            </w:r>
          </w:p>
        </w:tc>
        <w:tc>
          <w:tcPr>
            <w:tcW w:w="656" w:type="dxa"/>
            <w:tcBorders>
              <w:top w:val="single" w:sz="4" w:space="0" w:color="F79646" w:themeColor="accent6"/>
              <w:bottom w:val="single" w:sz="4" w:space="0" w:color="auto"/>
            </w:tcBorders>
            <w:noWrap/>
            <w:hideMark/>
          </w:tcPr>
          <w:p w14:paraId="5C961BD3" w14:textId="77777777" w:rsidR="00D03E58" w:rsidRPr="000C3495" w:rsidRDefault="00D03E58" w:rsidP="008913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C3495">
              <w:rPr>
                <w:rFonts w:ascii="Calibri" w:eastAsia="Times New Roman" w:hAnsi="Calibri" w:cs="Times New Roman"/>
                <w:color w:val="000000"/>
                <w:lang w:eastAsia="es-MX"/>
              </w:rPr>
              <w:t>2.41</w:t>
            </w:r>
          </w:p>
        </w:tc>
        <w:tc>
          <w:tcPr>
            <w:tcW w:w="607" w:type="dxa"/>
            <w:tcBorders>
              <w:top w:val="single" w:sz="4" w:space="0" w:color="F79646" w:themeColor="accent6"/>
              <w:bottom w:val="single" w:sz="4" w:space="0" w:color="auto"/>
            </w:tcBorders>
            <w:noWrap/>
            <w:hideMark/>
          </w:tcPr>
          <w:p w14:paraId="05B64EB0" w14:textId="77777777" w:rsidR="00D03E58" w:rsidRPr="000C3495" w:rsidRDefault="00D03E58" w:rsidP="008913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C3495">
              <w:rPr>
                <w:rFonts w:ascii="Calibri" w:eastAsia="Times New Roman" w:hAnsi="Calibri" w:cs="Times New Roman"/>
                <w:color w:val="000000"/>
                <w:lang w:eastAsia="es-MX"/>
              </w:rPr>
              <w:t>2.53</w:t>
            </w:r>
          </w:p>
        </w:tc>
        <w:tc>
          <w:tcPr>
            <w:tcW w:w="876" w:type="dxa"/>
            <w:tcBorders>
              <w:top w:val="single" w:sz="4" w:space="0" w:color="F79646" w:themeColor="accent6"/>
              <w:bottom w:val="single" w:sz="4" w:space="0" w:color="auto"/>
            </w:tcBorders>
            <w:noWrap/>
            <w:hideMark/>
          </w:tcPr>
          <w:p w14:paraId="3DF57208" w14:textId="77777777" w:rsidR="00D03E58" w:rsidRPr="000C3495" w:rsidRDefault="00D03E58" w:rsidP="008913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C3495">
              <w:rPr>
                <w:rFonts w:ascii="Calibri" w:eastAsia="Times New Roman" w:hAnsi="Calibri" w:cs="Times New Roman"/>
                <w:color w:val="000000"/>
                <w:lang w:eastAsia="es-MX"/>
              </w:rPr>
              <w:t>2.63</w:t>
            </w:r>
          </w:p>
        </w:tc>
      </w:tr>
    </w:tbl>
    <w:p w14:paraId="6C0F2486" w14:textId="77777777" w:rsidR="00D03E58" w:rsidRPr="004E286F" w:rsidRDefault="00D03E58" w:rsidP="00D03E58">
      <w:pPr>
        <w:spacing w:before="240"/>
        <w:rPr>
          <w:rFonts w:ascii="Times New Roman" w:hAnsi="Times New Roman" w:cs="Times New Roman"/>
          <w:bCs/>
          <w:sz w:val="20"/>
          <w:szCs w:val="20"/>
        </w:rPr>
      </w:pPr>
      <w:r w:rsidRPr="004E286F">
        <w:rPr>
          <w:rFonts w:ascii="Times New Roman" w:hAnsi="Times New Roman" w:cs="Times New Roman"/>
          <w:bCs/>
          <w:sz w:val="20"/>
          <w:szCs w:val="20"/>
        </w:rPr>
        <w:t>Elaboración propia utilizando datos proporcionados por el Departamento de Control Escolar</w:t>
      </w:r>
    </w:p>
    <w:p w14:paraId="1BF921FE" w14:textId="77777777" w:rsidR="00D03E58" w:rsidRDefault="00D03E58" w:rsidP="00D03E58">
      <w:pPr>
        <w:spacing w:after="0" w:line="240" w:lineRule="auto"/>
        <w:rPr>
          <w:rFonts w:ascii="Times New Roman" w:eastAsia="Times New Roman" w:hAnsi="Times New Roman" w:cs="Times New Roman"/>
          <w:color w:val="000000"/>
          <w:sz w:val="20"/>
          <w:szCs w:val="20"/>
          <w:lang w:eastAsia="es-MX"/>
        </w:rPr>
      </w:pPr>
      <w:r w:rsidRPr="004E286F">
        <w:rPr>
          <w:rFonts w:ascii="Times New Roman" w:eastAsia="Times New Roman" w:hAnsi="Times New Roman" w:cs="Times New Roman"/>
          <w:color w:val="000000"/>
          <w:sz w:val="20"/>
          <w:szCs w:val="20"/>
          <w:lang w:eastAsia="es-MX"/>
        </w:rPr>
        <w:t xml:space="preserve">a  </w:t>
      </w:r>
      <w:r w:rsidRPr="000C3495">
        <w:rPr>
          <w:rFonts w:ascii="Times New Roman" w:eastAsia="Times New Roman" w:hAnsi="Times New Roman" w:cs="Times New Roman"/>
          <w:color w:val="000000"/>
          <w:sz w:val="20"/>
          <w:szCs w:val="20"/>
          <w:lang w:eastAsia="es-MX"/>
        </w:rPr>
        <w:t>Taller de diseño urbano de paisaje I</w:t>
      </w:r>
      <w:r w:rsidRPr="004E286F">
        <w:rPr>
          <w:rFonts w:ascii="Times New Roman" w:eastAsia="Times New Roman" w:hAnsi="Times New Roman" w:cs="Times New Roman"/>
          <w:color w:val="000000"/>
          <w:sz w:val="20"/>
          <w:szCs w:val="20"/>
          <w:lang w:eastAsia="es-MX"/>
        </w:rPr>
        <w:t xml:space="preserve">;  b  </w:t>
      </w:r>
      <w:r w:rsidRPr="000C3495">
        <w:rPr>
          <w:rFonts w:ascii="Times New Roman" w:eastAsia="Times New Roman" w:hAnsi="Times New Roman" w:cs="Times New Roman"/>
          <w:color w:val="000000"/>
          <w:sz w:val="20"/>
          <w:szCs w:val="20"/>
          <w:lang w:eastAsia="es-MX"/>
        </w:rPr>
        <w:t>Dibujo del paisaje urbano</w:t>
      </w:r>
      <w:r w:rsidRPr="004E286F">
        <w:rPr>
          <w:rFonts w:ascii="Times New Roman" w:eastAsia="Times New Roman" w:hAnsi="Times New Roman" w:cs="Times New Roman"/>
          <w:color w:val="000000"/>
          <w:sz w:val="20"/>
          <w:szCs w:val="20"/>
          <w:lang w:eastAsia="es-MX"/>
        </w:rPr>
        <w:t xml:space="preserve">;  </w:t>
      </w:r>
    </w:p>
    <w:p w14:paraId="3F99C3BF" w14:textId="77777777" w:rsidR="00D03E58" w:rsidRDefault="00D03E58" w:rsidP="00D03E58">
      <w:pPr>
        <w:spacing w:after="0" w:line="240" w:lineRule="auto"/>
        <w:rPr>
          <w:rFonts w:ascii="Times New Roman" w:eastAsia="Times New Roman" w:hAnsi="Times New Roman" w:cs="Times New Roman"/>
          <w:color w:val="000000"/>
          <w:sz w:val="20"/>
          <w:szCs w:val="20"/>
          <w:lang w:eastAsia="es-MX"/>
        </w:rPr>
      </w:pPr>
      <w:r w:rsidRPr="004E286F">
        <w:rPr>
          <w:rFonts w:ascii="Times New Roman" w:eastAsia="Times New Roman" w:hAnsi="Times New Roman" w:cs="Times New Roman"/>
          <w:color w:val="000000"/>
          <w:sz w:val="20"/>
          <w:szCs w:val="20"/>
          <w:lang w:eastAsia="es-MX"/>
        </w:rPr>
        <w:t xml:space="preserve">c  </w:t>
      </w:r>
      <w:r w:rsidRPr="000C3495">
        <w:rPr>
          <w:rFonts w:ascii="Times New Roman" w:eastAsia="Times New Roman" w:hAnsi="Times New Roman" w:cs="Times New Roman"/>
          <w:color w:val="000000"/>
          <w:sz w:val="20"/>
          <w:szCs w:val="20"/>
          <w:lang w:eastAsia="es-MX"/>
        </w:rPr>
        <w:t>Introducción al estudio del medio ambiente</w:t>
      </w:r>
      <w:r>
        <w:rPr>
          <w:rFonts w:ascii="Times New Roman" w:eastAsia="Times New Roman" w:hAnsi="Times New Roman" w:cs="Times New Roman"/>
          <w:color w:val="000000"/>
          <w:sz w:val="20"/>
          <w:szCs w:val="20"/>
          <w:lang w:eastAsia="es-MX"/>
        </w:rPr>
        <w:t xml:space="preserve">;  </w:t>
      </w:r>
      <w:r w:rsidRPr="004E286F">
        <w:rPr>
          <w:rFonts w:ascii="Times New Roman" w:eastAsia="Times New Roman" w:hAnsi="Times New Roman" w:cs="Times New Roman"/>
          <w:color w:val="000000"/>
          <w:sz w:val="20"/>
          <w:szCs w:val="20"/>
          <w:lang w:eastAsia="es-MX"/>
        </w:rPr>
        <w:t xml:space="preserve">d  </w:t>
      </w:r>
      <w:r w:rsidRPr="000C3495">
        <w:rPr>
          <w:rFonts w:ascii="Times New Roman" w:eastAsia="Times New Roman" w:hAnsi="Times New Roman" w:cs="Times New Roman"/>
          <w:color w:val="000000"/>
          <w:sz w:val="20"/>
          <w:szCs w:val="20"/>
          <w:lang w:eastAsia="es-MX"/>
        </w:rPr>
        <w:t>estructura y funcionamiento de ecosistemas</w:t>
      </w:r>
      <w:r w:rsidRPr="004E286F">
        <w:rPr>
          <w:rFonts w:ascii="Times New Roman" w:eastAsia="Times New Roman" w:hAnsi="Times New Roman" w:cs="Times New Roman"/>
          <w:color w:val="000000"/>
          <w:sz w:val="20"/>
          <w:szCs w:val="20"/>
          <w:lang w:eastAsia="es-MX"/>
        </w:rPr>
        <w:t xml:space="preserve">;  </w:t>
      </w:r>
    </w:p>
    <w:p w14:paraId="08F75241" w14:textId="77777777" w:rsidR="00D03E58" w:rsidRPr="004E286F" w:rsidRDefault="00D03E58" w:rsidP="00D03E58">
      <w:pPr>
        <w:spacing w:after="0" w:line="240" w:lineRule="auto"/>
        <w:rPr>
          <w:rFonts w:ascii="Times New Roman" w:hAnsi="Times New Roman" w:cs="Times New Roman"/>
          <w:bCs/>
          <w:sz w:val="20"/>
          <w:szCs w:val="20"/>
        </w:rPr>
      </w:pPr>
      <w:r w:rsidRPr="004E286F">
        <w:rPr>
          <w:rFonts w:ascii="Times New Roman" w:eastAsia="Times New Roman" w:hAnsi="Times New Roman" w:cs="Times New Roman"/>
          <w:color w:val="000000"/>
          <w:sz w:val="20"/>
          <w:szCs w:val="20"/>
          <w:lang w:eastAsia="es-MX"/>
        </w:rPr>
        <w:t xml:space="preserve">e  </w:t>
      </w:r>
      <w:r w:rsidRPr="000C3495">
        <w:rPr>
          <w:rFonts w:ascii="Times New Roman" w:eastAsia="Times New Roman" w:hAnsi="Times New Roman" w:cs="Times New Roman"/>
          <w:color w:val="000000"/>
          <w:sz w:val="20"/>
          <w:szCs w:val="20"/>
          <w:lang w:eastAsia="es-MX"/>
        </w:rPr>
        <w:t>Sustentabilidad</w:t>
      </w:r>
      <w:r w:rsidRPr="004E286F">
        <w:rPr>
          <w:rFonts w:ascii="Times New Roman" w:eastAsia="Times New Roman" w:hAnsi="Times New Roman" w:cs="Times New Roman"/>
          <w:color w:val="000000"/>
          <w:sz w:val="20"/>
          <w:szCs w:val="20"/>
          <w:lang w:eastAsia="es-MX"/>
        </w:rPr>
        <w:t xml:space="preserve">;  f  </w:t>
      </w:r>
      <w:r w:rsidRPr="000C3495">
        <w:rPr>
          <w:rFonts w:ascii="Times New Roman" w:eastAsia="Times New Roman" w:hAnsi="Times New Roman" w:cs="Times New Roman"/>
          <w:color w:val="000000"/>
          <w:sz w:val="20"/>
          <w:szCs w:val="20"/>
          <w:lang w:eastAsia="es-MX"/>
        </w:rPr>
        <w:t>Matemáticas aplicadas</w:t>
      </w:r>
      <w:r>
        <w:rPr>
          <w:rFonts w:ascii="Times New Roman" w:eastAsia="Times New Roman" w:hAnsi="Times New Roman" w:cs="Times New Roman"/>
          <w:color w:val="000000"/>
          <w:sz w:val="20"/>
          <w:szCs w:val="20"/>
          <w:lang w:eastAsia="es-MX"/>
        </w:rPr>
        <w:t xml:space="preserve">;  </w:t>
      </w:r>
      <w:r w:rsidRPr="004E286F">
        <w:rPr>
          <w:rFonts w:ascii="Times New Roman" w:eastAsia="Times New Roman" w:hAnsi="Times New Roman" w:cs="Times New Roman"/>
          <w:color w:val="000000"/>
          <w:sz w:val="20"/>
          <w:szCs w:val="20"/>
          <w:lang w:eastAsia="es-MX"/>
        </w:rPr>
        <w:t xml:space="preserve">g  </w:t>
      </w:r>
      <w:r w:rsidRPr="000C3495">
        <w:rPr>
          <w:rFonts w:ascii="Times New Roman" w:eastAsia="Times New Roman" w:hAnsi="Times New Roman" w:cs="Times New Roman"/>
          <w:color w:val="000000"/>
          <w:sz w:val="20"/>
          <w:szCs w:val="20"/>
          <w:lang w:eastAsia="es-MX"/>
        </w:rPr>
        <w:t>Topografía</w:t>
      </w:r>
      <w:r w:rsidRPr="004E286F">
        <w:rPr>
          <w:rFonts w:ascii="Times New Roman" w:eastAsia="Times New Roman" w:hAnsi="Times New Roman" w:cs="Times New Roman"/>
          <w:color w:val="000000"/>
          <w:sz w:val="20"/>
          <w:szCs w:val="20"/>
          <w:lang w:eastAsia="es-MX"/>
        </w:rPr>
        <w:t xml:space="preserve">;  h  </w:t>
      </w:r>
      <w:r w:rsidRPr="000C3495">
        <w:rPr>
          <w:rFonts w:ascii="Times New Roman" w:eastAsia="Times New Roman" w:hAnsi="Times New Roman" w:cs="Times New Roman"/>
          <w:color w:val="000000"/>
          <w:sz w:val="20"/>
          <w:szCs w:val="20"/>
          <w:lang w:eastAsia="es-MX"/>
        </w:rPr>
        <w:t>Técnicas del pensamiento</w:t>
      </w:r>
    </w:p>
    <w:p w14:paraId="131B2F41" w14:textId="77777777" w:rsidR="00D03E58" w:rsidRPr="004E286F" w:rsidRDefault="00D03E58" w:rsidP="00D03E58">
      <w:pPr>
        <w:spacing w:line="360" w:lineRule="auto"/>
        <w:rPr>
          <w:rFonts w:ascii="Times New Roman" w:hAnsi="Times New Roman" w:cs="Times New Roman"/>
          <w:bCs/>
          <w:sz w:val="20"/>
          <w:szCs w:val="20"/>
        </w:rPr>
      </w:pPr>
    </w:p>
    <w:p w14:paraId="73BB6DD0" w14:textId="67B52C5E" w:rsidR="00D03E58" w:rsidRDefault="00D03E58"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En la Tabla 5, se muestra el rendimiento académico en cada una de las unidades de aprendizaje correspondientes al Periodo 1 del plan de estudio de la licenciatura en DUP. La media aritmética (</w:t>
      </w:r>
      <w:r w:rsidRPr="001B3105">
        <w:rPr>
          <w:position w:val="-4"/>
        </w:rPr>
        <w:object w:dxaOrig="279" w:dyaOrig="260" w14:anchorId="7168C210">
          <v:shape id="_x0000_i1032" type="#_x0000_t75" style="width:14.25pt;height:13.5pt" o:ole="">
            <v:imagedata r:id="rId10" o:title=""/>
          </v:shape>
          <o:OLEObject Type="Embed" ProgID="Equation.3" ShapeID="_x0000_i1032" DrawAspect="Content" ObjectID="_1530953731" r:id="rId19"/>
        </w:object>
      </w:r>
      <w:r>
        <w:rPr>
          <w:rFonts w:ascii="Times New Roman" w:hAnsi="Times New Roman" w:cs="Times New Roman"/>
          <w:bCs/>
          <w:sz w:val="24"/>
          <w:szCs w:val="24"/>
        </w:rPr>
        <w:t>) y desviación estándar (</w:t>
      </w:r>
      <w:r w:rsidRPr="001B3105">
        <w:rPr>
          <w:position w:val="-6"/>
        </w:rPr>
        <w:object w:dxaOrig="240" w:dyaOrig="220" w14:anchorId="5AE9D3BA">
          <v:shape id="_x0000_i1033" type="#_x0000_t75" style="width:12.75pt;height:12pt" o:ole="">
            <v:imagedata r:id="rId12" o:title=""/>
          </v:shape>
          <o:OLEObject Type="Embed" ProgID="Equation.3" ShapeID="_x0000_i1033" DrawAspect="Content" ObjectID="_1530953732" r:id="rId20"/>
        </w:object>
      </w:r>
      <w:r>
        <w:rPr>
          <w:rFonts w:ascii="Times New Roman" w:hAnsi="Times New Roman" w:cs="Times New Roman"/>
          <w:bCs/>
          <w:sz w:val="24"/>
          <w:szCs w:val="24"/>
        </w:rPr>
        <w:t>) de las ocho unidades de aprendizaje son 7.65 y 0.86 respectivamente. Si establecemos el intervalo de confianza [</w:t>
      </w:r>
      <w:r w:rsidRPr="00261657">
        <w:rPr>
          <w:rFonts w:ascii="Arial" w:hAnsi="Arial" w:cs="Arial"/>
          <w:position w:val="-10"/>
        </w:rPr>
        <w:object w:dxaOrig="700" w:dyaOrig="320" w14:anchorId="576C6069">
          <v:shape id="_x0000_i1034" type="#_x0000_t75" style="width:34.5pt;height:15.75pt" o:ole="">
            <v:imagedata r:id="rId14" o:title=""/>
          </v:shape>
          <o:OLEObject Type="Embed" ProgID="Equation.3" ShapeID="_x0000_i1034" DrawAspect="Content" ObjectID="_1530953733" r:id="rId21"/>
        </w:object>
      </w:r>
      <w:r>
        <w:rPr>
          <w:rFonts w:ascii="Times New Roman" w:hAnsi="Times New Roman" w:cs="Times New Roman"/>
          <w:bCs/>
          <w:sz w:val="24"/>
          <w:szCs w:val="24"/>
        </w:rPr>
        <w:t>] = [6.79</w:t>
      </w:r>
      <w:r>
        <w:rPr>
          <w:rFonts w:ascii="Arial" w:hAnsi="Arial" w:cs="Arial"/>
        </w:rPr>
        <w:t>, 8.51</w:t>
      </w:r>
      <w:r>
        <w:rPr>
          <w:rFonts w:ascii="Times New Roman" w:hAnsi="Times New Roman" w:cs="Times New Roman"/>
          <w:bCs/>
          <w:sz w:val="24"/>
          <w:szCs w:val="24"/>
        </w:rPr>
        <w:t xml:space="preserve">] de encontrar unidades de aprendizaje cuyo rendimiento académico es cercano al de la media aritmética, las unidades de aprendizaje que se encuentran fuera de este intervalo son las que presentan una diferencia significativa. </w:t>
      </w:r>
    </w:p>
    <w:p w14:paraId="7870C450" w14:textId="16EACD43" w:rsidR="00D03E58" w:rsidRDefault="00D03E58"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 acuerdo con lo anterior, la asignatura “</w:t>
      </w:r>
      <w:r w:rsidR="008B5779" w:rsidRPr="008B5779">
        <w:rPr>
          <w:rFonts w:ascii="Times New Roman" w:eastAsia="Times New Roman" w:hAnsi="Times New Roman" w:cs="Times New Roman"/>
          <w:i/>
          <w:color w:val="000000"/>
          <w:sz w:val="24"/>
          <w:szCs w:val="24"/>
          <w:lang w:eastAsia="es-MX"/>
        </w:rPr>
        <w:t>Matemáticas aplicadas</w:t>
      </w:r>
      <w:r>
        <w:rPr>
          <w:rFonts w:ascii="Times New Roman" w:hAnsi="Times New Roman" w:cs="Times New Roman"/>
          <w:bCs/>
          <w:sz w:val="24"/>
          <w:szCs w:val="24"/>
        </w:rPr>
        <w:t>” (</w:t>
      </w:r>
      <w:r w:rsidR="008B5779">
        <w:rPr>
          <w:rFonts w:ascii="Times New Roman" w:hAnsi="Times New Roman" w:cs="Times New Roman"/>
          <w:bCs/>
          <w:sz w:val="24"/>
          <w:szCs w:val="24"/>
        </w:rPr>
        <w:t>5.61</w:t>
      </w:r>
      <w:r>
        <w:rPr>
          <w:rFonts w:ascii="Times New Roman" w:hAnsi="Times New Roman" w:cs="Times New Roman"/>
          <w:bCs/>
          <w:sz w:val="24"/>
          <w:szCs w:val="24"/>
        </w:rPr>
        <w:t xml:space="preserve"> &lt; </w:t>
      </w:r>
      <w:r w:rsidR="008B5779">
        <w:rPr>
          <w:rFonts w:ascii="Times New Roman" w:hAnsi="Times New Roman" w:cs="Times New Roman"/>
          <w:bCs/>
          <w:sz w:val="24"/>
          <w:szCs w:val="24"/>
        </w:rPr>
        <w:t>6.79</w:t>
      </w:r>
      <w:r>
        <w:rPr>
          <w:rFonts w:ascii="Times New Roman" w:hAnsi="Times New Roman" w:cs="Times New Roman"/>
          <w:bCs/>
          <w:sz w:val="24"/>
          <w:szCs w:val="24"/>
        </w:rPr>
        <w:t xml:space="preserve">), se encuentra por debajo del límite inferior del intervalo, situación que invita a profundizar en el análisis de la diversidad de situaciones que se presentaron durante el desarrollo del curso, para efecto de buscar nuevas estrategias didácticas con el propósito de elevar el </w:t>
      </w:r>
      <w:r>
        <w:rPr>
          <w:rFonts w:ascii="Times New Roman" w:hAnsi="Times New Roman" w:cs="Times New Roman"/>
          <w:bCs/>
          <w:sz w:val="24"/>
          <w:szCs w:val="24"/>
        </w:rPr>
        <w:lastRenderedPageBreak/>
        <w:t xml:space="preserve">rendimiento académico en cursos futuros. </w:t>
      </w:r>
      <w:r w:rsidR="008B5779">
        <w:rPr>
          <w:rFonts w:ascii="Times New Roman" w:hAnsi="Times New Roman" w:cs="Times New Roman"/>
          <w:bCs/>
          <w:sz w:val="24"/>
          <w:szCs w:val="24"/>
        </w:rPr>
        <w:t>Este resultado es muy extremoso, tanto que es el principal factor para que la desviación estándar sea mayor que la obtenida en cualquiera de los otros periodos estudiados (Tabla3, Tabla 4 y Tabla 6).</w:t>
      </w:r>
    </w:p>
    <w:p w14:paraId="68AA8A67" w14:textId="33A24D26" w:rsidR="006A67F6" w:rsidRDefault="008B5779"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Es muy contrastante el resultado obtenido en la asignatura “Matemáticas aplicada” que se muestra en la Tabla 5 (</w:t>
      </w:r>
      <w:r w:rsidR="00FE71F9">
        <w:rPr>
          <w:rFonts w:ascii="Times New Roman" w:hAnsi="Times New Roman" w:cs="Times New Roman"/>
          <w:bCs/>
          <w:sz w:val="24"/>
          <w:szCs w:val="24"/>
        </w:rPr>
        <w:t xml:space="preserve">el valor más bajo = </w:t>
      </w:r>
      <w:r>
        <w:rPr>
          <w:rFonts w:ascii="Times New Roman" w:hAnsi="Times New Roman" w:cs="Times New Roman"/>
          <w:bCs/>
          <w:sz w:val="24"/>
          <w:szCs w:val="24"/>
        </w:rPr>
        <w:t>5.61) y el obtenido en la misma asignatura mostrada en la Tabla 3 (</w:t>
      </w:r>
      <w:r w:rsidR="00FE71F9">
        <w:rPr>
          <w:rFonts w:ascii="Times New Roman" w:hAnsi="Times New Roman" w:cs="Times New Roman"/>
          <w:bCs/>
          <w:sz w:val="24"/>
          <w:szCs w:val="24"/>
        </w:rPr>
        <w:t xml:space="preserve">el valor más alto = 8.71). Esto refuerza la idea de que el factor –alumnos- no es el determinante de estos resultados tan extremosos (8.71 – 5.61 = 3.1). No existe otro par de asignaturas que muestren mayor diferencia que 3.1 puntos, aun que correspondan a áreas de conocimiento diferentes. En consecuencia, se consolida la hipótesis de que tiene que ver con el perfil del docente, es decir, que los docentes que impartieron estos cursos </w:t>
      </w:r>
      <w:r w:rsidR="006A67F6">
        <w:rPr>
          <w:rFonts w:ascii="Times New Roman" w:hAnsi="Times New Roman" w:cs="Times New Roman"/>
          <w:bCs/>
          <w:sz w:val="24"/>
          <w:szCs w:val="24"/>
        </w:rPr>
        <w:t>implementaron estrategias didácticas muy diferentes, por lo que importaría documentar cuales son las aplicadas en los grupos de la licenciatura en DIA, analizar el nivel de habilitación matemática de los alumnos y su sentir respecto a estos resultados.</w:t>
      </w:r>
    </w:p>
    <w:p w14:paraId="48B52623" w14:textId="77777777" w:rsidR="00D03E58" w:rsidRDefault="00D03E58" w:rsidP="00D03E58">
      <w:pPr>
        <w:spacing w:line="360" w:lineRule="auto"/>
        <w:rPr>
          <w:rFonts w:ascii="Times New Roman" w:hAnsi="Times New Roman" w:cs="Times New Roman"/>
          <w:bCs/>
          <w:sz w:val="24"/>
          <w:szCs w:val="24"/>
        </w:rPr>
      </w:pPr>
    </w:p>
    <w:tbl>
      <w:tblPr>
        <w:tblStyle w:val="ListTable3Accent6"/>
        <w:tblW w:w="8935" w:type="dxa"/>
        <w:tblLook w:val="04A0" w:firstRow="1" w:lastRow="0" w:firstColumn="1" w:lastColumn="0" w:noHBand="0" w:noVBand="1"/>
      </w:tblPr>
      <w:tblGrid>
        <w:gridCol w:w="2689"/>
        <w:gridCol w:w="851"/>
        <w:gridCol w:w="850"/>
        <w:gridCol w:w="851"/>
        <w:gridCol w:w="850"/>
        <w:gridCol w:w="696"/>
        <w:gridCol w:w="716"/>
        <w:gridCol w:w="716"/>
        <w:gridCol w:w="716"/>
      </w:tblGrid>
      <w:tr w:rsidR="00D03E58" w:rsidRPr="006B23E6" w14:paraId="67AB8EBB" w14:textId="77777777" w:rsidTr="00891307">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935" w:type="dxa"/>
            <w:gridSpan w:val="9"/>
            <w:tcBorders>
              <w:top w:val="single" w:sz="4" w:space="0" w:color="F79646" w:themeColor="accent6"/>
              <w:bottom w:val="single" w:sz="4" w:space="0" w:color="auto"/>
            </w:tcBorders>
            <w:noWrap/>
            <w:hideMark/>
          </w:tcPr>
          <w:p w14:paraId="6884F144" w14:textId="00668971" w:rsidR="00D03E58" w:rsidRPr="006B23E6" w:rsidRDefault="00D03E58" w:rsidP="00503D17">
            <w:pPr>
              <w:spacing w:line="360" w:lineRule="auto"/>
              <w:rPr>
                <w:rFonts w:ascii="Times New Roman" w:eastAsia="Times New Roman" w:hAnsi="Times New Roman" w:cs="Times New Roman"/>
                <w:color w:val="auto"/>
                <w:sz w:val="24"/>
                <w:szCs w:val="24"/>
                <w:lang w:eastAsia="es-MX"/>
              </w:rPr>
            </w:pPr>
            <w:r w:rsidRPr="006B23E6">
              <w:rPr>
                <w:rFonts w:ascii="Times New Roman" w:eastAsia="Times New Roman" w:hAnsi="Times New Roman" w:cs="Times New Roman"/>
                <w:color w:val="auto"/>
                <w:sz w:val="24"/>
                <w:szCs w:val="24"/>
                <w:lang w:eastAsia="es-MX"/>
              </w:rPr>
              <w:t xml:space="preserve">Tabla </w:t>
            </w:r>
            <w:r w:rsidR="008B5779">
              <w:rPr>
                <w:rFonts w:ascii="Times New Roman" w:eastAsia="Times New Roman" w:hAnsi="Times New Roman" w:cs="Times New Roman"/>
                <w:color w:val="auto"/>
                <w:sz w:val="24"/>
                <w:szCs w:val="24"/>
                <w:lang w:eastAsia="es-MX"/>
              </w:rPr>
              <w:t>6</w:t>
            </w:r>
            <w:r w:rsidRPr="006B23E6">
              <w:rPr>
                <w:rFonts w:ascii="Times New Roman" w:eastAsia="Times New Roman" w:hAnsi="Times New Roman" w:cs="Times New Roman"/>
                <w:color w:val="auto"/>
                <w:sz w:val="24"/>
                <w:szCs w:val="24"/>
                <w:lang w:eastAsia="es-MX"/>
              </w:rPr>
              <w:t>:</w:t>
            </w:r>
          </w:p>
          <w:p w14:paraId="4F28B4C3" w14:textId="577F16A4" w:rsidR="00D03E58" w:rsidRPr="000C3495" w:rsidRDefault="00D03E58" w:rsidP="00503D17">
            <w:pPr>
              <w:spacing w:line="360" w:lineRule="auto"/>
              <w:rPr>
                <w:rFonts w:ascii="Times New Roman" w:eastAsia="Times New Roman" w:hAnsi="Times New Roman" w:cs="Times New Roman"/>
                <w:color w:val="auto"/>
                <w:sz w:val="24"/>
                <w:szCs w:val="24"/>
                <w:lang w:eastAsia="es-MX"/>
              </w:rPr>
            </w:pPr>
            <w:r w:rsidRPr="006B23E6">
              <w:rPr>
                <w:rFonts w:ascii="Times New Roman" w:eastAsia="Times New Roman" w:hAnsi="Times New Roman" w:cs="Times New Roman"/>
                <w:color w:val="auto"/>
                <w:sz w:val="24"/>
                <w:szCs w:val="24"/>
                <w:lang w:eastAsia="es-MX"/>
              </w:rPr>
              <w:t xml:space="preserve">Rendimiento académico por unidades de aprendizaje de la cohorte DUP. Periodo </w:t>
            </w:r>
            <w:r w:rsidR="003E5C97">
              <w:rPr>
                <w:rFonts w:ascii="Times New Roman" w:eastAsia="Times New Roman" w:hAnsi="Times New Roman" w:cs="Times New Roman"/>
                <w:color w:val="auto"/>
                <w:sz w:val="24"/>
                <w:szCs w:val="24"/>
                <w:lang w:eastAsia="es-MX"/>
              </w:rPr>
              <w:t>2</w:t>
            </w:r>
          </w:p>
        </w:tc>
      </w:tr>
      <w:tr w:rsidR="00D03E58" w:rsidRPr="004E286F" w14:paraId="6D590E16" w14:textId="77777777" w:rsidTr="008913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vMerge w:val="restart"/>
            <w:tcBorders>
              <w:top w:val="single" w:sz="4" w:space="0" w:color="auto"/>
            </w:tcBorders>
            <w:noWrap/>
            <w:hideMark/>
          </w:tcPr>
          <w:p w14:paraId="3B8F795F" w14:textId="77777777" w:rsidR="00D03E58" w:rsidRPr="000C3495" w:rsidRDefault="00D03E58" w:rsidP="00891307">
            <w:pPr>
              <w:rPr>
                <w:rFonts w:ascii="Times New Roman" w:eastAsia="Times New Roman" w:hAnsi="Times New Roman" w:cs="Times New Roman"/>
                <w:sz w:val="24"/>
                <w:szCs w:val="24"/>
                <w:lang w:eastAsia="es-MX"/>
              </w:rPr>
            </w:pPr>
          </w:p>
        </w:tc>
        <w:tc>
          <w:tcPr>
            <w:tcW w:w="6246" w:type="dxa"/>
            <w:gridSpan w:val="8"/>
            <w:tcBorders>
              <w:top w:val="single" w:sz="4" w:space="0" w:color="auto"/>
            </w:tcBorders>
            <w:noWrap/>
            <w:hideMark/>
          </w:tcPr>
          <w:p w14:paraId="0A2FF866" w14:textId="77777777" w:rsidR="00D03E58" w:rsidRPr="000C3495" w:rsidRDefault="00D03E58" w:rsidP="0089130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s-MX"/>
              </w:rPr>
            </w:pPr>
            <w:r w:rsidRPr="004E286F">
              <w:rPr>
                <w:rFonts w:ascii="Times New Roman" w:eastAsia="Times New Roman" w:hAnsi="Times New Roman" w:cs="Times New Roman"/>
                <w:sz w:val="24"/>
                <w:szCs w:val="24"/>
                <w:lang w:eastAsia="es-MX"/>
              </w:rPr>
              <w:t>Unidades de Aprendizaje</w:t>
            </w:r>
          </w:p>
        </w:tc>
      </w:tr>
      <w:tr w:rsidR="00D03E58" w:rsidRPr="004E286F" w14:paraId="5EB6BBDF" w14:textId="77777777" w:rsidTr="00891307">
        <w:trPr>
          <w:trHeight w:val="300"/>
        </w:trPr>
        <w:tc>
          <w:tcPr>
            <w:cnfStyle w:val="001000000000" w:firstRow="0" w:lastRow="0" w:firstColumn="1" w:lastColumn="0" w:oddVBand="0" w:evenVBand="0" w:oddHBand="0" w:evenHBand="0" w:firstRowFirstColumn="0" w:firstRowLastColumn="0" w:lastRowFirstColumn="0" w:lastRowLastColumn="0"/>
            <w:tcW w:w="2689" w:type="dxa"/>
            <w:vMerge/>
            <w:noWrap/>
          </w:tcPr>
          <w:p w14:paraId="0C7E4234" w14:textId="77777777" w:rsidR="00D03E58" w:rsidRPr="004E286F" w:rsidRDefault="00D03E58" w:rsidP="00891307">
            <w:pPr>
              <w:rPr>
                <w:rFonts w:ascii="Times New Roman" w:eastAsia="Times New Roman" w:hAnsi="Times New Roman" w:cs="Times New Roman"/>
                <w:sz w:val="24"/>
                <w:szCs w:val="24"/>
                <w:lang w:eastAsia="es-MX"/>
              </w:rPr>
            </w:pPr>
          </w:p>
        </w:tc>
        <w:tc>
          <w:tcPr>
            <w:tcW w:w="851" w:type="dxa"/>
            <w:noWrap/>
          </w:tcPr>
          <w:p w14:paraId="62BE810E" w14:textId="77777777" w:rsidR="00D03E58" w:rsidRPr="004E286F" w:rsidRDefault="00D03E58"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4E286F">
              <w:rPr>
                <w:rFonts w:ascii="Times New Roman" w:eastAsia="Times New Roman" w:hAnsi="Times New Roman" w:cs="Times New Roman"/>
                <w:sz w:val="24"/>
                <w:szCs w:val="24"/>
                <w:lang w:eastAsia="es-MX"/>
              </w:rPr>
              <w:t>1</w:t>
            </w:r>
            <w:r w:rsidRPr="004E286F">
              <w:rPr>
                <w:rFonts w:ascii="Times New Roman" w:eastAsia="Times New Roman" w:hAnsi="Times New Roman" w:cs="Times New Roman"/>
                <w:sz w:val="24"/>
                <w:szCs w:val="24"/>
                <w:vertAlign w:val="superscript"/>
                <w:lang w:eastAsia="es-MX"/>
              </w:rPr>
              <w:t>a</w:t>
            </w:r>
          </w:p>
        </w:tc>
        <w:tc>
          <w:tcPr>
            <w:tcW w:w="850" w:type="dxa"/>
            <w:noWrap/>
          </w:tcPr>
          <w:p w14:paraId="4169F0D2" w14:textId="77777777" w:rsidR="00D03E58" w:rsidRPr="004E286F" w:rsidRDefault="00D03E58"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4E286F">
              <w:rPr>
                <w:rFonts w:ascii="Times New Roman" w:eastAsia="Times New Roman" w:hAnsi="Times New Roman" w:cs="Times New Roman"/>
                <w:sz w:val="24"/>
                <w:szCs w:val="24"/>
                <w:lang w:eastAsia="es-MX"/>
              </w:rPr>
              <w:t>2</w:t>
            </w:r>
            <w:r w:rsidRPr="004E286F">
              <w:rPr>
                <w:rFonts w:ascii="Times New Roman" w:eastAsia="Times New Roman" w:hAnsi="Times New Roman" w:cs="Times New Roman"/>
                <w:sz w:val="24"/>
                <w:szCs w:val="24"/>
                <w:vertAlign w:val="superscript"/>
                <w:lang w:eastAsia="es-MX"/>
              </w:rPr>
              <w:t>b</w:t>
            </w:r>
          </w:p>
        </w:tc>
        <w:tc>
          <w:tcPr>
            <w:tcW w:w="851" w:type="dxa"/>
            <w:noWrap/>
          </w:tcPr>
          <w:p w14:paraId="18487000" w14:textId="77777777" w:rsidR="00D03E58" w:rsidRPr="004E286F" w:rsidRDefault="00D03E58"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4E286F">
              <w:rPr>
                <w:rFonts w:ascii="Times New Roman" w:eastAsia="Times New Roman" w:hAnsi="Times New Roman" w:cs="Times New Roman"/>
                <w:sz w:val="24"/>
                <w:szCs w:val="24"/>
                <w:lang w:eastAsia="es-MX"/>
              </w:rPr>
              <w:t>3</w:t>
            </w:r>
            <w:r w:rsidRPr="004E286F">
              <w:rPr>
                <w:rFonts w:ascii="Times New Roman" w:eastAsia="Times New Roman" w:hAnsi="Times New Roman" w:cs="Times New Roman"/>
                <w:sz w:val="24"/>
                <w:szCs w:val="24"/>
                <w:vertAlign w:val="superscript"/>
                <w:lang w:eastAsia="es-MX"/>
              </w:rPr>
              <w:t>c</w:t>
            </w:r>
          </w:p>
        </w:tc>
        <w:tc>
          <w:tcPr>
            <w:tcW w:w="850" w:type="dxa"/>
            <w:noWrap/>
          </w:tcPr>
          <w:p w14:paraId="2DFD5CF5" w14:textId="77777777" w:rsidR="00D03E58" w:rsidRPr="004E286F" w:rsidRDefault="00D03E58"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4E286F">
              <w:rPr>
                <w:rFonts w:ascii="Times New Roman" w:eastAsia="Times New Roman" w:hAnsi="Times New Roman" w:cs="Times New Roman"/>
                <w:sz w:val="24"/>
                <w:szCs w:val="24"/>
                <w:lang w:eastAsia="es-MX"/>
              </w:rPr>
              <w:t>4</w:t>
            </w:r>
            <w:r w:rsidRPr="004E286F">
              <w:rPr>
                <w:rFonts w:ascii="Times New Roman" w:eastAsia="Times New Roman" w:hAnsi="Times New Roman" w:cs="Times New Roman"/>
                <w:sz w:val="24"/>
                <w:szCs w:val="24"/>
                <w:vertAlign w:val="superscript"/>
                <w:lang w:eastAsia="es-MX"/>
              </w:rPr>
              <w:t>d</w:t>
            </w:r>
          </w:p>
        </w:tc>
        <w:tc>
          <w:tcPr>
            <w:tcW w:w="696" w:type="dxa"/>
            <w:noWrap/>
          </w:tcPr>
          <w:p w14:paraId="6BE3FC3E" w14:textId="77777777" w:rsidR="00D03E58" w:rsidRPr="004E286F" w:rsidRDefault="00D03E58"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4E286F">
              <w:rPr>
                <w:rFonts w:ascii="Times New Roman" w:eastAsia="Times New Roman" w:hAnsi="Times New Roman" w:cs="Times New Roman"/>
                <w:sz w:val="24"/>
                <w:szCs w:val="24"/>
                <w:lang w:eastAsia="es-MX"/>
              </w:rPr>
              <w:t>5</w:t>
            </w:r>
            <w:r w:rsidRPr="004E286F">
              <w:rPr>
                <w:rFonts w:ascii="Times New Roman" w:eastAsia="Times New Roman" w:hAnsi="Times New Roman" w:cs="Times New Roman"/>
                <w:sz w:val="24"/>
                <w:szCs w:val="24"/>
                <w:vertAlign w:val="superscript"/>
                <w:lang w:eastAsia="es-MX"/>
              </w:rPr>
              <w:t>e</w:t>
            </w:r>
          </w:p>
        </w:tc>
        <w:tc>
          <w:tcPr>
            <w:tcW w:w="716" w:type="dxa"/>
            <w:noWrap/>
          </w:tcPr>
          <w:p w14:paraId="2450BD2D" w14:textId="77777777" w:rsidR="00D03E58" w:rsidRPr="004E286F" w:rsidRDefault="00D03E58"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4E286F">
              <w:rPr>
                <w:rFonts w:ascii="Times New Roman" w:eastAsia="Times New Roman" w:hAnsi="Times New Roman" w:cs="Times New Roman"/>
                <w:sz w:val="24"/>
                <w:szCs w:val="24"/>
                <w:lang w:eastAsia="es-MX"/>
              </w:rPr>
              <w:t>6</w:t>
            </w:r>
            <w:r w:rsidRPr="004E286F">
              <w:rPr>
                <w:rFonts w:ascii="Times New Roman" w:eastAsia="Times New Roman" w:hAnsi="Times New Roman" w:cs="Times New Roman"/>
                <w:sz w:val="24"/>
                <w:szCs w:val="24"/>
                <w:vertAlign w:val="superscript"/>
                <w:lang w:eastAsia="es-MX"/>
              </w:rPr>
              <w:t>f</w:t>
            </w:r>
          </w:p>
        </w:tc>
        <w:tc>
          <w:tcPr>
            <w:tcW w:w="716" w:type="dxa"/>
            <w:noWrap/>
          </w:tcPr>
          <w:p w14:paraId="48763B7E" w14:textId="77777777" w:rsidR="00D03E58" w:rsidRPr="004E286F" w:rsidRDefault="00D03E58"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4E286F">
              <w:rPr>
                <w:rFonts w:ascii="Times New Roman" w:eastAsia="Times New Roman" w:hAnsi="Times New Roman" w:cs="Times New Roman"/>
                <w:sz w:val="24"/>
                <w:szCs w:val="24"/>
                <w:lang w:eastAsia="es-MX"/>
              </w:rPr>
              <w:t>7</w:t>
            </w:r>
            <w:r w:rsidRPr="004E286F">
              <w:rPr>
                <w:rFonts w:ascii="Times New Roman" w:eastAsia="Times New Roman" w:hAnsi="Times New Roman" w:cs="Times New Roman"/>
                <w:sz w:val="24"/>
                <w:szCs w:val="24"/>
                <w:vertAlign w:val="superscript"/>
                <w:lang w:eastAsia="es-MX"/>
              </w:rPr>
              <w:t>g</w:t>
            </w:r>
          </w:p>
        </w:tc>
        <w:tc>
          <w:tcPr>
            <w:tcW w:w="716" w:type="dxa"/>
            <w:noWrap/>
          </w:tcPr>
          <w:p w14:paraId="7AD529EF" w14:textId="77777777" w:rsidR="00D03E58" w:rsidRPr="004E286F" w:rsidRDefault="00D03E58" w:rsidP="0089130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s-MX"/>
              </w:rPr>
            </w:pPr>
            <w:r w:rsidRPr="004E286F">
              <w:rPr>
                <w:rFonts w:ascii="Times New Roman" w:eastAsia="Times New Roman" w:hAnsi="Times New Roman" w:cs="Times New Roman"/>
                <w:sz w:val="24"/>
                <w:szCs w:val="24"/>
                <w:lang w:eastAsia="es-MX"/>
              </w:rPr>
              <w:t>8</w:t>
            </w:r>
            <w:r w:rsidRPr="004E286F">
              <w:rPr>
                <w:rFonts w:ascii="Times New Roman" w:eastAsia="Times New Roman" w:hAnsi="Times New Roman" w:cs="Times New Roman"/>
                <w:sz w:val="24"/>
                <w:szCs w:val="24"/>
                <w:vertAlign w:val="superscript"/>
                <w:lang w:eastAsia="es-MX"/>
              </w:rPr>
              <w:t>h</w:t>
            </w:r>
          </w:p>
        </w:tc>
      </w:tr>
      <w:tr w:rsidR="00D03E58" w:rsidRPr="004E286F" w14:paraId="55A93AFA" w14:textId="77777777" w:rsidTr="0089130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89" w:type="dxa"/>
            <w:noWrap/>
            <w:hideMark/>
          </w:tcPr>
          <w:p w14:paraId="23523234" w14:textId="77777777" w:rsidR="00D03E58" w:rsidRPr="000C3495" w:rsidRDefault="00D03E58" w:rsidP="00891307">
            <w:pPr>
              <w:jc w:val="right"/>
              <w:rPr>
                <w:rFonts w:ascii="Calibri" w:eastAsia="Times New Roman" w:hAnsi="Calibri" w:cs="Times New Roman"/>
                <w:color w:val="000000"/>
                <w:sz w:val="24"/>
                <w:szCs w:val="24"/>
                <w:lang w:eastAsia="es-MX"/>
              </w:rPr>
            </w:pPr>
            <w:r w:rsidRPr="000C3495">
              <w:rPr>
                <w:rFonts w:ascii="Calibri" w:eastAsia="Times New Roman" w:hAnsi="Calibri" w:cs="Times New Roman"/>
                <w:color w:val="000000"/>
                <w:sz w:val="24"/>
                <w:szCs w:val="24"/>
                <w:lang w:eastAsia="es-MX"/>
              </w:rPr>
              <w:t>MEDIA ARITMÉTICA</w:t>
            </w:r>
          </w:p>
        </w:tc>
        <w:tc>
          <w:tcPr>
            <w:tcW w:w="851" w:type="dxa"/>
            <w:noWrap/>
            <w:hideMark/>
          </w:tcPr>
          <w:p w14:paraId="235CC6B7" w14:textId="77777777" w:rsidR="00D03E58" w:rsidRPr="000C3495" w:rsidRDefault="00D03E58" w:rsidP="008913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s-MX"/>
              </w:rPr>
            </w:pPr>
            <w:r w:rsidRPr="000C3495">
              <w:rPr>
                <w:rFonts w:ascii="Calibri" w:eastAsia="Times New Roman" w:hAnsi="Calibri" w:cs="Times New Roman"/>
                <w:color w:val="000000"/>
                <w:sz w:val="24"/>
                <w:szCs w:val="24"/>
                <w:lang w:eastAsia="es-MX"/>
              </w:rPr>
              <w:t>8.39</w:t>
            </w:r>
          </w:p>
        </w:tc>
        <w:tc>
          <w:tcPr>
            <w:tcW w:w="850" w:type="dxa"/>
            <w:noWrap/>
            <w:hideMark/>
          </w:tcPr>
          <w:p w14:paraId="39401B72" w14:textId="77777777" w:rsidR="00D03E58" w:rsidRPr="000C3495" w:rsidRDefault="00D03E58" w:rsidP="008913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s-MX"/>
              </w:rPr>
            </w:pPr>
            <w:r w:rsidRPr="000C3495">
              <w:rPr>
                <w:rFonts w:ascii="Calibri" w:eastAsia="Times New Roman" w:hAnsi="Calibri" w:cs="Times New Roman"/>
                <w:color w:val="000000"/>
                <w:sz w:val="24"/>
                <w:szCs w:val="24"/>
                <w:lang w:eastAsia="es-MX"/>
              </w:rPr>
              <w:t>7.51</w:t>
            </w:r>
          </w:p>
        </w:tc>
        <w:tc>
          <w:tcPr>
            <w:tcW w:w="851" w:type="dxa"/>
            <w:noWrap/>
            <w:hideMark/>
          </w:tcPr>
          <w:p w14:paraId="6B69AA65" w14:textId="77777777" w:rsidR="00D03E58" w:rsidRPr="000C3495" w:rsidRDefault="00D03E58" w:rsidP="008913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s-MX"/>
              </w:rPr>
            </w:pPr>
            <w:r w:rsidRPr="000C3495">
              <w:rPr>
                <w:rFonts w:ascii="Calibri" w:eastAsia="Times New Roman" w:hAnsi="Calibri" w:cs="Times New Roman"/>
                <w:color w:val="000000"/>
                <w:sz w:val="24"/>
                <w:szCs w:val="24"/>
                <w:lang w:eastAsia="es-MX"/>
              </w:rPr>
              <w:t>8.51</w:t>
            </w:r>
          </w:p>
        </w:tc>
        <w:tc>
          <w:tcPr>
            <w:tcW w:w="850" w:type="dxa"/>
            <w:noWrap/>
            <w:hideMark/>
          </w:tcPr>
          <w:p w14:paraId="4FBAD78E" w14:textId="77777777" w:rsidR="00D03E58" w:rsidRPr="000C3495" w:rsidRDefault="00D03E58" w:rsidP="008913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s-MX"/>
              </w:rPr>
            </w:pPr>
            <w:r w:rsidRPr="000C3495">
              <w:rPr>
                <w:rFonts w:ascii="Calibri" w:eastAsia="Times New Roman" w:hAnsi="Calibri" w:cs="Times New Roman"/>
                <w:color w:val="000000"/>
                <w:sz w:val="24"/>
                <w:szCs w:val="24"/>
                <w:lang w:eastAsia="es-MX"/>
              </w:rPr>
              <w:t>7.65</w:t>
            </w:r>
          </w:p>
        </w:tc>
        <w:tc>
          <w:tcPr>
            <w:tcW w:w="696" w:type="dxa"/>
            <w:noWrap/>
            <w:hideMark/>
          </w:tcPr>
          <w:p w14:paraId="4DEC4DF5" w14:textId="77777777" w:rsidR="00D03E58" w:rsidRPr="000C3495" w:rsidRDefault="00D03E58" w:rsidP="008913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s-MX"/>
              </w:rPr>
            </w:pPr>
            <w:r w:rsidRPr="000C3495">
              <w:rPr>
                <w:rFonts w:ascii="Calibri" w:eastAsia="Times New Roman" w:hAnsi="Calibri" w:cs="Times New Roman"/>
                <w:color w:val="000000"/>
                <w:sz w:val="24"/>
                <w:szCs w:val="24"/>
                <w:lang w:eastAsia="es-MX"/>
              </w:rPr>
              <w:t>8.34</w:t>
            </w:r>
          </w:p>
        </w:tc>
        <w:tc>
          <w:tcPr>
            <w:tcW w:w="716" w:type="dxa"/>
            <w:noWrap/>
            <w:hideMark/>
          </w:tcPr>
          <w:p w14:paraId="7D779501" w14:textId="77777777" w:rsidR="00D03E58" w:rsidRPr="000C3495" w:rsidRDefault="00D03E58" w:rsidP="008913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s-MX"/>
              </w:rPr>
            </w:pPr>
            <w:r w:rsidRPr="000C3495">
              <w:rPr>
                <w:rFonts w:ascii="Calibri" w:eastAsia="Times New Roman" w:hAnsi="Calibri" w:cs="Times New Roman"/>
                <w:color w:val="000000"/>
                <w:sz w:val="24"/>
                <w:szCs w:val="24"/>
                <w:lang w:eastAsia="es-MX"/>
              </w:rPr>
              <w:t>6.81</w:t>
            </w:r>
          </w:p>
        </w:tc>
        <w:tc>
          <w:tcPr>
            <w:tcW w:w="716" w:type="dxa"/>
            <w:noWrap/>
            <w:hideMark/>
          </w:tcPr>
          <w:p w14:paraId="6F9C41DE" w14:textId="77777777" w:rsidR="00D03E58" w:rsidRPr="000C3495" w:rsidRDefault="00D03E58" w:rsidP="008913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s-MX"/>
              </w:rPr>
            </w:pPr>
            <w:r w:rsidRPr="000C3495">
              <w:rPr>
                <w:rFonts w:ascii="Calibri" w:eastAsia="Times New Roman" w:hAnsi="Calibri" w:cs="Times New Roman"/>
                <w:color w:val="000000"/>
                <w:sz w:val="24"/>
                <w:szCs w:val="24"/>
                <w:lang w:eastAsia="es-MX"/>
              </w:rPr>
              <w:t>8.70</w:t>
            </w:r>
          </w:p>
        </w:tc>
        <w:tc>
          <w:tcPr>
            <w:tcW w:w="716" w:type="dxa"/>
            <w:noWrap/>
            <w:hideMark/>
          </w:tcPr>
          <w:p w14:paraId="5897E140" w14:textId="77777777" w:rsidR="00D03E58" w:rsidRPr="000C3495" w:rsidRDefault="00D03E58" w:rsidP="0089130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4"/>
                <w:szCs w:val="24"/>
                <w:lang w:eastAsia="es-MX"/>
              </w:rPr>
            </w:pPr>
            <w:r w:rsidRPr="000C3495">
              <w:rPr>
                <w:rFonts w:ascii="Calibri" w:eastAsia="Times New Roman" w:hAnsi="Calibri" w:cs="Times New Roman"/>
                <w:color w:val="000000"/>
                <w:sz w:val="24"/>
                <w:szCs w:val="24"/>
                <w:lang w:eastAsia="es-MX"/>
              </w:rPr>
              <w:t>8.66</w:t>
            </w:r>
          </w:p>
        </w:tc>
      </w:tr>
      <w:tr w:rsidR="00D03E58" w:rsidRPr="004E286F" w14:paraId="719B811F" w14:textId="77777777" w:rsidTr="00891307">
        <w:trPr>
          <w:trHeight w:val="30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F79646" w:themeColor="accent6"/>
              <w:bottom w:val="single" w:sz="4" w:space="0" w:color="auto"/>
            </w:tcBorders>
            <w:noWrap/>
            <w:hideMark/>
          </w:tcPr>
          <w:p w14:paraId="584863C8" w14:textId="77777777" w:rsidR="00D03E58" w:rsidRPr="000C3495" w:rsidRDefault="00D03E58" w:rsidP="00891307">
            <w:pPr>
              <w:jc w:val="right"/>
              <w:rPr>
                <w:rFonts w:ascii="Calibri" w:eastAsia="Times New Roman" w:hAnsi="Calibri" w:cs="Times New Roman"/>
                <w:color w:val="000000"/>
                <w:sz w:val="24"/>
                <w:szCs w:val="24"/>
                <w:lang w:eastAsia="es-MX"/>
              </w:rPr>
            </w:pPr>
            <w:r w:rsidRPr="000C3495">
              <w:rPr>
                <w:rFonts w:ascii="Calibri" w:eastAsia="Times New Roman" w:hAnsi="Calibri" w:cs="Times New Roman"/>
                <w:color w:val="000000"/>
                <w:sz w:val="24"/>
                <w:szCs w:val="24"/>
                <w:lang w:eastAsia="es-MX"/>
              </w:rPr>
              <w:t>desviación estándar</w:t>
            </w:r>
          </w:p>
        </w:tc>
        <w:tc>
          <w:tcPr>
            <w:tcW w:w="851" w:type="dxa"/>
            <w:tcBorders>
              <w:top w:val="single" w:sz="4" w:space="0" w:color="F79646" w:themeColor="accent6"/>
              <w:bottom w:val="single" w:sz="4" w:space="0" w:color="auto"/>
            </w:tcBorders>
            <w:noWrap/>
            <w:hideMark/>
          </w:tcPr>
          <w:p w14:paraId="6C28DD20" w14:textId="77777777" w:rsidR="00D03E58" w:rsidRPr="000C3495" w:rsidRDefault="00D03E58" w:rsidP="008913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es-MX"/>
              </w:rPr>
            </w:pPr>
            <w:r w:rsidRPr="000C3495">
              <w:rPr>
                <w:rFonts w:ascii="Calibri" w:eastAsia="Times New Roman" w:hAnsi="Calibri" w:cs="Times New Roman"/>
                <w:color w:val="000000"/>
                <w:sz w:val="24"/>
                <w:szCs w:val="24"/>
                <w:lang w:eastAsia="es-MX"/>
              </w:rPr>
              <w:t>1.31</w:t>
            </w:r>
          </w:p>
        </w:tc>
        <w:tc>
          <w:tcPr>
            <w:tcW w:w="850" w:type="dxa"/>
            <w:tcBorders>
              <w:top w:val="single" w:sz="4" w:space="0" w:color="F79646" w:themeColor="accent6"/>
              <w:bottom w:val="single" w:sz="4" w:space="0" w:color="auto"/>
            </w:tcBorders>
            <w:noWrap/>
            <w:hideMark/>
          </w:tcPr>
          <w:p w14:paraId="76B7FCEC" w14:textId="77777777" w:rsidR="00D03E58" w:rsidRPr="000C3495" w:rsidRDefault="00D03E58" w:rsidP="008913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es-MX"/>
              </w:rPr>
            </w:pPr>
            <w:r w:rsidRPr="000C3495">
              <w:rPr>
                <w:rFonts w:ascii="Calibri" w:eastAsia="Times New Roman" w:hAnsi="Calibri" w:cs="Times New Roman"/>
                <w:color w:val="000000"/>
                <w:sz w:val="24"/>
                <w:szCs w:val="24"/>
                <w:lang w:eastAsia="es-MX"/>
              </w:rPr>
              <w:t>1.79</w:t>
            </w:r>
          </w:p>
        </w:tc>
        <w:tc>
          <w:tcPr>
            <w:tcW w:w="851" w:type="dxa"/>
            <w:tcBorders>
              <w:top w:val="single" w:sz="4" w:space="0" w:color="F79646" w:themeColor="accent6"/>
              <w:bottom w:val="single" w:sz="4" w:space="0" w:color="auto"/>
            </w:tcBorders>
            <w:noWrap/>
            <w:hideMark/>
          </w:tcPr>
          <w:p w14:paraId="0B6EE3F2" w14:textId="77777777" w:rsidR="00D03E58" w:rsidRPr="000C3495" w:rsidRDefault="00D03E58" w:rsidP="008913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es-MX"/>
              </w:rPr>
            </w:pPr>
            <w:r w:rsidRPr="000C3495">
              <w:rPr>
                <w:rFonts w:ascii="Calibri" w:eastAsia="Times New Roman" w:hAnsi="Calibri" w:cs="Times New Roman"/>
                <w:color w:val="000000"/>
                <w:sz w:val="24"/>
                <w:szCs w:val="24"/>
                <w:lang w:eastAsia="es-MX"/>
              </w:rPr>
              <w:t>1.22</w:t>
            </w:r>
          </w:p>
        </w:tc>
        <w:tc>
          <w:tcPr>
            <w:tcW w:w="850" w:type="dxa"/>
            <w:tcBorders>
              <w:top w:val="single" w:sz="4" w:space="0" w:color="F79646" w:themeColor="accent6"/>
              <w:bottom w:val="single" w:sz="4" w:space="0" w:color="auto"/>
            </w:tcBorders>
            <w:noWrap/>
            <w:hideMark/>
          </w:tcPr>
          <w:p w14:paraId="382B7848" w14:textId="77777777" w:rsidR="00D03E58" w:rsidRPr="000C3495" w:rsidRDefault="00D03E58" w:rsidP="008913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es-MX"/>
              </w:rPr>
            </w:pPr>
            <w:r w:rsidRPr="000C3495">
              <w:rPr>
                <w:rFonts w:ascii="Calibri" w:eastAsia="Times New Roman" w:hAnsi="Calibri" w:cs="Times New Roman"/>
                <w:color w:val="000000"/>
                <w:sz w:val="24"/>
                <w:szCs w:val="24"/>
                <w:lang w:eastAsia="es-MX"/>
              </w:rPr>
              <w:t>1.44</w:t>
            </w:r>
          </w:p>
        </w:tc>
        <w:tc>
          <w:tcPr>
            <w:tcW w:w="696" w:type="dxa"/>
            <w:tcBorders>
              <w:top w:val="single" w:sz="4" w:space="0" w:color="F79646" w:themeColor="accent6"/>
              <w:bottom w:val="single" w:sz="4" w:space="0" w:color="auto"/>
            </w:tcBorders>
            <w:noWrap/>
            <w:hideMark/>
          </w:tcPr>
          <w:p w14:paraId="76B232ED" w14:textId="77777777" w:rsidR="00D03E58" w:rsidRPr="000C3495" w:rsidRDefault="00D03E58" w:rsidP="008913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es-MX"/>
              </w:rPr>
            </w:pPr>
            <w:r w:rsidRPr="000C3495">
              <w:rPr>
                <w:rFonts w:ascii="Calibri" w:eastAsia="Times New Roman" w:hAnsi="Calibri" w:cs="Times New Roman"/>
                <w:color w:val="000000"/>
                <w:sz w:val="24"/>
                <w:szCs w:val="24"/>
                <w:lang w:eastAsia="es-MX"/>
              </w:rPr>
              <w:t>1.11</w:t>
            </w:r>
          </w:p>
        </w:tc>
        <w:tc>
          <w:tcPr>
            <w:tcW w:w="716" w:type="dxa"/>
            <w:tcBorders>
              <w:top w:val="single" w:sz="4" w:space="0" w:color="F79646" w:themeColor="accent6"/>
              <w:bottom w:val="single" w:sz="4" w:space="0" w:color="auto"/>
            </w:tcBorders>
            <w:noWrap/>
            <w:hideMark/>
          </w:tcPr>
          <w:p w14:paraId="2D58A6F5" w14:textId="77777777" w:rsidR="00D03E58" w:rsidRPr="000C3495" w:rsidRDefault="00D03E58" w:rsidP="008913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es-MX"/>
              </w:rPr>
            </w:pPr>
            <w:r w:rsidRPr="000C3495">
              <w:rPr>
                <w:rFonts w:ascii="Calibri" w:eastAsia="Times New Roman" w:hAnsi="Calibri" w:cs="Times New Roman"/>
                <w:color w:val="000000"/>
                <w:sz w:val="24"/>
                <w:szCs w:val="24"/>
                <w:lang w:eastAsia="es-MX"/>
              </w:rPr>
              <w:t>2.04</w:t>
            </w:r>
          </w:p>
        </w:tc>
        <w:tc>
          <w:tcPr>
            <w:tcW w:w="716" w:type="dxa"/>
            <w:tcBorders>
              <w:top w:val="single" w:sz="4" w:space="0" w:color="F79646" w:themeColor="accent6"/>
              <w:bottom w:val="single" w:sz="4" w:space="0" w:color="auto"/>
            </w:tcBorders>
            <w:noWrap/>
            <w:hideMark/>
          </w:tcPr>
          <w:p w14:paraId="3D09DE65" w14:textId="77777777" w:rsidR="00D03E58" w:rsidRPr="000C3495" w:rsidRDefault="00D03E58" w:rsidP="008913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es-MX"/>
              </w:rPr>
            </w:pPr>
            <w:r w:rsidRPr="000C3495">
              <w:rPr>
                <w:rFonts w:ascii="Calibri" w:eastAsia="Times New Roman" w:hAnsi="Calibri" w:cs="Times New Roman"/>
                <w:color w:val="000000"/>
                <w:sz w:val="24"/>
                <w:szCs w:val="24"/>
                <w:lang w:eastAsia="es-MX"/>
              </w:rPr>
              <w:t>1.08</w:t>
            </w:r>
          </w:p>
        </w:tc>
        <w:tc>
          <w:tcPr>
            <w:tcW w:w="716" w:type="dxa"/>
            <w:tcBorders>
              <w:top w:val="single" w:sz="4" w:space="0" w:color="F79646" w:themeColor="accent6"/>
              <w:bottom w:val="single" w:sz="4" w:space="0" w:color="auto"/>
            </w:tcBorders>
            <w:noWrap/>
            <w:hideMark/>
          </w:tcPr>
          <w:p w14:paraId="3EA596EB" w14:textId="77777777" w:rsidR="00D03E58" w:rsidRPr="000C3495" w:rsidRDefault="00D03E58" w:rsidP="0089130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4"/>
                <w:szCs w:val="24"/>
                <w:lang w:eastAsia="es-MX"/>
              </w:rPr>
            </w:pPr>
            <w:r w:rsidRPr="000C3495">
              <w:rPr>
                <w:rFonts w:ascii="Calibri" w:eastAsia="Times New Roman" w:hAnsi="Calibri" w:cs="Times New Roman"/>
                <w:color w:val="000000"/>
                <w:sz w:val="24"/>
                <w:szCs w:val="24"/>
                <w:lang w:eastAsia="es-MX"/>
              </w:rPr>
              <w:t>1.19</w:t>
            </w:r>
          </w:p>
        </w:tc>
      </w:tr>
    </w:tbl>
    <w:p w14:paraId="75B57499" w14:textId="77777777" w:rsidR="00D03E58" w:rsidRPr="0023766D" w:rsidRDefault="00D03E58" w:rsidP="00D03E58">
      <w:pPr>
        <w:spacing w:before="240"/>
        <w:rPr>
          <w:rFonts w:ascii="Times New Roman" w:hAnsi="Times New Roman" w:cs="Times New Roman"/>
          <w:bCs/>
          <w:sz w:val="20"/>
          <w:szCs w:val="20"/>
        </w:rPr>
      </w:pPr>
      <w:r w:rsidRPr="0023766D">
        <w:rPr>
          <w:rFonts w:ascii="Times New Roman" w:hAnsi="Times New Roman" w:cs="Times New Roman"/>
          <w:bCs/>
          <w:sz w:val="20"/>
          <w:szCs w:val="20"/>
        </w:rPr>
        <w:t>Elaboración propia utilizando datos proporcionados por el Departamento de Control Escolar</w:t>
      </w:r>
    </w:p>
    <w:p w14:paraId="4D4718FA" w14:textId="77777777" w:rsidR="00D03E58" w:rsidRPr="0023766D" w:rsidRDefault="00D03E58" w:rsidP="00D03E58">
      <w:pPr>
        <w:spacing w:after="0" w:line="240" w:lineRule="auto"/>
        <w:rPr>
          <w:rFonts w:ascii="Times New Roman" w:eastAsia="Times New Roman" w:hAnsi="Times New Roman" w:cs="Times New Roman"/>
          <w:color w:val="000000"/>
          <w:sz w:val="20"/>
          <w:szCs w:val="20"/>
          <w:lang w:eastAsia="es-MX"/>
        </w:rPr>
      </w:pPr>
      <w:r w:rsidRPr="0023766D">
        <w:rPr>
          <w:rFonts w:ascii="Times New Roman" w:eastAsia="Times New Roman" w:hAnsi="Times New Roman" w:cs="Times New Roman"/>
          <w:color w:val="000000"/>
          <w:sz w:val="20"/>
          <w:szCs w:val="20"/>
          <w:lang w:eastAsia="es-MX"/>
        </w:rPr>
        <w:t xml:space="preserve">a  </w:t>
      </w:r>
      <w:r w:rsidRPr="000C3495">
        <w:rPr>
          <w:rFonts w:ascii="Times New Roman" w:eastAsia="Times New Roman" w:hAnsi="Times New Roman" w:cs="Times New Roman"/>
          <w:color w:val="000000"/>
          <w:sz w:val="20"/>
          <w:szCs w:val="20"/>
          <w:lang w:eastAsia="es-MX"/>
        </w:rPr>
        <w:t>Talle r de Diseño Urbano y del Paisaje II</w:t>
      </w:r>
      <w:r w:rsidRPr="0023766D">
        <w:rPr>
          <w:rFonts w:ascii="Times New Roman" w:eastAsia="Times New Roman" w:hAnsi="Times New Roman" w:cs="Times New Roman"/>
          <w:color w:val="000000"/>
          <w:sz w:val="20"/>
          <w:szCs w:val="20"/>
          <w:lang w:eastAsia="es-MX"/>
        </w:rPr>
        <w:t xml:space="preserve">;  b  </w:t>
      </w:r>
      <w:r w:rsidRPr="000C3495">
        <w:rPr>
          <w:rFonts w:ascii="Times New Roman" w:eastAsia="Times New Roman" w:hAnsi="Times New Roman" w:cs="Times New Roman"/>
          <w:color w:val="000000"/>
          <w:sz w:val="20"/>
          <w:szCs w:val="20"/>
          <w:lang w:eastAsia="es-MX"/>
        </w:rPr>
        <w:t>Geometría Descriptiva</w:t>
      </w:r>
      <w:r w:rsidRPr="0023766D">
        <w:rPr>
          <w:rFonts w:ascii="Times New Roman" w:eastAsia="Times New Roman" w:hAnsi="Times New Roman" w:cs="Times New Roman"/>
          <w:color w:val="000000"/>
          <w:sz w:val="20"/>
          <w:szCs w:val="20"/>
          <w:lang w:eastAsia="es-MX"/>
        </w:rPr>
        <w:t xml:space="preserve">;  c  </w:t>
      </w:r>
      <w:r w:rsidRPr="000C3495">
        <w:rPr>
          <w:rFonts w:ascii="Times New Roman" w:eastAsia="Times New Roman" w:hAnsi="Times New Roman" w:cs="Times New Roman"/>
          <w:color w:val="000000"/>
          <w:sz w:val="20"/>
          <w:szCs w:val="20"/>
          <w:lang w:eastAsia="es-MX"/>
        </w:rPr>
        <w:t>Uso del Suelo</w:t>
      </w:r>
    </w:p>
    <w:p w14:paraId="3B96115A" w14:textId="77777777" w:rsidR="00D03E58" w:rsidRPr="0023766D" w:rsidRDefault="00D03E58" w:rsidP="00D03E58">
      <w:pPr>
        <w:spacing w:after="0" w:line="240" w:lineRule="auto"/>
        <w:rPr>
          <w:rFonts w:ascii="Times New Roman" w:eastAsia="Times New Roman" w:hAnsi="Times New Roman" w:cs="Times New Roman"/>
          <w:color w:val="000000"/>
          <w:sz w:val="20"/>
          <w:szCs w:val="20"/>
          <w:lang w:eastAsia="es-MX"/>
        </w:rPr>
      </w:pPr>
      <w:r w:rsidRPr="0023766D">
        <w:rPr>
          <w:rFonts w:ascii="Times New Roman" w:eastAsia="Times New Roman" w:hAnsi="Times New Roman" w:cs="Times New Roman"/>
          <w:color w:val="000000"/>
          <w:sz w:val="20"/>
          <w:szCs w:val="20"/>
          <w:lang w:eastAsia="es-MX"/>
        </w:rPr>
        <w:t xml:space="preserve">d  </w:t>
      </w:r>
      <w:r w:rsidRPr="000C3495">
        <w:rPr>
          <w:rFonts w:ascii="Times New Roman" w:eastAsia="Times New Roman" w:hAnsi="Times New Roman" w:cs="Times New Roman"/>
          <w:color w:val="000000"/>
          <w:sz w:val="20"/>
          <w:szCs w:val="20"/>
          <w:lang w:eastAsia="es-MX"/>
        </w:rPr>
        <w:t>Recursos Naturales</w:t>
      </w:r>
      <w:r w:rsidRPr="0023766D">
        <w:rPr>
          <w:rFonts w:ascii="Times New Roman" w:eastAsia="Times New Roman" w:hAnsi="Times New Roman" w:cs="Times New Roman"/>
          <w:color w:val="000000"/>
          <w:sz w:val="20"/>
          <w:szCs w:val="20"/>
          <w:lang w:eastAsia="es-MX"/>
        </w:rPr>
        <w:t xml:space="preserve">;  e  Teoría de Espacios Exteriores;  f  </w:t>
      </w:r>
      <w:r w:rsidRPr="000C3495">
        <w:rPr>
          <w:rFonts w:ascii="Times New Roman" w:eastAsia="Times New Roman" w:hAnsi="Times New Roman" w:cs="Times New Roman"/>
          <w:color w:val="000000"/>
          <w:sz w:val="20"/>
          <w:szCs w:val="20"/>
          <w:lang w:eastAsia="es-MX"/>
        </w:rPr>
        <w:t>Estadística</w:t>
      </w:r>
      <w:r w:rsidRPr="0023766D">
        <w:rPr>
          <w:rFonts w:ascii="Times New Roman" w:eastAsia="Times New Roman" w:hAnsi="Times New Roman" w:cs="Times New Roman"/>
          <w:color w:val="000000"/>
          <w:sz w:val="20"/>
          <w:szCs w:val="20"/>
          <w:lang w:eastAsia="es-MX"/>
        </w:rPr>
        <w:t xml:space="preserve">;  g  </w:t>
      </w:r>
      <w:r w:rsidRPr="000C3495">
        <w:rPr>
          <w:rFonts w:ascii="Times New Roman" w:eastAsia="Times New Roman" w:hAnsi="Times New Roman" w:cs="Times New Roman"/>
          <w:color w:val="000000"/>
          <w:sz w:val="20"/>
          <w:szCs w:val="20"/>
          <w:lang w:eastAsia="es-MX"/>
        </w:rPr>
        <w:t>Cartografía</w:t>
      </w:r>
    </w:p>
    <w:p w14:paraId="07247E12" w14:textId="77777777" w:rsidR="00D03E58" w:rsidRDefault="00D03E58" w:rsidP="00D03E58">
      <w:pPr>
        <w:spacing w:line="360" w:lineRule="auto"/>
        <w:rPr>
          <w:rFonts w:ascii="Times New Roman" w:hAnsi="Times New Roman" w:cs="Times New Roman"/>
          <w:bCs/>
          <w:sz w:val="24"/>
          <w:szCs w:val="24"/>
        </w:rPr>
      </w:pPr>
      <w:r w:rsidRPr="0023766D">
        <w:rPr>
          <w:rFonts w:ascii="Times New Roman" w:eastAsia="Times New Roman" w:hAnsi="Times New Roman" w:cs="Times New Roman"/>
          <w:color w:val="000000"/>
          <w:sz w:val="20"/>
          <w:szCs w:val="20"/>
          <w:lang w:eastAsia="es-MX"/>
        </w:rPr>
        <w:t xml:space="preserve">h  </w:t>
      </w:r>
      <w:r w:rsidRPr="000C3495">
        <w:rPr>
          <w:rFonts w:ascii="Times New Roman" w:eastAsia="Times New Roman" w:hAnsi="Times New Roman" w:cs="Times New Roman"/>
          <w:color w:val="000000"/>
          <w:sz w:val="20"/>
          <w:szCs w:val="20"/>
          <w:lang w:eastAsia="es-MX"/>
        </w:rPr>
        <w:t>Comunidades</w:t>
      </w:r>
      <w:r w:rsidRPr="000C3495">
        <w:rPr>
          <w:rFonts w:ascii="Calibri" w:eastAsia="Times New Roman" w:hAnsi="Calibri" w:cs="Times New Roman"/>
          <w:color w:val="000000"/>
          <w:sz w:val="18"/>
          <w:szCs w:val="18"/>
          <w:lang w:eastAsia="es-MX"/>
        </w:rPr>
        <w:t xml:space="preserve"> de Aprendizaje</w:t>
      </w:r>
    </w:p>
    <w:p w14:paraId="10E8B493" w14:textId="70978420" w:rsidR="003E5C97" w:rsidRDefault="003E5C97"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En la Tabla 6, se muestra el rendimiento académico en cada una de las unidades de aprendizaje correspondientes al Periodo 2 del plan de estudio de la licenciatura en DUP. La media aritmética (</w:t>
      </w:r>
      <w:r w:rsidRPr="001B3105">
        <w:rPr>
          <w:position w:val="-4"/>
        </w:rPr>
        <w:object w:dxaOrig="279" w:dyaOrig="260" w14:anchorId="3F6FF7ED">
          <v:shape id="_x0000_i1035" type="#_x0000_t75" style="width:14.25pt;height:13.5pt" o:ole="">
            <v:imagedata r:id="rId10" o:title=""/>
          </v:shape>
          <o:OLEObject Type="Embed" ProgID="Equation.3" ShapeID="_x0000_i1035" DrawAspect="Content" ObjectID="_1530953734" r:id="rId22"/>
        </w:object>
      </w:r>
      <w:r>
        <w:rPr>
          <w:rFonts w:ascii="Times New Roman" w:hAnsi="Times New Roman" w:cs="Times New Roman"/>
          <w:bCs/>
          <w:sz w:val="24"/>
          <w:szCs w:val="24"/>
        </w:rPr>
        <w:t>) y desviación estándar (</w:t>
      </w:r>
      <w:r w:rsidRPr="001B3105">
        <w:rPr>
          <w:position w:val="-6"/>
        </w:rPr>
        <w:object w:dxaOrig="240" w:dyaOrig="220" w14:anchorId="45871A2C">
          <v:shape id="_x0000_i1036" type="#_x0000_t75" style="width:12.75pt;height:12pt" o:ole="">
            <v:imagedata r:id="rId12" o:title=""/>
          </v:shape>
          <o:OLEObject Type="Embed" ProgID="Equation.3" ShapeID="_x0000_i1036" DrawAspect="Content" ObjectID="_1530953735" r:id="rId23"/>
        </w:object>
      </w:r>
      <w:r>
        <w:rPr>
          <w:rFonts w:ascii="Times New Roman" w:hAnsi="Times New Roman" w:cs="Times New Roman"/>
          <w:bCs/>
          <w:sz w:val="24"/>
          <w:szCs w:val="24"/>
        </w:rPr>
        <w:t>) de las ocho unidades de aprendizaje son 8.07 y 0.68 respectivamente. Si establecemos el intervalo de confianza [</w:t>
      </w:r>
      <w:r w:rsidRPr="00261657">
        <w:rPr>
          <w:rFonts w:ascii="Arial" w:hAnsi="Arial" w:cs="Arial"/>
          <w:position w:val="-10"/>
        </w:rPr>
        <w:object w:dxaOrig="700" w:dyaOrig="320" w14:anchorId="6B03EEB0">
          <v:shape id="_x0000_i1037" type="#_x0000_t75" style="width:34.5pt;height:15.75pt" o:ole="">
            <v:imagedata r:id="rId14" o:title=""/>
          </v:shape>
          <o:OLEObject Type="Embed" ProgID="Equation.3" ShapeID="_x0000_i1037" DrawAspect="Content" ObjectID="_1530953736" r:id="rId24"/>
        </w:object>
      </w:r>
      <w:r>
        <w:rPr>
          <w:rFonts w:ascii="Times New Roman" w:hAnsi="Times New Roman" w:cs="Times New Roman"/>
          <w:bCs/>
          <w:sz w:val="24"/>
          <w:szCs w:val="24"/>
        </w:rPr>
        <w:t>] = [7.40,</w:t>
      </w:r>
      <w:r>
        <w:rPr>
          <w:rFonts w:ascii="Arial" w:hAnsi="Arial" w:cs="Arial"/>
        </w:rPr>
        <w:t xml:space="preserve"> 8.75</w:t>
      </w:r>
      <w:r>
        <w:rPr>
          <w:rFonts w:ascii="Times New Roman" w:hAnsi="Times New Roman" w:cs="Times New Roman"/>
          <w:bCs/>
          <w:sz w:val="24"/>
          <w:szCs w:val="24"/>
        </w:rPr>
        <w:t xml:space="preserve">] de encontrar unidades de aprendizaje cuyo rendimiento académico es cercano al de la </w:t>
      </w:r>
      <w:r>
        <w:rPr>
          <w:rFonts w:ascii="Times New Roman" w:hAnsi="Times New Roman" w:cs="Times New Roman"/>
          <w:bCs/>
          <w:sz w:val="24"/>
          <w:szCs w:val="24"/>
        </w:rPr>
        <w:lastRenderedPageBreak/>
        <w:t xml:space="preserve">media aritmética, las unidades de aprendizaje que se encuentran fuera de este intervalo son las que presentan una diferencia significativa. </w:t>
      </w:r>
    </w:p>
    <w:p w14:paraId="3EB61101" w14:textId="3AEDB925" w:rsidR="003E5C97" w:rsidRDefault="003E5C97"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 acuerdo con lo anterior, la asignatura “</w:t>
      </w:r>
      <w:r>
        <w:rPr>
          <w:rFonts w:ascii="Times New Roman" w:eastAsia="Times New Roman" w:hAnsi="Times New Roman" w:cs="Times New Roman"/>
          <w:i/>
          <w:color w:val="000000"/>
          <w:sz w:val="24"/>
          <w:szCs w:val="24"/>
          <w:lang w:eastAsia="es-MX"/>
        </w:rPr>
        <w:t>Estadísticas</w:t>
      </w:r>
      <w:r>
        <w:rPr>
          <w:rFonts w:ascii="Times New Roman" w:hAnsi="Times New Roman" w:cs="Times New Roman"/>
          <w:bCs/>
          <w:sz w:val="24"/>
          <w:szCs w:val="24"/>
        </w:rPr>
        <w:t>” (6.81 &lt; 7.40), se encuentra por debajo del límite inferior del intervalo, al igual que los casos similares anteriores deben analizarse para descubrir las principales fallas de las estrategias didácticas implementadas buscando hacer los cambios pertinentes para impulsar procesos educativos que faciliten el aprendizaje de los alumnos y se tengan mejores resultados de los que, para esta asignatura y en este periodo, se han obtenido.</w:t>
      </w:r>
    </w:p>
    <w:p w14:paraId="478668CA" w14:textId="77777777" w:rsidR="003E5C97" w:rsidRDefault="003E5C97"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 los cuatro periodos analizados (los primeros dos para cada carrera), el presente es el primero en el que la media se ubica en un rendimiento académico medio, situación que se ve reflejada en el hecho de que en cinco unidades de aprendizaje tienen un nivel de rendimiento académico medio.</w:t>
      </w:r>
    </w:p>
    <w:p w14:paraId="29D544C8" w14:textId="77777777" w:rsidR="004E286F" w:rsidRDefault="004E286F" w:rsidP="002363C6">
      <w:pPr>
        <w:spacing w:line="360" w:lineRule="auto"/>
        <w:jc w:val="both"/>
        <w:rPr>
          <w:rFonts w:ascii="Times New Roman" w:hAnsi="Times New Roman" w:cs="Times New Roman"/>
          <w:bCs/>
          <w:sz w:val="24"/>
          <w:szCs w:val="24"/>
        </w:rPr>
      </w:pPr>
    </w:p>
    <w:p w14:paraId="4B3FC244" w14:textId="44B02707" w:rsidR="0035594E" w:rsidRPr="008C03A4" w:rsidRDefault="0035594E" w:rsidP="002363C6">
      <w:pPr>
        <w:spacing w:line="360" w:lineRule="auto"/>
        <w:jc w:val="both"/>
        <w:rPr>
          <w:rFonts w:ascii="Times New Roman" w:hAnsi="Times New Roman" w:cs="Times New Roman"/>
          <w:b/>
          <w:bCs/>
          <w:sz w:val="24"/>
          <w:szCs w:val="24"/>
        </w:rPr>
      </w:pPr>
      <w:r w:rsidRPr="008C03A4">
        <w:rPr>
          <w:rFonts w:ascii="Times New Roman" w:hAnsi="Times New Roman" w:cs="Times New Roman"/>
          <w:b/>
          <w:bCs/>
          <w:sz w:val="24"/>
          <w:szCs w:val="24"/>
        </w:rPr>
        <w:t>Regularidad académica</w:t>
      </w:r>
    </w:p>
    <w:p w14:paraId="6A26EF55" w14:textId="77777777" w:rsidR="00891307" w:rsidRDefault="0035594E"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Se entenderá como índice de regularidad académica a los alumnos de la cohorte que han acreditado todas las asignaturas</w:t>
      </w:r>
      <w:r w:rsidR="00891307">
        <w:rPr>
          <w:rFonts w:ascii="Times New Roman" w:hAnsi="Times New Roman" w:cs="Times New Roman"/>
          <w:bCs/>
          <w:sz w:val="24"/>
          <w:szCs w:val="24"/>
        </w:rPr>
        <w:t>,</w:t>
      </w:r>
      <w:r>
        <w:rPr>
          <w:rFonts w:ascii="Times New Roman" w:hAnsi="Times New Roman" w:cs="Times New Roman"/>
          <w:bCs/>
          <w:sz w:val="24"/>
          <w:szCs w:val="24"/>
        </w:rPr>
        <w:t xml:space="preserve"> de</w:t>
      </w:r>
      <w:r w:rsidR="00891307">
        <w:rPr>
          <w:rFonts w:ascii="Times New Roman" w:hAnsi="Times New Roman" w:cs="Times New Roman"/>
          <w:bCs/>
          <w:sz w:val="24"/>
          <w:szCs w:val="24"/>
        </w:rPr>
        <w:t xml:space="preserve"> cada</w:t>
      </w:r>
      <w:r>
        <w:rPr>
          <w:rFonts w:ascii="Times New Roman" w:hAnsi="Times New Roman" w:cs="Times New Roman"/>
          <w:bCs/>
          <w:sz w:val="24"/>
          <w:szCs w:val="24"/>
        </w:rPr>
        <w:t xml:space="preserve"> periodo </w:t>
      </w:r>
      <w:r w:rsidR="00891307">
        <w:rPr>
          <w:rFonts w:ascii="Times New Roman" w:hAnsi="Times New Roman" w:cs="Times New Roman"/>
          <w:bCs/>
          <w:sz w:val="24"/>
          <w:szCs w:val="24"/>
        </w:rPr>
        <w:t>d</w:t>
      </w:r>
      <w:r>
        <w:rPr>
          <w:rFonts w:ascii="Times New Roman" w:hAnsi="Times New Roman" w:cs="Times New Roman"/>
          <w:bCs/>
          <w:sz w:val="24"/>
          <w:szCs w:val="24"/>
        </w:rPr>
        <w:t>el plan de estudios</w:t>
      </w:r>
      <w:r w:rsidR="00891307">
        <w:rPr>
          <w:rFonts w:ascii="Times New Roman" w:hAnsi="Times New Roman" w:cs="Times New Roman"/>
          <w:bCs/>
          <w:sz w:val="24"/>
          <w:szCs w:val="24"/>
        </w:rPr>
        <w:t xml:space="preserve">, en el tiempo establecido </w:t>
      </w:r>
      <w:r>
        <w:rPr>
          <w:rFonts w:ascii="Times New Roman" w:hAnsi="Times New Roman" w:cs="Times New Roman"/>
          <w:bCs/>
          <w:sz w:val="24"/>
          <w:szCs w:val="24"/>
        </w:rPr>
        <w:t xml:space="preserve"> </w:t>
      </w:r>
      <w:r w:rsidR="00891307">
        <w:rPr>
          <w:rFonts w:ascii="Times New Roman" w:hAnsi="Times New Roman" w:cs="Times New Roman"/>
          <w:bCs/>
          <w:sz w:val="24"/>
          <w:szCs w:val="24"/>
        </w:rPr>
        <w:t>considerando el óptimo desarrollo de la implementación del plan y el fortalecimiento de la calidad educativa desde la visión de un elevado índice de eficiencia terminal.</w:t>
      </w:r>
    </w:p>
    <w:tbl>
      <w:tblPr>
        <w:tblStyle w:val="ListTable3Accent6"/>
        <w:tblW w:w="8909" w:type="dxa"/>
        <w:tblLook w:val="04A0" w:firstRow="1" w:lastRow="0" w:firstColumn="1" w:lastColumn="0" w:noHBand="0" w:noVBand="1"/>
      </w:tblPr>
      <w:tblGrid>
        <w:gridCol w:w="3114"/>
        <w:gridCol w:w="709"/>
        <w:gridCol w:w="764"/>
        <w:gridCol w:w="501"/>
        <w:gridCol w:w="861"/>
        <w:gridCol w:w="283"/>
        <w:gridCol w:w="709"/>
        <w:gridCol w:w="764"/>
        <w:gridCol w:w="440"/>
        <w:gridCol w:w="750"/>
        <w:gridCol w:w="14"/>
      </w:tblGrid>
      <w:tr w:rsidR="00D32E1D" w:rsidRPr="00706C2F" w14:paraId="3CA7D3AC" w14:textId="77777777" w:rsidTr="00D32E1D">
        <w:trPr>
          <w:gridAfter w:val="1"/>
          <w:cnfStyle w:val="100000000000" w:firstRow="1" w:lastRow="0" w:firstColumn="0" w:lastColumn="0" w:oddVBand="0" w:evenVBand="0" w:oddHBand="0" w:evenHBand="0" w:firstRowFirstColumn="0" w:firstRowLastColumn="0" w:lastRowFirstColumn="0" w:lastRowLastColumn="0"/>
          <w:wAfter w:w="14" w:type="dxa"/>
          <w:trHeight w:val="300"/>
        </w:trPr>
        <w:tc>
          <w:tcPr>
            <w:cnfStyle w:val="001000000100" w:firstRow="0" w:lastRow="0" w:firstColumn="1" w:lastColumn="0" w:oddVBand="0" w:evenVBand="0" w:oddHBand="0" w:evenHBand="0" w:firstRowFirstColumn="1" w:firstRowLastColumn="0" w:lastRowFirstColumn="0" w:lastRowLastColumn="0"/>
            <w:tcW w:w="8895" w:type="dxa"/>
            <w:gridSpan w:val="10"/>
            <w:tcBorders>
              <w:top w:val="single" w:sz="4" w:space="0" w:color="F79646" w:themeColor="accent6"/>
              <w:bottom w:val="single" w:sz="4" w:space="0" w:color="auto"/>
            </w:tcBorders>
          </w:tcPr>
          <w:p w14:paraId="404942A9" w14:textId="32C638FD" w:rsidR="00D32E1D" w:rsidRPr="00706C2F" w:rsidRDefault="00D32E1D" w:rsidP="00503D17">
            <w:pPr>
              <w:spacing w:line="360" w:lineRule="auto"/>
              <w:rPr>
                <w:rFonts w:ascii="Times New Roman" w:eastAsia="Times New Roman" w:hAnsi="Times New Roman" w:cs="Times New Roman"/>
                <w:color w:val="auto"/>
                <w:sz w:val="24"/>
                <w:szCs w:val="24"/>
                <w:lang w:eastAsia="es-MX"/>
              </w:rPr>
            </w:pPr>
            <w:r w:rsidRPr="00706C2F">
              <w:rPr>
                <w:rFonts w:ascii="Times New Roman" w:eastAsia="Times New Roman" w:hAnsi="Times New Roman" w:cs="Times New Roman"/>
                <w:color w:val="auto"/>
                <w:sz w:val="24"/>
                <w:szCs w:val="24"/>
                <w:lang w:eastAsia="es-MX"/>
              </w:rPr>
              <w:t>Tabla 7:</w:t>
            </w:r>
          </w:p>
          <w:p w14:paraId="192F0A38" w14:textId="485F45E1" w:rsidR="00D32E1D" w:rsidRPr="00706C2F" w:rsidRDefault="00D32E1D" w:rsidP="00503D17">
            <w:pPr>
              <w:spacing w:line="360" w:lineRule="auto"/>
              <w:rPr>
                <w:rFonts w:ascii="Calibri" w:eastAsia="Times New Roman" w:hAnsi="Calibri" w:cs="Times New Roman"/>
                <w:color w:val="auto"/>
                <w:lang w:eastAsia="es-MX"/>
              </w:rPr>
            </w:pPr>
            <w:r w:rsidRPr="00706C2F">
              <w:rPr>
                <w:rFonts w:ascii="Times New Roman" w:eastAsia="Times New Roman" w:hAnsi="Times New Roman" w:cs="Times New Roman"/>
                <w:color w:val="auto"/>
                <w:sz w:val="24"/>
                <w:szCs w:val="24"/>
                <w:lang w:eastAsia="es-MX"/>
              </w:rPr>
              <w:t>Regularidad académica de las cohortes en el Periodo 1 y Periodo 2</w:t>
            </w:r>
          </w:p>
        </w:tc>
      </w:tr>
      <w:tr w:rsidR="00D32E1D" w:rsidRPr="0003224F" w14:paraId="1E53F12C" w14:textId="77777777" w:rsidTr="00D32E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noWrap/>
            <w:hideMark/>
          </w:tcPr>
          <w:p w14:paraId="525BB66E" w14:textId="77777777" w:rsidR="00D32E1D" w:rsidRPr="0003224F" w:rsidRDefault="00D32E1D" w:rsidP="00D32E1D">
            <w:pPr>
              <w:spacing w:line="276" w:lineRule="auto"/>
              <w:rPr>
                <w:rFonts w:ascii="Times New Roman" w:eastAsia="Times New Roman" w:hAnsi="Times New Roman" w:cs="Times New Roman"/>
                <w:sz w:val="24"/>
                <w:szCs w:val="24"/>
                <w:lang w:eastAsia="es-MX"/>
              </w:rPr>
            </w:pPr>
          </w:p>
        </w:tc>
        <w:tc>
          <w:tcPr>
            <w:tcW w:w="2835" w:type="dxa"/>
            <w:gridSpan w:val="4"/>
            <w:tcBorders>
              <w:top w:val="single" w:sz="4" w:space="0" w:color="auto"/>
              <w:bottom w:val="single" w:sz="4" w:space="0" w:color="auto"/>
            </w:tcBorders>
            <w:noWrap/>
            <w:hideMark/>
          </w:tcPr>
          <w:p w14:paraId="23728B8E" w14:textId="77777777" w:rsidR="00D32E1D" w:rsidRPr="0003224F" w:rsidRDefault="00D32E1D" w:rsidP="00D32E1D">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DIA</w:t>
            </w:r>
          </w:p>
        </w:tc>
        <w:tc>
          <w:tcPr>
            <w:tcW w:w="283" w:type="dxa"/>
            <w:tcBorders>
              <w:top w:val="nil"/>
              <w:bottom w:val="nil"/>
            </w:tcBorders>
          </w:tcPr>
          <w:p w14:paraId="2E5FF636" w14:textId="77777777" w:rsidR="00D32E1D" w:rsidRPr="0003224F" w:rsidRDefault="00D32E1D" w:rsidP="00D32E1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p>
        </w:tc>
        <w:tc>
          <w:tcPr>
            <w:tcW w:w="2677" w:type="dxa"/>
            <w:gridSpan w:val="5"/>
            <w:tcBorders>
              <w:top w:val="single" w:sz="4" w:space="0" w:color="auto"/>
              <w:bottom w:val="single" w:sz="4" w:space="0" w:color="auto"/>
            </w:tcBorders>
            <w:noWrap/>
            <w:hideMark/>
          </w:tcPr>
          <w:p w14:paraId="7C608825" w14:textId="01C2EF38" w:rsidR="00D32E1D" w:rsidRPr="0003224F" w:rsidRDefault="00D32E1D" w:rsidP="00D32E1D">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DUP</w:t>
            </w:r>
          </w:p>
        </w:tc>
      </w:tr>
      <w:tr w:rsidR="00D32E1D" w:rsidRPr="0003224F" w14:paraId="1BD4AF94" w14:textId="77777777" w:rsidTr="00D32E1D">
        <w:trPr>
          <w:trHeight w:val="300"/>
        </w:trPr>
        <w:tc>
          <w:tcPr>
            <w:cnfStyle w:val="001000000000" w:firstRow="0" w:lastRow="0" w:firstColumn="1" w:lastColumn="0" w:oddVBand="0" w:evenVBand="0" w:oddHBand="0" w:evenHBand="0" w:firstRowFirstColumn="0" w:firstRowLastColumn="0" w:lastRowFirstColumn="0" w:lastRowLastColumn="0"/>
            <w:tcW w:w="3114" w:type="dxa"/>
            <w:tcBorders>
              <w:top w:val="nil"/>
              <w:bottom w:val="single" w:sz="4" w:space="0" w:color="auto"/>
            </w:tcBorders>
            <w:noWrap/>
            <w:hideMark/>
          </w:tcPr>
          <w:p w14:paraId="1557F709" w14:textId="497164D2" w:rsidR="00D32E1D" w:rsidRPr="0003224F" w:rsidRDefault="00C96179" w:rsidP="00C96179">
            <w:pPr>
              <w:spacing w:line="276" w:lineRule="auto"/>
              <w:jc w:val="center"/>
              <w:rPr>
                <w:rFonts w:ascii="Calibri" w:eastAsia="Times New Roman" w:hAnsi="Calibri" w:cs="Times New Roman"/>
                <w:color w:val="000000"/>
                <w:lang w:eastAsia="es-MX"/>
              </w:rPr>
            </w:pPr>
            <w:r>
              <w:rPr>
                <w:rFonts w:ascii="Calibri" w:eastAsia="Times New Roman" w:hAnsi="Calibri" w:cs="Times New Roman"/>
                <w:color w:val="000000"/>
                <w:lang w:eastAsia="es-MX"/>
              </w:rPr>
              <w:t>Alumnos</w:t>
            </w:r>
          </w:p>
        </w:tc>
        <w:tc>
          <w:tcPr>
            <w:tcW w:w="1473" w:type="dxa"/>
            <w:gridSpan w:val="2"/>
            <w:tcBorders>
              <w:top w:val="nil"/>
              <w:bottom w:val="single" w:sz="4" w:space="0" w:color="auto"/>
            </w:tcBorders>
            <w:noWrap/>
            <w:hideMark/>
          </w:tcPr>
          <w:p w14:paraId="6AACC3C6" w14:textId="77777777" w:rsidR="00D32E1D" w:rsidRPr="0003224F" w:rsidRDefault="00D32E1D" w:rsidP="00D32E1D">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Periodo 1</w:t>
            </w:r>
          </w:p>
        </w:tc>
        <w:tc>
          <w:tcPr>
            <w:tcW w:w="1362" w:type="dxa"/>
            <w:gridSpan w:val="2"/>
            <w:tcBorders>
              <w:top w:val="nil"/>
              <w:bottom w:val="single" w:sz="4" w:space="0" w:color="auto"/>
            </w:tcBorders>
            <w:noWrap/>
            <w:hideMark/>
          </w:tcPr>
          <w:p w14:paraId="00DF62EB" w14:textId="77777777" w:rsidR="00D32E1D" w:rsidRPr="0003224F" w:rsidRDefault="00D32E1D" w:rsidP="00D32E1D">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Periodo 2</w:t>
            </w:r>
          </w:p>
        </w:tc>
        <w:tc>
          <w:tcPr>
            <w:tcW w:w="283" w:type="dxa"/>
            <w:tcBorders>
              <w:top w:val="nil"/>
              <w:bottom w:val="single" w:sz="4" w:space="0" w:color="auto"/>
            </w:tcBorders>
          </w:tcPr>
          <w:p w14:paraId="55FDEC24" w14:textId="77777777" w:rsidR="00D32E1D" w:rsidRPr="0003224F" w:rsidRDefault="00D32E1D" w:rsidP="00D32E1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p>
        </w:tc>
        <w:tc>
          <w:tcPr>
            <w:tcW w:w="1473" w:type="dxa"/>
            <w:gridSpan w:val="2"/>
            <w:tcBorders>
              <w:top w:val="nil"/>
              <w:bottom w:val="single" w:sz="4" w:space="0" w:color="auto"/>
            </w:tcBorders>
            <w:noWrap/>
            <w:hideMark/>
          </w:tcPr>
          <w:p w14:paraId="14E278A3" w14:textId="3275384F" w:rsidR="00D32E1D" w:rsidRPr="0003224F" w:rsidRDefault="00D32E1D" w:rsidP="00D32E1D">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Periodo 1</w:t>
            </w:r>
          </w:p>
        </w:tc>
        <w:tc>
          <w:tcPr>
            <w:tcW w:w="1204" w:type="dxa"/>
            <w:gridSpan w:val="3"/>
            <w:tcBorders>
              <w:top w:val="nil"/>
              <w:bottom w:val="single" w:sz="4" w:space="0" w:color="auto"/>
            </w:tcBorders>
            <w:noWrap/>
            <w:hideMark/>
          </w:tcPr>
          <w:p w14:paraId="4F3ABF96" w14:textId="77777777" w:rsidR="00D32E1D" w:rsidRPr="0003224F" w:rsidRDefault="00D32E1D" w:rsidP="00D32E1D">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Periodo 2</w:t>
            </w:r>
          </w:p>
        </w:tc>
      </w:tr>
      <w:tr w:rsidR="00D32E1D" w:rsidRPr="0003224F" w14:paraId="232FC954" w14:textId="77777777" w:rsidTr="00D32E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tcBorders>
            <w:noWrap/>
            <w:hideMark/>
          </w:tcPr>
          <w:p w14:paraId="496086E6" w14:textId="48D29232" w:rsidR="00D32E1D" w:rsidRPr="0003224F" w:rsidRDefault="00D32E1D" w:rsidP="00D32E1D">
            <w:pPr>
              <w:spacing w:line="276"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R</w:t>
            </w:r>
            <w:r w:rsidRPr="0003224F">
              <w:rPr>
                <w:rFonts w:ascii="Calibri" w:eastAsia="Times New Roman" w:hAnsi="Calibri" w:cs="Times New Roman"/>
                <w:color w:val="000000"/>
                <w:lang w:eastAsia="es-MX"/>
              </w:rPr>
              <w:t>egulares</w:t>
            </w:r>
          </w:p>
        </w:tc>
        <w:tc>
          <w:tcPr>
            <w:tcW w:w="709" w:type="dxa"/>
            <w:tcBorders>
              <w:top w:val="single" w:sz="4" w:space="0" w:color="auto"/>
            </w:tcBorders>
            <w:noWrap/>
            <w:hideMark/>
          </w:tcPr>
          <w:p w14:paraId="1723FFFF" w14:textId="77777777" w:rsidR="00D32E1D" w:rsidRPr="0003224F" w:rsidRDefault="00D32E1D" w:rsidP="00D32E1D">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64</w:t>
            </w:r>
          </w:p>
        </w:tc>
        <w:tc>
          <w:tcPr>
            <w:tcW w:w="764" w:type="dxa"/>
            <w:tcBorders>
              <w:top w:val="single" w:sz="4" w:space="0" w:color="auto"/>
            </w:tcBorders>
            <w:noWrap/>
            <w:hideMark/>
          </w:tcPr>
          <w:p w14:paraId="5B209654" w14:textId="77777777" w:rsidR="00D32E1D" w:rsidRPr="0003224F" w:rsidRDefault="00D32E1D" w:rsidP="00D32E1D">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69.6%</w:t>
            </w:r>
          </w:p>
        </w:tc>
        <w:tc>
          <w:tcPr>
            <w:tcW w:w="501" w:type="dxa"/>
            <w:tcBorders>
              <w:top w:val="single" w:sz="4" w:space="0" w:color="auto"/>
            </w:tcBorders>
            <w:noWrap/>
            <w:hideMark/>
          </w:tcPr>
          <w:p w14:paraId="0C33F34E" w14:textId="77777777" w:rsidR="00D32E1D" w:rsidRPr="0003224F" w:rsidRDefault="00D32E1D" w:rsidP="00D32E1D">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44</w:t>
            </w:r>
          </w:p>
        </w:tc>
        <w:tc>
          <w:tcPr>
            <w:tcW w:w="861" w:type="dxa"/>
            <w:tcBorders>
              <w:top w:val="single" w:sz="4" w:space="0" w:color="auto"/>
            </w:tcBorders>
            <w:noWrap/>
            <w:hideMark/>
          </w:tcPr>
          <w:p w14:paraId="4009A232" w14:textId="77777777" w:rsidR="00D32E1D" w:rsidRPr="0003224F" w:rsidRDefault="00D32E1D" w:rsidP="00D32E1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71.0%</w:t>
            </w:r>
          </w:p>
        </w:tc>
        <w:tc>
          <w:tcPr>
            <w:tcW w:w="283" w:type="dxa"/>
            <w:tcBorders>
              <w:top w:val="single" w:sz="4" w:space="0" w:color="auto"/>
            </w:tcBorders>
          </w:tcPr>
          <w:p w14:paraId="354E5EAA" w14:textId="77777777" w:rsidR="00D32E1D" w:rsidRPr="0003224F" w:rsidRDefault="00D32E1D" w:rsidP="00D32E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p>
        </w:tc>
        <w:tc>
          <w:tcPr>
            <w:tcW w:w="709" w:type="dxa"/>
            <w:tcBorders>
              <w:top w:val="single" w:sz="4" w:space="0" w:color="auto"/>
            </w:tcBorders>
            <w:noWrap/>
            <w:hideMark/>
          </w:tcPr>
          <w:p w14:paraId="4CA02E1B" w14:textId="0958F8D3" w:rsidR="00D32E1D" w:rsidRPr="0003224F" w:rsidRDefault="00D32E1D" w:rsidP="00D32E1D">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58</w:t>
            </w:r>
          </w:p>
        </w:tc>
        <w:tc>
          <w:tcPr>
            <w:tcW w:w="764" w:type="dxa"/>
            <w:tcBorders>
              <w:top w:val="single" w:sz="4" w:space="0" w:color="auto"/>
            </w:tcBorders>
            <w:noWrap/>
            <w:hideMark/>
          </w:tcPr>
          <w:p w14:paraId="3815A8C3" w14:textId="77777777" w:rsidR="00D32E1D" w:rsidRPr="0003224F" w:rsidRDefault="00D32E1D" w:rsidP="00D32E1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67.4%</w:t>
            </w:r>
          </w:p>
        </w:tc>
        <w:tc>
          <w:tcPr>
            <w:tcW w:w="440" w:type="dxa"/>
            <w:tcBorders>
              <w:top w:val="single" w:sz="4" w:space="0" w:color="auto"/>
            </w:tcBorders>
            <w:noWrap/>
            <w:hideMark/>
          </w:tcPr>
          <w:p w14:paraId="31F80A58" w14:textId="77777777" w:rsidR="00D32E1D" w:rsidRPr="0003224F" w:rsidRDefault="00D32E1D" w:rsidP="00D32E1D">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46</w:t>
            </w:r>
          </w:p>
        </w:tc>
        <w:tc>
          <w:tcPr>
            <w:tcW w:w="764" w:type="dxa"/>
            <w:gridSpan w:val="2"/>
            <w:tcBorders>
              <w:top w:val="single" w:sz="4" w:space="0" w:color="auto"/>
            </w:tcBorders>
            <w:noWrap/>
            <w:hideMark/>
          </w:tcPr>
          <w:p w14:paraId="13B1B314" w14:textId="77777777" w:rsidR="00D32E1D" w:rsidRPr="0003224F" w:rsidRDefault="00D32E1D" w:rsidP="00D32E1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62.2%</w:t>
            </w:r>
          </w:p>
        </w:tc>
      </w:tr>
      <w:tr w:rsidR="00D32E1D" w:rsidRPr="0003224F" w14:paraId="581DD20A" w14:textId="77777777" w:rsidTr="00D32E1D">
        <w:trPr>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7B4B64CB" w14:textId="0621433D" w:rsidR="00D32E1D" w:rsidRPr="0003224F" w:rsidRDefault="00D32E1D" w:rsidP="00D32E1D">
            <w:pPr>
              <w:spacing w:line="276"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Q</w:t>
            </w:r>
            <w:r w:rsidRPr="0003224F">
              <w:rPr>
                <w:rFonts w:ascii="Calibri" w:eastAsia="Times New Roman" w:hAnsi="Calibri" w:cs="Times New Roman"/>
                <w:color w:val="000000"/>
                <w:lang w:eastAsia="es-MX"/>
              </w:rPr>
              <w:t>ue deben 1 o 2 asignaturas</w:t>
            </w:r>
          </w:p>
        </w:tc>
        <w:tc>
          <w:tcPr>
            <w:tcW w:w="709" w:type="dxa"/>
            <w:noWrap/>
            <w:hideMark/>
          </w:tcPr>
          <w:p w14:paraId="1666B250" w14:textId="77777777" w:rsidR="00D32E1D" w:rsidRPr="0003224F" w:rsidRDefault="00D32E1D" w:rsidP="00D32E1D">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14</w:t>
            </w:r>
          </w:p>
        </w:tc>
        <w:tc>
          <w:tcPr>
            <w:tcW w:w="764" w:type="dxa"/>
            <w:noWrap/>
            <w:hideMark/>
          </w:tcPr>
          <w:p w14:paraId="7CD3768F" w14:textId="77777777" w:rsidR="00D32E1D" w:rsidRPr="0003224F" w:rsidRDefault="00D32E1D" w:rsidP="00D32E1D">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15.2%</w:t>
            </w:r>
          </w:p>
        </w:tc>
        <w:tc>
          <w:tcPr>
            <w:tcW w:w="501" w:type="dxa"/>
            <w:noWrap/>
            <w:hideMark/>
          </w:tcPr>
          <w:p w14:paraId="57784170" w14:textId="77777777" w:rsidR="00D32E1D" w:rsidRPr="0003224F" w:rsidRDefault="00D32E1D" w:rsidP="00D32E1D">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16</w:t>
            </w:r>
          </w:p>
        </w:tc>
        <w:tc>
          <w:tcPr>
            <w:tcW w:w="861" w:type="dxa"/>
            <w:noWrap/>
            <w:hideMark/>
          </w:tcPr>
          <w:p w14:paraId="3B733856" w14:textId="77777777" w:rsidR="00D32E1D" w:rsidRPr="0003224F" w:rsidRDefault="00D32E1D" w:rsidP="00D32E1D">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25.8%</w:t>
            </w:r>
          </w:p>
        </w:tc>
        <w:tc>
          <w:tcPr>
            <w:tcW w:w="283" w:type="dxa"/>
          </w:tcPr>
          <w:p w14:paraId="0049F484" w14:textId="77777777" w:rsidR="00D32E1D" w:rsidRPr="0003224F" w:rsidRDefault="00D32E1D" w:rsidP="00D32E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p>
        </w:tc>
        <w:tc>
          <w:tcPr>
            <w:tcW w:w="709" w:type="dxa"/>
            <w:noWrap/>
            <w:hideMark/>
          </w:tcPr>
          <w:p w14:paraId="4E44FC21" w14:textId="1A927973" w:rsidR="00D32E1D" w:rsidRPr="0003224F" w:rsidRDefault="00D32E1D" w:rsidP="00D32E1D">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23</w:t>
            </w:r>
          </w:p>
        </w:tc>
        <w:tc>
          <w:tcPr>
            <w:tcW w:w="764" w:type="dxa"/>
            <w:noWrap/>
            <w:hideMark/>
          </w:tcPr>
          <w:p w14:paraId="4789635E" w14:textId="77777777" w:rsidR="00D32E1D" w:rsidRPr="0003224F" w:rsidRDefault="00D32E1D" w:rsidP="00D32E1D">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26.7%</w:t>
            </w:r>
          </w:p>
        </w:tc>
        <w:tc>
          <w:tcPr>
            <w:tcW w:w="440" w:type="dxa"/>
            <w:noWrap/>
            <w:hideMark/>
          </w:tcPr>
          <w:p w14:paraId="7CB5DDC5" w14:textId="77777777" w:rsidR="00D32E1D" w:rsidRPr="0003224F" w:rsidRDefault="00D32E1D" w:rsidP="00D32E1D">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27</w:t>
            </w:r>
          </w:p>
        </w:tc>
        <w:tc>
          <w:tcPr>
            <w:tcW w:w="764" w:type="dxa"/>
            <w:gridSpan w:val="2"/>
            <w:noWrap/>
            <w:hideMark/>
          </w:tcPr>
          <w:p w14:paraId="6809B97D" w14:textId="77777777" w:rsidR="00D32E1D" w:rsidRPr="0003224F" w:rsidRDefault="00D32E1D" w:rsidP="00D32E1D">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36.5%</w:t>
            </w:r>
          </w:p>
        </w:tc>
      </w:tr>
      <w:tr w:rsidR="00D32E1D" w:rsidRPr="0003224F" w14:paraId="0DFE7802" w14:textId="77777777" w:rsidTr="00D32E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noWrap/>
            <w:hideMark/>
          </w:tcPr>
          <w:p w14:paraId="0B0FBD7A" w14:textId="0D2842A8" w:rsidR="00D32E1D" w:rsidRPr="0003224F" w:rsidRDefault="00D32E1D" w:rsidP="00D32E1D">
            <w:pPr>
              <w:spacing w:line="276"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Q</w:t>
            </w:r>
            <w:r w:rsidRPr="0003224F">
              <w:rPr>
                <w:rFonts w:ascii="Calibri" w:eastAsia="Times New Roman" w:hAnsi="Calibri" w:cs="Times New Roman"/>
                <w:color w:val="000000"/>
                <w:lang w:eastAsia="es-MX"/>
              </w:rPr>
              <w:t>ue deben 3 o 4 asignaturas</w:t>
            </w:r>
          </w:p>
        </w:tc>
        <w:tc>
          <w:tcPr>
            <w:tcW w:w="709" w:type="dxa"/>
            <w:noWrap/>
            <w:hideMark/>
          </w:tcPr>
          <w:p w14:paraId="75E49DC0" w14:textId="77777777" w:rsidR="00D32E1D" w:rsidRPr="0003224F" w:rsidRDefault="00D32E1D" w:rsidP="00D32E1D">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6</w:t>
            </w:r>
          </w:p>
        </w:tc>
        <w:tc>
          <w:tcPr>
            <w:tcW w:w="764" w:type="dxa"/>
            <w:noWrap/>
            <w:hideMark/>
          </w:tcPr>
          <w:p w14:paraId="5E84C3F0" w14:textId="77777777" w:rsidR="00D32E1D" w:rsidRPr="0003224F" w:rsidRDefault="00D32E1D" w:rsidP="00D32E1D">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6.5%</w:t>
            </w:r>
          </w:p>
        </w:tc>
        <w:tc>
          <w:tcPr>
            <w:tcW w:w="501" w:type="dxa"/>
            <w:noWrap/>
            <w:hideMark/>
          </w:tcPr>
          <w:p w14:paraId="265DAB53" w14:textId="77777777" w:rsidR="00D32E1D" w:rsidRPr="0003224F" w:rsidRDefault="00D32E1D" w:rsidP="00D32E1D">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2</w:t>
            </w:r>
          </w:p>
        </w:tc>
        <w:tc>
          <w:tcPr>
            <w:tcW w:w="861" w:type="dxa"/>
            <w:noWrap/>
            <w:hideMark/>
          </w:tcPr>
          <w:p w14:paraId="72826086" w14:textId="77777777" w:rsidR="00D32E1D" w:rsidRPr="0003224F" w:rsidRDefault="00D32E1D" w:rsidP="00D32E1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3.2%</w:t>
            </w:r>
          </w:p>
        </w:tc>
        <w:tc>
          <w:tcPr>
            <w:tcW w:w="283" w:type="dxa"/>
          </w:tcPr>
          <w:p w14:paraId="288B8330" w14:textId="77777777" w:rsidR="00D32E1D" w:rsidRPr="0003224F" w:rsidRDefault="00D32E1D" w:rsidP="00D32E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p>
        </w:tc>
        <w:tc>
          <w:tcPr>
            <w:tcW w:w="709" w:type="dxa"/>
            <w:noWrap/>
            <w:hideMark/>
          </w:tcPr>
          <w:p w14:paraId="0EBDD890" w14:textId="30362739" w:rsidR="00D32E1D" w:rsidRPr="0003224F" w:rsidRDefault="00D32E1D" w:rsidP="00D32E1D">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1</w:t>
            </w:r>
          </w:p>
        </w:tc>
        <w:tc>
          <w:tcPr>
            <w:tcW w:w="764" w:type="dxa"/>
            <w:noWrap/>
            <w:hideMark/>
          </w:tcPr>
          <w:p w14:paraId="2429C4BC" w14:textId="77777777" w:rsidR="00D32E1D" w:rsidRPr="0003224F" w:rsidRDefault="00D32E1D" w:rsidP="00D32E1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1.2%</w:t>
            </w:r>
          </w:p>
        </w:tc>
        <w:tc>
          <w:tcPr>
            <w:tcW w:w="440" w:type="dxa"/>
            <w:noWrap/>
            <w:hideMark/>
          </w:tcPr>
          <w:p w14:paraId="716D3184" w14:textId="77777777" w:rsidR="00D32E1D" w:rsidRPr="0003224F" w:rsidRDefault="00D32E1D" w:rsidP="00D32E1D">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1</w:t>
            </w:r>
          </w:p>
        </w:tc>
        <w:tc>
          <w:tcPr>
            <w:tcW w:w="764" w:type="dxa"/>
            <w:gridSpan w:val="2"/>
            <w:noWrap/>
            <w:hideMark/>
          </w:tcPr>
          <w:p w14:paraId="05119143" w14:textId="77777777" w:rsidR="00D32E1D" w:rsidRPr="0003224F" w:rsidRDefault="00D32E1D" w:rsidP="00D32E1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1.4%</w:t>
            </w:r>
          </w:p>
        </w:tc>
      </w:tr>
      <w:tr w:rsidR="00D32E1D" w:rsidRPr="0003224F" w14:paraId="191CC575" w14:textId="77777777" w:rsidTr="00D32E1D">
        <w:trPr>
          <w:trHeight w:val="30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F79646" w:themeColor="accent6"/>
              <w:bottom w:val="single" w:sz="4" w:space="0" w:color="auto"/>
            </w:tcBorders>
            <w:noWrap/>
            <w:hideMark/>
          </w:tcPr>
          <w:p w14:paraId="764E8ED5" w14:textId="068A8D0F" w:rsidR="00D32E1D" w:rsidRPr="0003224F" w:rsidRDefault="00D32E1D" w:rsidP="00D32E1D">
            <w:pPr>
              <w:spacing w:line="276"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Q</w:t>
            </w:r>
            <w:r w:rsidRPr="0003224F">
              <w:rPr>
                <w:rFonts w:ascii="Calibri" w:eastAsia="Times New Roman" w:hAnsi="Calibri" w:cs="Times New Roman"/>
                <w:color w:val="000000"/>
                <w:lang w:eastAsia="es-MX"/>
              </w:rPr>
              <w:t>ue deben 5 o más asignaturas</w:t>
            </w:r>
          </w:p>
        </w:tc>
        <w:tc>
          <w:tcPr>
            <w:tcW w:w="709" w:type="dxa"/>
            <w:tcBorders>
              <w:top w:val="single" w:sz="4" w:space="0" w:color="F79646" w:themeColor="accent6"/>
              <w:bottom w:val="single" w:sz="4" w:space="0" w:color="auto"/>
            </w:tcBorders>
            <w:noWrap/>
            <w:hideMark/>
          </w:tcPr>
          <w:p w14:paraId="3ECA84BB" w14:textId="77777777" w:rsidR="00D32E1D" w:rsidRPr="0003224F" w:rsidRDefault="00D32E1D" w:rsidP="00D32E1D">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8</w:t>
            </w:r>
          </w:p>
        </w:tc>
        <w:tc>
          <w:tcPr>
            <w:tcW w:w="764" w:type="dxa"/>
            <w:tcBorders>
              <w:top w:val="single" w:sz="4" w:space="0" w:color="F79646" w:themeColor="accent6"/>
              <w:bottom w:val="single" w:sz="4" w:space="0" w:color="auto"/>
            </w:tcBorders>
            <w:noWrap/>
            <w:hideMark/>
          </w:tcPr>
          <w:p w14:paraId="7A52BD71" w14:textId="77777777" w:rsidR="00D32E1D" w:rsidRPr="0003224F" w:rsidRDefault="00D32E1D" w:rsidP="00D32E1D">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8.7%</w:t>
            </w:r>
          </w:p>
        </w:tc>
        <w:tc>
          <w:tcPr>
            <w:tcW w:w="501" w:type="dxa"/>
            <w:tcBorders>
              <w:top w:val="single" w:sz="4" w:space="0" w:color="F79646" w:themeColor="accent6"/>
              <w:bottom w:val="single" w:sz="4" w:space="0" w:color="auto"/>
            </w:tcBorders>
            <w:noWrap/>
            <w:hideMark/>
          </w:tcPr>
          <w:p w14:paraId="533A8B24" w14:textId="77777777" w:rsidR="00D32E1D" w:rsidRPr="0003224F" w:rsidRDefault="00D32E1D" w:rsidP="00D32E1D">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0</w:t>
            </w:r>
          </w:p>
        </w:tc>
        <w:tc>
          <w:tcPr>
            <w:tcW w:w="861" w:type="dxa"/>
            <w:tcBorders>
              <w:top w:val="single" w:sz="4" w:space="0" w:color="F79646" w:themeColor="accent6"/>
              <w:bottom w:val="single" w:sz="4" w:space="0" w:color="auto"/>
            </w:tcBorders>
            <w:noWrap/>
            <w:hideMark/>
          </w:tcPr>
          <w:p w14:paraId="07F8BDEC" w14:textId="77777777" w:rsidR="00D32E1D" w:rsidRPr="0003224F" w:rsidRDefault="00D32E1D" w:rsidP="00D32E1D">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0.0%</w:t>
            </w:r>
          </w:p>
        </w:tc>
        <w:tc>
          <w:tcPr>
            <w:tcW w:w="283" w:type="dxa"/>
            <w:tcBorders>
              <w:top w:val="single" w:sz="4" w:space="0" w:color="F79646" w:themeColor="accent6"/>
              <w:bottom w:val="single" w:sz="4" w:space="0" w:color="auto"/>
            </w:tcBorders>
          </w:tcPr>
          <w:p w14:paraId="789C4501" w14:textId="77777777" w:rsidR="00D32E1D" w:rsidRPr="0003224F" w:rsidRDefault="00D32E1D" w:rsidP="00D32E1D">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p>
        </w:tc>
        <w:tc>
          <w:tcPr>
            <w:tcW w:w="709" w:type="dxa"/>
            <w:tcBorders>
              <w:top w:val="single" w:sz="4" w:space="0" w:color="F79646" w:themeColor="accent6"/>
              <w:bottom w:val="single" w:sz="4" w:space="0" w:color="auto"/>
            </w:tcBorders>
            <w:noWrap/>
            <w:hideMark/>
          </w:tcPr>
          <w:p w14:paraId="6C9AB20A" w14:textId="0B348342" w:rsidR="00D32E1D" w:rsidRPr="0003224F" w:rsidRDefault="00D32E1D" w:rsidP="00D32E1D">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4</w:t>
            </w:r>
          </w:p>
        </w:tc>
        <w:tc>
          <w:tcPr>
            <w:tcW w:w="764" w:type="dxa"/>
            <w:tcBorders>
              <w:top w:val="single" w:sz="4" w:space="0" w:color="F79646" w:themeColor="accent6"/>
              <w:bottom w:val="single" w:sz="4" w:space="0" w:color="auto"/>
            </w:tcBorders>
            <w:noWrap/>
            <w:hideMark/>
          </w:tcPr>
          <w:p w14:paraId="05AD2964" w14:textId="77777777" w:rsidR="00D32E1D" w:rsidRPr="0003224F" w:rsidRDefault="00D32E1D" w:rsidP="00D32E1D">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4.7%</w:t>
            </w:r>
          </w:p>
        </w:tc>
        <w:tc>
          <w:tcPr>
            <w:tcW w:w="440" w:type="dxa"/>
            <w:tcBorders>
              <w:top w:val="single" w:sz="4" w:space="0" w:color="F79646" w:themeColor="accent6"/>
              <w:bottom w:val="single" w:sz="4" w:space="0" w:color="auto"/>
            </w:tcBorders>
            <w:noWrap/>
            <w:hideMark/>
          </w:tcPr>
          <w:p w14:paraId="5F198943" w14:textId="77777777" w:rsidR="00D32E1D" w:rsidRPr="0003224F" w:rsidRDefault="00D32E1D" w:rsidP="00D32E1D">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0</w:t>
            </w:r>
          </w:p>
        </w:tc>
        <w:tc>
          <w:tcPr>
            <w:tcW w:w="764" w:type="dxa"/>
            <w:gridSpan w:val="2"/>
            <w:tcBorders>
              <w:top w:val="single" w:sz="4" w:space="0" w:color="F79646" w:themeColor="accent6"/>
              <w:bottom w:val="single" w:sz="4" w:space="0" w:color="auto"/>
            </w:tcBorders>
            <w:noWrap/>
            <w:hideMark/>
          </w:tcPr>
          <w:p w14:paraId="71B3C86C" w14:textId="77777777" w:rsidR="00D32E1D" w:rsidRPr="0003224F" w:rsidRDefault="00D32E1D" w:rsidP="00D32E1D">
            <w:pPr>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03224F">
              <w:rPr>
                <w:rFonts w:ascii="Calibri" w:eastAsia="Times New Roman" w:hAnsi="Calibri" w:cs="Times New Roman"/>
                <w:color w:val="000000"/>
                <w:lang w:eastAsia="es-MX"/>
              </w:rPr>
              <w:t>0.0%</w:t>
            </w:r>
          </w:p>
        </w:tc>
      </w:tr>
      <w:tr w:rsidR="00D32E1D" w:rsidRPr="0003224F" w14:paraId="6CAF3495" w14:textId="77777777" w:rsidTr="00D32E1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single" w:sz="4" w:space="0" w:color="auto"/>
            </w:tcBorders>
            <w:noWrap/>
          </w:tcPr>
          <w:p w14:paraId="3861FC86" w14:textId="18811E1C" w:rsidR="00D32E1D" w:rsidRDefault="00D32E1D" w:rsidP="00D32E1D">
            <w:pPr>
              <w:spacing w:line="276" w:lineRule="auto"/>
              <w:jc w:val="right"/>
              <w:rPr>
                <w:rFonts w:ascii="Calibri" w:eastAsia="Times New Roman" w:hAnsi="Calibri" w:cs="Times New Roman"/>
                <w:color w:val="000000"/>
                <w:lang w:eastAsia="es-MX"/>
              </w:rPr>
            </w:pPr>
            <w:r>
              <w:rPr>
                <w:rFonts w:ascii="Calibri" w:eastAsia="Times New Roman" w:hAnsi="Calibri" w:cs="Times New Roman"/>
                <w:color w:val="000000"/>
                <w:lang w:eastAsia="es-MX"/>
              </w:rPr>
              <w:t>Total</w:t>
            </w:r>
          </w:p>
        </w:tc>
        <w:tc>
          <w:tcPr>
            <w:tcW w:w="709" w:type="dxa"/>
            <w:tcBorders>
              <w:top w:val="single" w:sz="4" w:space="0" w:color="auto"/>
              <w:bottom w:val="single" w:sz="4" w:space="0" w:color="auto"/>
            </w:tcBorders>
            <w:noWrap/>
          </w:tcPr>
          <w:p w14:paraId="22216936" w14:textId="2C6CD3E4" w:rsidR="00D32E1D" w:rsidRPr="0003224F" w:rsidRDefault="00D32E1D" w:rsidP="00D32E1D">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Pr>
                <w:rFonts w:ascii="Calibri" w:eastAsia="Times New Roman" w:hAnsi="Calibri" w:cs="Times New Roman"/>
                <w:color w:val="000000"/>
                <w:lang w:eastAsia="es-MX"/>
              </w:rPr>
              <w:t>92</w:t>
            </w:r>
          </w:p>
        </w:tc>
        <w:tc>
          <w:tcPr>
            <w:tcW w:w="764" w:type="dxa"/>
            <w:tcBorders>
              <w:top w:val="single" w:sz="4" w:space="0" w:color="auto"/>
              <w:bottom w:val="single" w:sz="4" w:space="0" w:color="auto"/>
            </w:tcBorders>
            <w:noWrap/>
          </w:tcPr>
          <w:p w14:paraId="76CE0FDC" w14:textId="6609A2C0" w:rsidR="00D32E1D" w:rsidRPr="0003224F" w:rsidRDefault="00D32E1D" w:rsidP="00D32E1D">
            <w:pPr>
              <w:spacing w:line="276" w:lineRule="auto"/>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c>
          <w:tcPr>
            <w:tcW w:w="501" w:type="dxa"/>
            <w:tcBorders>
              <w:top w:val="single" w:sz="4" w:space="0" w:color="auto"/>
              <w:bottom w:val="single" w:sz="4" w:space="0" w:color="auto"/>
            </w:tcBorders>
            <w:noWrap/>
          </w:tcPr>
          <w:p w14:paraId="5A43638E" w14:textId="1AB5802F" w:rsidR="00D32E1D" w:rsidRPr="0003224F" w:rsidRDefault="00D32E1D" w:rsidP="00D32E1D">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Pr>
                <w:rFonts w:ascii="Calibri" w:eastAsia="Times New Roman" w:hAnsi="Calibri" w:cs="Times New Roman"/>
                <w:color w:val="000000"/>
                <w:lang w:eastAsia="es-MX"/>
              </w:rPr>
              <w:t>62</w:t>
            </w:r>
          </w:p>
        </w:tc>
        <w:tc>
          <w:tcPr>
            <w:tcW w:w="861" w:type="dxa"/>
            <w:tcBorders>
              <w:top w:val="single" w:sz="4" w:space="0" w:color="auto"/>
              <w:bottom w:val="single" w:sz="4" w:space="0" w:color="auto"/>
            </w:tcBorders>
            <w:noWrap/>
          </w:tcPr>
          <w:p w14:paraId="664F2982" w14:textId="40035C26" w:rsidR="00D32E1D" w:rsidRPr="0003224F" w:rsidRDefault="00D32E1D" w:rsidP="00D32E1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c>
          <w:tcPr>
            <w:tcW w:w="283" w:type="dxa"/>
            <w:tcBorders>
              <w:top w:val="single" w:sz="4" w:space="0" w:color="auto"/>
              <w:bottom w:val="single" w:sz="4" w:space="0" w:color="auto"/>
            </w:tcBorders>
          </w:tcPr>
          <w:p w14:paraId="6C172B1D" w14:textId="77777777" w:rsidR="00D32E1D" w:rsidRDefault="00D32E1D" w:rsidP="00D32E1D">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p>
        </w:tc>
        <w:tc>
          <w:tcPr>
            <w:tcW w:w="709" w:type="dxa"/>
            <w:tcBorders>
              <w:top w:val="single" w:sz="4" w:space="0" w:color="auto"/>
              <w:bottom w:val="single" w:sz="4" w:space="0" w:color="auto"/>
            </w:tcBorders>
            <w:noWrap/>
          </w:tcPr>
          <w:p w14:paraId="05F841C9" w14:textId="1E1022E3" w:rsidR="00D32E1D" w:rsidRPr="0003224F" w:rsidRDefault="00D32E1D" w:rsidP="00D32E1D">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Pr>
                <w:rFonts w:ascii="Calibri" w:eastAsia="Times New Roman" w:hAnsi="Calibri" w:cs="Times New Roman"/>
                <w:color w:val="000000"/>
                <w:lang w:eastAsia="es-MX"/>
              </w:rPr>
              <w:t>86</w:t>
            </w:r>
          </w:p>
        </w:tc>
        <w:tc>
          <w:tcPr>
            <w:tcW w:w="764" w:type="dxa"/>
            <w:tcBorders>
              <w:top w:val="single" w:sz="4" w:space="0" w:color="auto"/>
              <w:bottom w:val="single" w:sz="4" w:space="0" w:color="auto"/>
            </w:tcBorders>
            <w:noWrap/>
          </w:tcPr>
          <w:p w14:paraId="20008288" w14:textId="10672565" w:rsidR="00D32E1D" w:rsidRPr="0003224F" w:rsidRDefault="00D32E1D" w:rsidP="00D32E1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c>
          <w:tcPr>
            <w:tcW w:w="440" w:type="dxa"/>
            <w:tcBorders>
              <w:top w:val="single" w:sz="4" w:space="0" w:color="auto"/>
              <w:bottom w:val="single" w:sz="4" w:space="0" w:color="auto"/>
            </w:tcBorders>
            <w:noWrap/>
          </w:tcPr>
          <w:p w14:paraId="4E9C4BF6" w14:textId="60125C72" w:rsidR="00D32E1D" w:rsidRPr="0003224F" w:rsidRDefault="00D32E1D" w:rsidP="00D32E1D">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Pr>
                <w:rFonts w:ascii="Calibri" w:eastAsia="Times New Roman" w:hAnsi="Calibri" w:cs="Times New Roman"/>
                <w:color w:val="000000"/>
                <w:lang w:eastAsia="es-MX"/>
              </w:rPr>
              <w:t>74</w:t>
            </w:r>
          </w:p>
        </w:tc>
        <w:tc>
          <w:tcPr>
            <w:tcW w:w="764" w:type="dxa"/>
            <w:gridSpan w:val="2"/>
            <w:tcBorders>
              <w:top w:val="single" w:sz="4" w:space="0" w:color="auto"/>
              <w:bottom w:val="single" w:sz="4" w:space="0" w:color="auto"/>
            </w:tcBorders>
            <w:noWrap/>
          </w:tcPr>
          <w:p w14:paraId="5D1AEAD1" w14:textId="3B716991" w:rsidR="00D32E1D" w:rsidRPr="0003224F" w:rsidRDefault="00D32E1D" w:rsidP="00D32E1D">
            <w:pPr>
              <w:spacing w:line="276" w:lineRule="auto"/>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Pr>
                <w:rFonts w:ascii="Calibri" w:eastAsia="Times New Roman" w:hAnsi="Calibri" w:cs="Times New Roman"/>
                <w:color w:val="000000"/>
                <w:lang w:eastAsia="es-MX"/>
              </w:rPr>
              <w:t>100%</w:t>
            </w:r>
          </w:p>
        </w:tc>
      </w:tr>
    </w:tbl>
    <w:p w14:paraId="23EB50D2" w14:textId="77777777" w:rsidR="006F365D" w:rsidRPr="0023766D" w:rsidRDefault="006F365D" w:rsidP="006F365D">
      <w:pPr>
        <w:spacing w:before="240"/>
        <w:rPr>
          <w:rFonts w:ascii="Times New Roman" w:hAnsi="Times New Roman" w:cs="Times New Roman"/>
          <w:bCs/>
          <w:sz w:val="20"/>
          <w:szCs w:val="20"/>
        </w:rPr>
      </w:pPr>
      <w:r w:rsidRPr="0023766D">
        <w:rPr>
          <w:rFonts w:ascii="Times New Roman" w:hAnsi="Times New Roman" w:cs="Times New Roman"/>
          <w:bCs/>
          <w:sz w:val="20"/>
          <w:szCs w:val="20"/>
        </w:rPr>
        <w:t>Elaboración propia utilizando datos proporcionados por el Departamento de Control Escolar</w:t>
      </w:r>
    </w:p>
    <w:p w14:paraId="2B729691" w14:textId="77777777" w:rsidR="00B131EB" w:rsidRDefault="00C96179"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En la Tabla 7, podemos ver el comportamiento de la regularidad o irregularidad académica de las cohortes cuya trayectoria escolar estamos analizando. En el caso de la licenciatura en DIA en la fila –Regulares- se muestra que 64 de 92 alumnos de la cohorte acreditaron todas las asignaturas del Periodo 1</w:t>
      </w:r>
      <w:r w:rsidR="00B131EB">
        <w:rPr>
          <w:rFonts w:ascii="Times New Roman" w:hAnsi="Times New Roman" w:cs="Times New Roman"/>
          <w:bCs/>
          <w:sz w:val="24"/>
          <w:szCs w:val="24"/>
        </w:rPr>
        <w:t xml:space="preserve">, constituyendo esto el 70% de regularidad académica. 28 alumnos reprobaron 1 o más asignaturas, es decir, el 30% de los alumnos presentan irregularidad académica. </w:t>
      </w:r>
    </w:p>
    <w:p w14:paraId="5597CE40" w14:textId="77777777" w:rsidR="00FD3510" w:rsidRDefault="00B131EB"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Ahora, si analizamos los datos correspondientes al Periodo 2 de la cohorte anterior, observamos que 44 de 62 alumnos han acreditado todas las asignaturas de ese periodo, es decir, se tiene el 71% de regularidad académica. Prácticamente se mantiene el porcentaje de regularidad académica en ambos periodos</w:t>
      </w:r>
      <w:r w:rsidR="00FD3510">
        <w:rPr>
          <w:rFonts w:ascii="Times New Roman" w:hAnsi="Times New Roman" w:cs="Times New Roman"/>
          <w:bCs/>
          <w:sz w:val="24"/>
          <w:szCs w:val="24"/>
        </w:rPr>
        <w:t>. Aunque el indicador de regularidad académica se mantiene, un factor que no puede pasar desapercibido es la deserción, aspecto que se comentará en el siguiente punto.</w:t>
      </w:r>
    </w:p>
    <w:p w14:paraId="7B0857E5" w14:textId="3E25839C" w:rsidR="00FD3510" w:rsidRDefault="00FD3510"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En la misma Tabla 7, podemos ver que en la licenciatura en DUP que 58 de 86 alumnos de la cohorte acreditaron todas las asignaturas del Periodo 1, constituyendo esto el 67% de regularidad académica. 28 alumnos reprobaron 1 o más asignaturas, es decir, el 33% de los alumnos presentan irregularidad académica. </w:t>
      </w:r>
    </w:p>
    <w:p w14:paraId="5052BFAF" w14:textId="240C67A3" w:rsidR="0003224F" w:rsidRDefault="00FD3510"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Ahora, si analizamos los datos correspondientes al Periodo 2 de la cohorte anterior, observamos que 46 de 74 alumnos han acreditado todas las asignaturas de ese periodo, es decir, se tiene el 62% de regularidad académica. Se ha incrementado 5% la irregularidad académica para ubicarse en 38% en este periodo.</w:t>
      </w:r>
      <w:r w:rsidR="00A70B04">
        <w:rPr>
          <w:rFonts w:ascii="Times New Roman" w:hAnsi="Times New Roman" w:cs="Times New Roman"/>
          <w:bCs/>
          <w:sz w:val="24"/>
          <w:szCs w:val="24"/>
        </w:rPr>
        <w:t xml:space="preserve"> Considerando que en esta cohorte y en este periodo se logra el mayor rendimiento académico, en tanto la media aritmética del rendimiento por unidades de aprendizaje es 8.07 (aunque es el máximo, de acuerdo a los niveles de valoración es un rendimiento académico medio) y que también se tiene mayor índice de irregularidad, puede ser muestra de que se les ha exigido mayor nivel académico, que el rigor académico implementado por el cuerpo docente exige el máximo esfuerzo de los alumnos.</w:t>
      </w:r>
    </w:p>
    <w:p w14:paraId="38AAD230" w14:textId="77777777" w:rsidR="003D67DE" w:rsidRDefault="00A70B04"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La anterior situación y la última valoración conducen a una educación de calidad</w:t>
      </w:r>
      <w:r w:rsidR="003D67DE">
        <w:rPr>
          <w:rFonts w:ascii="Times New Roman" w:hAnsi="Times New Roman" w:cs="Times New Roman"/>
          <w:bCs/>
          <w:sz w:val="24"/>
          <w:szCs w:val="24"/>
        </w:rPr>
        <w:t xml:space="preserve">, si se proporciona a los alumnos, sobre todo a los irregulares, mayor acompañamiento y atención a sus necesidades de aprendizaje y formación. Es aquí donde estriba la relevancia de </w:t>
      </w:r>
      <w:r w:rsidR="003D67DE">
        <w:rPr>
          <w:rFonts w:ascii="Times New Roman" w:hAnsi="Times New Roman" w:cs="Times New Roman"/>
          <w:bCs/>
          <w:sz w:val="24"/>
          <w:szCs w:val="24"/>
        </w:rPr>
        <w:lastRenderedPageBreak/>
        <w:t>trabajos como el presente, pues permiten detectar a tiempo este tipo de necesidades para tomar decisiones de intervención oportuna para mejorar los indicadores.</w:t>
      </w:r>
    </w:p>
    <w:p w14:paraId="6FD5A3C2" w14:textId="3E0AB05A" w:rsidR="00503D17" w:rsidRDefault="003D67DE"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07F46893" w14:textId="096FBCB4" w:rsidR="00404CBD" w:rsidRPr="008C03A4" w:rsidRDefault="00404CBD" w:rsidP="002363C6">
      <w:pPr>
        <w:spacing w:line="360" w:lineRule="auto"/>
        <w:jc w:val="both"/>
        <w:rPr>
          <w:rFonts w:ascii="Times New Roman" w:hAnsi="Times New Roman" w:cs="Times New Roman"/>
          <w:b/>
          <w:bCs/>
          <w:sz w:val="24"/>
          <w:szCs w:val="24"/>
        </w:rPr>
      </w:pPr>
      <w:r w:rsidRPr="008C03A4">
        <w:rPr>
          <w:rFonts w:ascii="Times New Roman" w:hAnsi="Times New Roman" w:cs="Times New Roman"/>
          <w:b/>
          <w:bCs/>
          <w:sz w:val="24"/>
          <w:szCs w:val="24"/>
        </w:rPr>
        <w:t>Deserción</w:t>
      </w:r>
      <w:r w:rsidR="008C03A4" w:rsidRPr="008C03A4">
        <w:rPr>
          <w:rFonts w:ascii="Times New Roman" w:hAnsi="Times New Roman" w:cs="Times New Roman"/>
          <w:b/>
          <w:bCs/>
          <w:sz w:val="24"/>
          <w:szCs w:val="24"/>
        </w:rPr>
        <w:t xml:space="preserve"> escolar</w:t>
      </w:r>
    </w:p>
    <w:p w14:paraId="1C030CCC" w14:textId="77777777" w:rsidR="00936B54" w:rsidRDefault="00404CBD" w:rsidP="002363C6">
      <w:pPr>
        <w:pStyle w:val="Default"/>
        <w:spacing w:line="360" w:lineRule="auto"/>
        <w:jc w:val="both"/>
        <w:rPr>
          <w:rFonts w:ascii="Times New Roman" w:hAnsi="Times New Roman" w:cs="Times New Roman"/>
        </w:rPr>
      </w:pPr>
      <w:r>
        <w:rPr>
          <w:rFonts w:ascii="Times New Roman" w:hAnsi="Times New Roman" w:cs="Times New Roman"/>
        </w:rPr>
        <w:t xml:space="preserve">Asumiremos como deserción de la cohorte a los estudiantes que son de la cohorte y han abandonado la carrera. En el caso particular, las cohortes de este estudio están constituida por los alumnos que se inscribieron en las licenciaturas de Diseño de Interiores y Ambientación, y Diseño Urbano y del Paisaje en agosto de 2013. La UAS, tiene instituido un periodo anual de inscripción, </w:t>
      </w:r>
      <w:r w:rsidR="004D068E">
        <w:rPr>
          <w:rFonts w:ascii="Times New Roman" w:hAnsi="Times New Roman" w:cs="Times New Roman"/>
        </w:rPr>
        <w:t xml:space="preserve">por ello, oficialmente se registra a los alumnos que han abandonado los estudios al inicio del ciclo escolar. Sin embargo, en el sistema de Control Escolar se detecta a los alumnos que han abandonado sus estudios </w:t>
      </w:r>
      <w:r w:rsidR="00C61862">
        <w:rPr>
          <w:rFonts w:ascii="Times New Roman" w:hAnsi="Times New Roman" w:cs="Times New Roman"/>
        </w:rPr>
        <w:t>a partir del reporte de calificaciones semestrales</w:t>
      </w:r>
      <w:r w:rsidR="004D068E">
        <w:rPr>
          <w:rFonts w:ascii="Times New Roman" w:hAnsi="Times New Roman" w:cs="Times New Roman"/>
        </w:rPr>
        <w:t xml:space="preserve">. </w:t>
      </w:r>
      <w:r w:rsidR="00C61862">
        <w:rPr>
          <w:rFonts w:ascii="Times New Roman" w:hAnsi="Times New Roman" w:cs="Times New Roman"/>
        </w:rPr>
        <w:t>Los motivos por los que un alumno abandona la cohorte pueden ser motivados por distintas causas; su familia se cambia de ciudad de residencia, descubre que la carrera no era lo que esperaba, por razones económicas para el sostenimiento de los estudios,</w:t>
      </w:r>
      <w:r>
        <w:rPr>
          <w:rFonts w:ascii="Times New Roman" w:hAnsi="Times New Roman" w:cs="Times New Roman"/>
        </w:rPr>
        <w:t xml:space="preserve"> </w:t>
      </w:r>
      <w:r w:rsidR="00C61862">
        <w:rPr>
          <w:rFonts w:ascii="Times New Roman" w:hAnsi="Times New Roman" w:cs="Times New Roman"/>
        </w:rPr>
        <w:t xml:space="preserve">por reprobación o bajo rendimiento académico u otras razones. </w:t>
      </w:r>
      <w:r w:rsidR="00936B54">
        <w:rPr>
          <w:rFonts w:ascii="Times New Roman" w:hAnsi="Times New Roman" w:cs="Times New Roman"/>
        </w:rPr>
        <w:t>Independientemente</w:t>
      </w:r>
      <w:r w:rsidR="00C61862">
        <w:rPr>
          <w:rFonts w:ascii="Times New Roman" w:hAnsi="Times New Roman" w:cs="Times New Roman"/>
        </w:rPr>
        <w:t xml:space="preserve"> de las </w:t>
      </w:r>
      <w:r w:rsidR="00936B54">
        <w:rPr>
          <w:rFonts w:ascii="Times New Roman" w:hAnsi="Times New Roman" w:cs="Times New Roman"/>
        </w:rPr>
        <w:t>causas</w:t>
      </w:r>
      <w:r w:rsidR="00C61862">
        <w:rPr>
          <w:rFonts w:ascii="Times New Roman" w:hAnsi="Times New Roman" w:cs="Times New Roman"/>
        </w:rPr>
        <w:t xml:space="preserve"> que motivan la deserción, consideramos desertor al alumno que habiendo iniciado de una cohorte generacional de una carrera </w:t>
      </w:r>
      <w:r w:rsidR="00936B54">
        <w:rPr>
          <w:rFonts w:ascii="Times New Roman" w:hAnsi="Times New Roman" w:cs="Times New Roman"/>
        </w:rPr>
        <w:t xml:space="preserve">no se inscribe en cualquiera de los periodos establecidos para esa cohorte de acuerdo al plan curricular. Es decir, si el alumno se </w:t>
      </w:r>
      <w:r>
        <w:rPr>
          <w:rFonts w:ascii="Times New Roman" w:hAnsi="Times New Roman" w:cs="Times New Roman"/>
        </w:rPr>
        <w:t xml:space="preserve">inscribe en otra carrera de la Facultad o de la Universidad, </w:t>
      </w:r>
      <w:r w:rsidR="00936B54">
        <w:rPr>
          <w:rFonts w:ascii="Times New Roman" w:hAnsi="Times New Roman" w:cs="Times New Roman"/>
        </w:rPr>
        <w:t>se siguen considerando desertor</w:t>
      </w:r>
      <w:r>
        <w:rPr>
          <w:rFonts w:ascii="Times New Roman" w:hAnsi="Times New Roman" w:cs="Times New Roman"/>
        </w:rPr>
        <w:t xml:space="preserve"> de </w:t>
      </w:r>
      <w:r w:rsidR="00936B54">
        <w:rPr>
          <w:rFonts w:ascii="Times New Roman" w:hAnsi="Times New Roman" w:cs="Times New Roman"/>
        </w:rPr>
        <w:t>cohorte aunque se haya inscrito en otra cohorte.</w:t>
      </w:r>
    </w:p>
    <w:p w14:paraId="67F5CDD0" w14:textId="77777777" w:rsidR="00404CBD" w:rsidRPr="00F94D3B" w:rsidRDefault="00404CBD" w:rsidP="00404CBD">
      <w:pPr>
        <w:pStyle w:val="Default"/>
        <w:spacing w:line="360" w:lineRule="auto"/>
        <w:rPr>
          <w:rFonts w:ascii="Times New Roman" w:hAnsi="Times New Roman" w:cs="Times New Roman"/>
        </w:rPr>
      </w:pPr>
    </w:p>
    <w:p w14:paraId="5BE58046" w14:textId="34E795EB" w:rsidR="00404CBD" w:rsidRPr="00F94D3B" w:rsidRDefault="00936B54" w:rsidP="00404CBD">
      <w:pPr>
        <w:pStyle w:val="Default"/>
        <w:spacing w:line="360" w:lineRule="auto"/>
        <w:rPr>
          <w:rFonts w:ascii="Times New Roman" w:hAnsi="Times New Roman" w:cs="Times New Roman"/>
        </w:rPr>
      </w:pPr>
      <w:r>
        <w:rPr>
          <w:rFonts w:ascii="Times New Roman" w:hAnsi="Times New Roman" w:cs="Times New Roman"/>
        </w:rPr>
        <w:t>La F</w:t>
      </w:r>
      <w:r w:rsidR="00404CBD" w:rsidRPr="00F94D3B">
        <w:rPr>
          <w:rFonts w:ascii="Times New Roman" w:hAnsi="Times New Roman" w:cs="Times New Roman"/>
        </w:rPr>
        <w:t>órmula</w:t>
      </w:r>
      <w:r>
        <w:rPr>
          <w:rFonts w:ascii="Times New Roman" w:hAnsi="Times New Roman" w:cs="Times New Roman"/>
        </w:rPr>
        <w:t xml:space="preserve"> (1) se utiliza</w:t>
      </w:r>
      <w:r w:rsidR="00404CBD" w:rsidRPr="00F94D3B">
        <w:rPr>
          <w:rFonts w:ascii="Times New Roman" w:hAnsi="Times New Roman" w:cs="Times New Roman"/>
        </w:rPr>
        <w:t xml:space="preserve"> para determinar </w:t>
      </w:r>
      <w:r>
        <w:rPr>
          <w:rFonts w:ascii="Times New Roman" w:hAnsi="Times New Roman" w:cs="Times New Roman"/>
        </w:rPr>
        <w:t>el índice de</w:t>
      </w:r>
      <w:r w:rsidR="00404CBD" w:rsidRPr="00F94D3B">
        <w:rPr>
          <w:rFonts w:ascii="Times New Roman" w:hAnsi="Times New Roman" w:cs="Times New Roman"/>
        </w:rPr>
        <w:t xml:space="preserve"> deserción </w:t>
      </w:r>
    </w:p>
    <w:p w14:paraId="571C5A88" w14:textId="5C51D1BC" w:rsidR="00944488" w:rsidRPr="00944488" w:rsidRDefault="00404CBD" w:rsidP="00944488">
      <w:pPr>
        <w:pStyle w:val="Default"/>
        <w:spacing w:line="360" w:lineRule="auto"/>
        <w:ind w:firstLine="708"/>
        <w:rPr>
          <w:rFonts w:ascii="Times New Roman" w:hAnsi="Times New Roman" w:cs="Times New Roman"/>
          <w:sz w:val="28"/>
          <w:szCs w:val="28"/>
        </w:rPr>
      </w:pPr>
      <w:r w:rsidRPr="00F94D3B">
        <w:rPr>
          <w:rFonts w:ascii="Times New Roman" w:hAnsi="Times New Roman" w:cs="Times New Roman"/>
          <w:position w:val="-30"/>
        </w:rPr>
        <w:object w:dxaOrig="1680" w:dyaOrig="700" w14:anchorId="5A881C86">
          <v:shape id="_x0000_i1038" type="#_x0000_t75" style="width:84pt;height:34.5pt" o:ole="">
            <v:imagedata r:id="rId25" o:title=""/>
          </v:shape>
          <o:OLEObject Type="Embed" ProgID="Equation.3" ShapeID="_x0000_i1038" DrawAspect="Content" ObjectID="_1530953737" r:id="rId26"/>
        </w:object>
      </w:r>
      <w:r w:rsidRPr="00F94D3B">
        <w:rPr>
          <w:rFonts w:ascii="Times New Roman" w:hAnsi="Times New Roman" w:cs="Times New Roman"/>
        </w:rPr>
        <w:t xml:space="preserve">; </w:t>
      </w:r>
      <w:r w:rsidR="00944488">
        <w:rPr>
          <w:rFonts w:ascii="Times New Roman" w:hAnsi="Times New Roman" w:cs="Times New Roman"/>
        </w:rPr>
        <w:tab/>
      </w:r>
      <w:r w:rsidR="00944488">
        <w:rPr>
          <w:rFonts w:ascii="Times New Roman" w:hAnsi="Times New Roman" w:cs="Times New Roman"/>
        </w:rPr>
        <w:tab/>
      </w:r>
      <w:r w:rsidR="00944488">
        <w:rPr>
          <w:rFonts w:ascii="Times New Roman" w:hAnsi="Times New Roman" w:cs="Times New Roman"/>
        </w:rPr>
        <w:tab/>
      </w:r>
      <w:r w:rsidR="00944488">
        <w:rPr>
          <w:rFonts w:ascii="Times New Roman" w:hAnsi="Times New Roman" w:cs="Times New Roman"/>
        </w:rPr>
        <w:tab/>
      </w:r>
      <w:r w:rsidR="00944488">
        <w:rPr>
          <w:rFonts w:ascii="Times New Roman" w:hAnsi="Times New Roman" w:cs="Times New Roman"/>
        </w:rPr>
        <w:tab/>
      </w:r>
      <w:r w:rsidR="00944488">
        <w:rPr>
          <w:rFonts w:ascii="Times New Roman" w:hAnsi="Times New Roman" w:cs="Times New Roman"/>
        </w:rPr>
        <w:tab/>
      </w:r>
      <w:r w:rsidR="00944488">
        <w:rPr>
          <w:rFonts w:ascii="Times New Roman" w:hAnsi="Times New Roman" w:cs="Times New Roman"/>
        </w:rPr>
        <w:tab/>
      </w:r>
      <w:proofErr w:type="gramStart"/>
      <w:r w:rsidR="00944488" w:rsidRPr="00944488">
        <w:rPr>
          <w:rFonts w:ascii="Times New Roman" w:hAnsi="Times New Roman" w:cs="Times New Roman"/>
          <w:sz w:val="28"/>
          <w:szCs w:val="28"/>
        </w:rPr>
        <w:t>( 1</w:t>
      </w:r>
      <w:proofErr w:type="gramEnd"/>
      <w:r w:rsidR="00944488" w:rsidRPr="00944488">
        <w:rPr>
          <w:rFonts w:ascii="Times New Roman" w:hAnsi="Times New Roman" w:cs="Times New Roman"/>
          <w:sz w:val="28"/>
          <w:szCs w:val="28"/>
        </w:rPr>
        <w:t xml:space="preserve"> )</w:t>
      </w:r>
    </w:p>
    <w:p w14:paraId="0E76E3DC" w14:textId="62714C77" w:rsidR="00404CBD" w:rsidRPr="00F94D3B" w:rsidRDefault="00404CBD" w:rsidP="00404CBD">
      <w:pPr>
        <w:pStyle w:val="Default"/>
        <w:spacing w:line="360" w:lineRule="auto"/>
        <w:rPr>
          <w:rFonts w:ascii="Times New Roman" w:hAnsi="Times New Roman" w:cs="Times New Roman"/>
        </w:rPr>
      </w:pPr>
      <w:r w:rsidRPr="00F94D3B">
        <w:rPr>
          <w:rFonts w:ascii="Times New Roman" w:hAnsi="Times New Roman" w:cs="Times New Roman"/>
        </w:rPr>
        <w:t>donde</w:t>
      </w:r>
    </w:p>
    <w:p w14:paraId="02102E04" w14:textId="77777777" w:rsidR="00404CBD" w:rsidRPr="00F94D3B" w:rsidRDefault="00404CBD" w:rsidP="00404CBD">
      <w:pPr>
        <w:pStyle w:val="Default"/>
        <w:spacing w:line="360" w:lineRule="auto"/>
        <w:rPr>
          <w:rFonts w:ascii="Times New Roman" w:hAnsi="Times New Roman" w:cs="Times New Roman"/>
        </w:rPr>
      </w:pPr>
      <w:r w:rsidRPr="00F94D3B">
        <w:rPr>
          <w:rFonts w:ascii="Times New Roman" w:hAnsi="Times New Roman" w:cs="Times New Roman"/>
        </w:rPr>
        <w:t>T</w:t>
      </w:r>
      <w:r w:rsidRPr="00F94D3B">
        <w:rPr>
          <w:rFonts w:ascii="Times New Roman" w:hAnsi="Times New Roman" w:cs="Times New Roman"/>
          <w:vertAlign w:val="subscript"/>
        </w:rPr>
        <w:t>DC</w:t>
      </w:r>
      <w:r w:rsidRPr="00F94D3B">
        <w:rPr>
          <w:rFonts w:ascii="Times New Roman" w:hAnsi="Times New Roman" w:cs="Times New Roman"/>
        </w:rPr>
        <w:t xml:space="preserve"> = Es la tasa de deserción de la cohorte</w:t>
      </w:r>
    </w:p>
    <w:p w14:paraId="41C200AE" w14:textId="77777777" w:rsidR="00404CBD" w:rsidRPr="00F94D3B" w:rsidRDefault="00404CBD" w:rsidP="00404CBD">
      <w:pPr>
        <w:pStyle w:val="Default"/>
        <w:spacing w:line="360" w:lineRule="auto"/>
        <w:rPr>
          <w:rFonts w:ascii="Times New Roman" w:hAnsi="Times New Roman" w:cs="Times New Roman"/>
        </w:rPr>
      </w:pPr>
      <w:r w:rsidRPr="00F94D3B">
        <w:rPr>
          <w:rFonts w:ascii="Times New Roman" w:hAnsi="Times New Roman" w:cs="Times New Roman"/>
        </w:rPr>
        <w:t>N</w:t>
      </w:r>
      <w:r w:rsidRPr="00F94D3B">
        <w:rPr>
          <w:rFonts w:ascii="Times New Roman" w:hAnsi="Times New Roman" w:cs="Times New Roman"/>
          <w:vertAlign w:val="subscript"/>
        </w:rPr>
        <w:t>AD</w:t>
      </w:r>
      <w:r w:rsidRPr="00F94D3B">
        <w:rPr>
          <w:rFonts w:ascii="Times New Roman" w:hAnsi="Times New Roman" w:cs="Times New Roman"/>
        </w:rPr>
        <w:t xml:space="preserve"> = Número de alumnos de la cohorte que desertaron</w:t>
      </w:r>
    </w:p>
    <w:p w14:paraId="4AA0FA04" w14:textId="77777777" w:rsidR="00404CBD" w:rsidRPr="00F94D3B" w:rsidRDefault="00404CBD" w:rsidP="00404CBD">
      <w:pPr>
        <w:pStyle w:val="Default"/>
        <w:spacing w:line="360" w:lineRule="auto"/>
        <w:rPr>
          <w:rFonts w:ascii="Times New Roman" w:hAnsi="Times New Roman" w:cs="Times New Roman"/>
        </w:rPr>
      </w:pPr>
      <w:r w:rsidRPr="00F94D3B">
        <w:rPr>
          <w:rFonts w:ascii="Times New Roman" w:hAnsi="Times New Roman" w:cs="Times New Roman"/>
        </w:rPr>
        <w:t>N</w:t>
      </w:r>
      <w:r w:rsidRPr="00F94D3B">
        <w:rPr>
          <w:rFonts w:ascii="Times New Roman" w:hAnsi="Times New Roman" w:cs="Times New Roman"/>
          <w:vertAlign w:val="subscript"/>
        </w:rPr>
        <w:t>AC</w:t>
      </w:r>
      <w:r w:rsidRPr="00F94D3B">
        <w:rPr>
          <w:rFonts w:ascii="Times New Roman" w:hAnsi="Times New Roman" w:cs="Times New Roman"/>
        </w:rPr>
        <w:t xml:space="preserve"> = Número de alumnos de la cohorte (los que iniciaron en 2013)</w:t>
      </w:r>
    </w:p>
    <w:p w14:paraId="1CA43E07" w14:textId="77777777" w:rsidR="00404CBD" w:rsidRDefault="00404CBD" w:rsidP="00404CBD">
      <w:pPr>
        <w:pStyle w:val="Default"/>
        <w:spacing w:line="360" w:lineRule="auto"/>
        <w:rPr>
          <w:rFonts w:ascii="Times New Roman" w:hAnsi="Times New Roman" w:cs="Times New Roman"/>
          <w:b/>
          <w:bCs/>
          <w:sz w:val="23"/>
          <w:szCs w:val="23"/>
        </w:rPr>
      </w:pPr>
    </w:p>
    <w:p w14:paraId="33BBD08F" w14:textId="7F1F513B" w:rsidR="00502D6C" w:rsidRDefault="0053030F" w:rsidP="002363C6">
      <w:pPr>
        <w:pStyle w:val="Default"/>
        <w:spacing w:after="240" w:line="360" w:lineRule="auto"/>
        <w:jc w:val="both"/>
        <w:rPr>
          <w:rFonts w:ascii="Times New Roman" w:hAnsi="Times New Roman" w:cs="Times New Roman"/>
        </w:rPr>
      </w:pPr>
      <w:r>
        <w:rPr>
          <w:rFonts w:ascii="Times New Roman" w:hAnsi="Times New Roman" w:cs="Times New Roman"/>
        </w:rPr>
        <w:lastRenderedPageBreak/>
        <w:t>La deserción escolar, el rezago académico</w:t>
      </w:r>
      <w:r w:rsidR="00502D6C">
        <w:rPr>
          <w:rFonts w:ascii="Times New Roman" w:hAnsi="Times New Roman" w:cs="Times New Roman"/>
        </w:rPr>
        <w:t>, la reprobación</w:t>
      </w:r>
      <w:r>
        <w:rPr>
          <w:rFonts w:ascii="Times New Roman" w:hAnsi="Times New Roman" w:cs="Times New Roman"/>
        </w:rPr>
        <w:t xml:space="preserve"> y la eficiencia terminal </w:t>
      </w:r>
      <w:r w:rsidR="00502D6C">
        <w:rPr>
          <w:rFonts w:ascii="Times New Roman" w:hAnsi="Times New Roman" w:cs="Times New Roman"/>
        </w:rPr>
        <w:t>son</w:t>
      </w:r>
      <w:r>
        <w:rPr>
          <w:rFonts w:ascii="Times New Roman" w:hAnsi="Times New Roman" w:cs="Times New Roman"/>
        </w:rPr>
        <w:t xml:space="preserve"> indicadores de un mismo fenómeno que se manifiesta en la calidad educativa pero que obedece a la compleja dinámica donde se entrelazan los factores orden individual, familiar, social e institucional que </w:t>
      </w:r>
      <w:r w:rsidR="00502D6C">
        <w:rPr>
          <w:rFonts w:ascii="Times New Roman" w:hAnsi="Times New Roman" w:cs="Times New Roman"/>
        </w:rPr>
        <w:t>determinan las condiciones existenciales del alumno.</w:t>
      </w:r>
    </w:p>
    <w:p w14:paraId="3767F50E" w14:textId="7072E884" w:rsidR="00265CC0" w:rsidRDefault="00B35E1B" w:rsidP="002363C6">
      <w:pPr>
        <w:pStyle w:val="Default"/>
        <w:spacing w:after="240" w:line="360" w:lineRule="auto"/>
        <w:jc w:val="both"/>
        <w:rPr>
          <w:rFonts w:ascii="Times New Roman" w:hAnsi="Times New Roman" w:cs="Times New Roman"/>
        </w:rPr>
      </w:pPr>
      <w:r>
        <w:rPr>
          <w:rFonts w:ascii="Times New Roman" w:hAnsi="Times New Roman" w:cs="Times New Roman"/>
        </w:rPr>
        <w:t xml:space="preserve">Según </w:t>
      </w:r>
      <w:r w:rsidRPr="00B35E1B">
        <w:rPr>
          <w:rFonts w:ascii="Times New Roman" w:hAnsi="Times New Roman" w:cs="Times New Roman"/>
        </w:rPr>
        <w:t>Rodríguez y Leyva (2007)</w:t>
      </w:r>
      <w:r>
        <w:rPr>
          <w:rFonts w:ascii="Times New Roman" w:hAnsi="Times New Roman" w:cs="Times New Roman"/>
        </w:rPr>
        <w:t xml:space="preserve"> la deserción escolar en Instituciones de Educación Superior públicas de 1999 al 2003 fue de 36% y de 28.8% en las privadas. Aunque estos datos corresponden a más de una década, los esfuerzos de la política educativa de rendición de cuentas es mejorar los indicadores. </w:t>
      </w:r>
      <w:r w:rsidR="00265CC0">
        <w:rPr>
          <w:rFonts w:ascii="Times New Roman" w:hAnsi="Times New Roman" w:cs="Times New Roman"/>
        </w:rPr>
        <w:t>Un indicador que distingue a los programas educativos de calidad es que logran una eficiencia terminal por encima del 70%, por ello, mientras la cohorte no concluya el indicador de deserción es un referente muy importante para monitorear la eficiencia terminal.</w:t>
      </w:r>
    </w:p>
    <w:p w14:paraId="18435FFE" w14:textId="77777777" w:rsidR="00E471F2" w:rsidRDefault="00404CBD" w:rsidP="002363C6">
      <w:pPr>
        <w:pStyle w:val="Default"/>
        <w:spacing w:after="240" w:line="360" w:lineRule="auto"/>
        <w:jc w:val="both"/>
        <w:rPr>
          <w:rFonts w:ascii="Times New Roman" w:hAnsi="Times New Roman" w:cs="Times New Roman"/>
        </w:rPr>
      </w:pPr>
      <w:r>
        <w:rPr>
          <w:rFonts w:ascii="Times New Roman" w:hAnsi="Times New Roman" w:cs="Times New Roman"/>
        </w:rPr>
        <w:t>De acuerdo con esto</w:t>
      </w:r>
      <w:r w:rsidR="003D67DE">
        <w:rPr>
          <w:rFonts w:ascii="Times New Roman" w:hAnsi="Times New Roman" w:cs="Times New Roman"/>
        </w:rPr>
        <w:t xml:space="preserve"> y los datos mostrados en la Tabla 7</w:t>
      </w:r>
      <w:r>
        <w:rPr>
          <w:rFonts w:ascii="Times New Roman" w:hAnsi="Times New Roman" w:cs="Times New Roman"/>
        </w:rPr>
        <w:t xml:space="preserve">, considerando el número de alumnos que </w:t>
      </w:r>
      <w:r w:rsidR="00E471F2">
        <w:rPr>
          <w:rFonts w:ascii="Times New Roman" w:hAnsi="Times New Roman" w:cs="Times New Roman"/>
        </w:rPr>
        <w:t xml:space="preserve">ingresaron (Periodo 1) y los que </w:t>
      </w:r>
      <w:r>
        <w:rPr>
          <w:rFonts w:ascii="Times New Roman" w:hAnsi="Times New Roman" w:cs="Times New Roman"/>
        </w:rPr>
        <w:t xml:space="preserve">se mantienen en el Periodo 2, que son los que se inscribieron al Periodo 3, se tiene que el Índice de deserción de la Cohorte de </w:t>
      </w:r>
      <w:r w:rsidR="003D67DE">
        <w:rPr>
          <w:rFonts w:ascii="Times New Roman" w:hAnsi="Times New Roman" w:cs="Times New Roman"/>
        </w:rPr>
        <w:t>DIA</w:t>
      </w:r>
      <w:r>
        <w:rPr>
          <w:rFonts w:ascii="Times New Roman" w:hAnsi="Times New Roman" w:cs="Times New Roman"/>
        </w:rPr>
        <w:t xml:space="preserve"> es 33% y </w:t>
      </w:r>
      <w:r w:rsidR="00E471F2">
        <w:rPr>
          <w:rFonts w:ascii="Times New Roman" w:hAnsi="Times New Roman" w:cs="Times New Roman"/>
        </w:rPr>
        <w:t>el de</w:t>
      </w:r>
      <w:r>
        <w:rPr>
          <w:rFonts w:ascii="Times New Roman" w:hAnsi="Times New Roman" w:cs="Times New Roman"/>
        </w:rPr>
        <w:t xml:space="preserve"> la Cohorte de </w:t>
      </w:r>
      <w:r w:rsidR="003D67DE">
        <w:rPr>
          <w:rFonts w:ascii="Times New Roman" w:hAnsi="Times New Roman" w:cs="Times New Roman"/>
        </w:rPr>
        <w:t>DUP</w:t>
      </w:r>
      <w:r>
        <w:rPr>
          <w:rFonts w:ascii="Times New Roman" w:hAnsi="Times New Roman" w:cs="Times New Roman"/>
        </w:rPr>
        <w:t xml:space="preserve"> es 14%.</w:t>
      </w:r>
      <w:r w:rsidR="003D67DE">
        <w:rPr>
          <w:rFonts w:ascii="Times New Roman" w:hAnsi="Times New Roman" w:cs="Times New Roman"/>
        </w:rPr>
        <w:t xml:space="preserve"> </w:t>
      </w:r>
    </w:p>
    <w:p w14:paraId="2DFA1728" w14:textId="4726936E" w:rsidR="009947D3" w:rsidRDefault="00E471F2" w:rsidP="002363C6">
      <w:pPr>
        <w:pStyle w:val="Default"/>
        <w:spacing w:after="240" w:line="360" w:lineRule="auto"/>
        <w:jc w:val="both"/>
        <w:rPr>
          <w:rFonts w:ascii="Times New Roman" w:hAnsi="Times New Roman" w:cs="Times New Roman"/>
        </w:rPr>
      </w:pPr>
      <w:r>
        <w:rPr>
          <w:rFonts w:ascii="Times New Roman" w:hAnsi="Times New Roman" w:cs="Times New Roman"/>
        </w:rPr>
        <w:t xml:space="preserve">Retomando datos de la cohorte de DIA, se puede </w:t>
      </w:r>
      <w:r w:rsidR="009947D3">
        <w:rPr>
          <w:rFonts w:ascii="Times New Roman" w:hAnsi="Times New Roman" w:cs="Times New Roman"/>
        </w:rPr>
        <w:t>decir</w:t>
      </w:r>
      <w:r>
        <w:rPr>
          <w:rFonts w:ascii="Times New Roman" w:hAnsi="Times New Roman" w:cs="Times New Roman"/>
        </w:rPr>
        <w:t xml:space="preserve"> que la irregularidad académica no es el principal factor de deserción. El hecho de que el indicador de deserción sea mayor que el de la irregularidad académica, que no todo el que reprobó es el que desertó y que alumnos regulares desertaron son fuertes argumentos para </w:t>
      </w:r>
      <w:r w:rsidR="009947D3">
        <w:rPr>
          <w:rFonts w:ascii="Times New Roman" w:hAnsi="Times New Roman" w:cs="Times New Roman"/>
        </w:rPr>
        <w:t xml:space="preserve">sustentar tal afirmación. </w:t>
      </w:r>
    </w:p>
    <w:p w14:paraId="6FC7D248" w14:textId="77777777" w:rsidR="00DB7A86" w:rsidRDefault="009947D3" w:rsidP="002363C6">
      <w:pPr>
        <w:pStyle w:val="Default"/>
        <w:spacing w:after="240" w:line="360" w:lineRule="auto"/>
        <w:jc w:val="both"/>
        <w:rPr>
          <w:rFonts w:ascii="Times New Roman" w:hAnsi="Times New Roman" w:cs="Times New Roman"/>
        </w:rPr>
      </w:pPr>
      <w:r>
        <w:rPr>
          <w:rFonts w:ascii="Times New Roman" w:hAnsi="Times New Roman" w:cs="Times New Roman"/>
        </w:rPr>
        <w:t>Independientemente de las causas de la deserción, esta situación coloca a la institución en la necesidad de mejorar el nivel de atención a los alumnos; primero en aspectos académicos generales relacionados con los procesos educativos y rendimiento académico y después, en aspectos específicos de los alumnos para conocer sus necesidades. En el primer caso, buscando el apoyo directo con los profesores, realizando mejor planeación de los cursos, implementación de estrategia</w:t>
      </w:r>
      <w:r w:rsidR="00DB7A86">
        <w:rPr>
          <w:rFonts w:ascii="Times New Roman" w:hAnsi="Times New Roman" w:cs="Times New Roman"/>
        </w:rPr>
        <w:t>s</w:t>
      </w:r>
      <w:r>
        <w:rPr>
          <w:rFonts w:ascii="Times New Roman" w:hAnsi="Times New Roman" w:cs="Times New Roman"/>
        </w:rPr>
        <w:t xml:space="preserve"> didácticas que pot</w:t>
      </w:r>
      <w:r w:rsidR="00DB7A86">
        <w:rPr>
          <w:rFonts w:ascii="Times New Roman" w:hAnsi="Times New Roman" w:cs="Times New Roman"/>
        </w:rPr>
        <w:t>e</w:t>
      </w:r>
      <w:r>
        <w:rPr>
          <w:rFonts w:ascii="Times New Roman" w:hAnsi="Times New Roman" w:cs="Times New Roman"/>
        </w:rPr>
        <w:t>ncien el desarrollo de las capacidades y habilidades de los alumnos, mejorando la infraestructura y equipamiento académico disponible para los alumnos</w:t>
      </w:r>
      <w:r w:rsidR="00DB7A86">
        <w:rPr>
          <w:rFonts w:ascii="Times New Roman" w:hAnsi="Times New Roman" w:cs="Times New Roman"/>
        </w:rPr>
        <w:t xml:space="preserve">, en un momento dado, incorporar a los padres de familia en el proceso formativo de sus hijos. En el segundo caso, a través del programa de tutorías, se puede implementar un proceso de entrevistas con los alumnos para conocer necesidades </w:t>
      </w:r>
      <w:r w:rsidR="00DB7A86">
        <w:rPr>
          <w:rFonts w:ascii="Times New Roman" w:hAnsi="Times New Roman" w:cs="Times New Roman"/>
        </w:rPr>
        <w:lastRenderedPageBreak/>
        <w:t>específicas. Una vez conocidas estas, brindar la atención correspondiente canalizando tal apoyo con personal especializado de la universidad de acuerdo a cada caso.</w:t>
      </w:r>
    </w:p>
    <w:p w14:paraId="55E1BD29" w14:textId="77777777" w:rsidR="00F52D0E" w:rsidRDefault="00DB7A86" w:rsidP="002363C6">
      <w:pPr>
        <w:pStyle w:val="Default"/>
        <w:spacing w:after="240" w:line="360" w:lineRule="auto"/>
        <w:jc w:val="both"/>
        <w:rPr>
          <w:rFonts w:ascii="Times New Roman" w:hAnsi="Times New Roman" w:cs="Times New Roman"/>
        </w:rPr>
      </w:pPr>
      <w:r>
        <w:rPr>
          <w:rFonts w:ascii="Times New Roman" w:hAnsi="Times New Roman" w:cs="Times New Roman"/>
        </w:rPr>
        <w:t>Estamos hablando de la primera cohorte de la licenciatura en DIA, la cual ya tiene 33% de deserción y en consecuencia, el indicador de eficiencia terminal mayor al 70%, al que aspiran los programas de calidad ya no lo cumplirá. Hay muchos estudios que indican que la mayor deserción ocurre al pasar de primero a segundo grado, solo que en este caso es muy elevad</w:t>
      </w:r>
      <w:r w:rsidR="00F52D0E">
        <w:rPr>
          <w:rFonts w:ascii="Times New Roman" w:hAnsi="Times New Roman" w:cs="Times New Roman"/>
        </w:rPr>
        <w:t>o. Se deben tomar medidas para tratar que en los próximos años se reduzca la deserción a valores mínimos, por ejemplo, que en los cuatro años que faltan no rebase el 7% para aspirar a una eficiencia terminal de 60%.</w:t>
      </w:r>
    </w:p>
    <w:p w14:paraId="2DF2D0CF" w14:textId="09C8CED0" w:rsidR="009947D3" w:rsidRDefault="00F52D0E" w:rsidP="002363C6">
      <w:pPr>
        <w:pStyle w:val="Default"/>
        <w:spacing w:after="240" w:line="360" w:lineRule="auto"/>
        <w:jc w:val="both"/>
        <w:rPr>
          <w:rFonts w:ascii="Times New Roman" w:hAnsi="Times New Roman" w:cs="Times New Roman"/>
        </w:rPr>
      </w:pPr>
      <w:r>
        <w:rPr>
          <w:rFonts w:ascii="Times New Roman" w:hAnsi="Times New Roman" w:cs="Times New Roman"/>
        </w:rPr>
        <w:t>La deserción en la cohorte de DUP es de 1</w:t>
      </w:r>
      <w:r w:rsidR="00AD7B66">
        <w:rPr>
          <w:rFonts w:ascii="Times New Roman" w:hAnsi="Times New Roman" w:cs="Times New Roman"/>
        </w:rPr>
        <w:t>4</w:t>
      </w:r>
      <w:r>
        <w:rPr>
          <w:rFonts w:ascii="Times New Roman" w:hAnsi="Times New Roman" w:cs="Times New Roman"/>
        </w:rPr>
        <w:t>%</w:t>
      </w:r>
      <w:r w:rsidR="00AD7B66">
        <w:rPr>
          <w:rFonts w:ascii="Times New Roman" w:hAnsi="Times New Roman" w:cs="Times New Roman"/>
        </w:rPr>
        <w:t>, es un valor alto pero manejable porque permite aspirar a tener una eficiencia terminal del 80%. En general, el comportamiento de esta cohorte muestra mejores indicadores que la cohorte de DIA. El elevado indicador de irregularidad académica se debe a que los alumnos han reprobado una o dos asignaturas, situación que puede subsanarse si se proporciona a los alumnos la asesoría académica adecuada previa a la presentación de los exámenes extraordinarios en el próximo periodo programado para tal efecto.</w:t>
      </w:r>
      <w:r w:rsidR="009947D3">
        <w:rPr>
          <w:rFonts w:ascii="Times New Roman" w:hAnsi="Times New Roman" w:cs="Times New Roman"/>
        </w:rPr>
        <w:t xml:space="preserve">  </w:t>
      </w:r>
    </w:p>
    <w:p w14:paraId="56DB8512" w14:textId="77777777" w:rsidR="00AF16D7" w:rsidRDefault="00AF16D7" w:rsidP="002363C6">
      <w:pPr>
        <w:pStyle w:val="Default"/>
        <w:spacing w:after="240" w:line="360" w:lineRule="auto"/>
        <w:jc w:val="both"/>
        <w:rPr>
          <w:rFonts w:ascii="Times New Roman" w:hAnsi="Times New Roman" w:cs="Times New Roman"/>
        </w:rPr>
      </w:pPr>
    </w:p>
    <w:p w14:paraId="7B3E345D" w14:textId="225AFBDF" w:rsidR="00404CBD" w:rsidRPr="00AF16D7" w:rsidRDefault="00AF16D7" w:rsidP="002363C6">
      <w:pPr>
        <w:pStyle w:val="Default"/>
        <w:spacing w:after="240" w:line="360" w:lineRule="auto"/>
        <w:jc w:val="both"/>
        <w:rPr>
          <w:rFonts w:ascii="Times New Roman" w:hAnsi="Times New Roman" w:cs="Times New Roman"/>
          <w:b/>
        </w:rPr>
      </w:pPr>
      <w:r w:rsidRPr="00AF16D7">
        <w:rPr>
          <w:rFonts w:ascii="Times New Roman" w:hAnsi="Times New Roman" w:cs="Times New Roman"/>
          <w:b/>
        </w:rPr>
        <w:t>Gestión escolar de calidad</w:t>
      </w:r>
    </w:p>
    <w:p w14:paraId="3E8CD583" w14:textId="3AE45203" w:rsidR="00AF16D7" w:rsidRDefault="00AF16D7" w:rsidP="002363C6">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El hecho de que cada programa educativo cuente con una coordinación es un factor importante para la implementación del programa. Impulsar la planeación de actividades académicas diversas como: los cursos curriculares, cursos remediales, exposiciones, círculos de estudio, paneles de discusión y jornadas de conferencias sobre problemáticas profesionales, jornadas de evaluación</w:t>
      </w:r>
      <w:r w:rsidR="00782A85">
        <w:rPr>
          <w:rFonts w:ascii="Times New Roman" w:hAnsi="Times New Roman" w:cs="Times New Roman"/>
          <w:sz w:val="24"/>
          <w:szCs w:val="24"/>
        </w:rPr>
        <w:t xml:space="preserve"> sobre resultados, seguimiento al cumplimiento de acciones y metas, valoración y atención a las necesidades de alumnos y del personal docente, son solo algunas de tantas que se pueden realizar cuando se mantiene una buena comunicación entre todos los actores del centro escolar. La coordinación de carrera debe ser el principal enlace de alumnos y docentes con el director y el cuerpo directivo para que se conozcan las necesidades, los avances y retrocesos a fin de impulsar la participación de </w:t>
      </w:r>
      <w:r w:rsidR="00782A85">
        <w:rPr>
          <w:rFonts w:ascii="Times New Roman" w:hAnsi="Times New Roman" w:cs="Times New Roman"/>
          <w:sz w:val="24"/>
          <w:szCs w:val="24"/>
        </w:rPr>
        <w:lastRenderedPageBreak/>
        <w:t>todos en la toma de decisiones que conduzcan a la elaboración e implementación de estrategias apropiadas par</w:t>
      </w:r>
      <w:r w:rsidR="00341801">
        <w:rPr>
          <w:rFonts w:ascii="Times New Roman" w:hAnsi="Times New Roman" w:cs="Times New Roman"/>
          <w:sz w:val="24"/>
          <w:szCs w:val="24"/>
        </w:rPr>
        <w:t>a que toda acción se traduzca en la mejora de indicadores académicos.</w:t>
      </w:r>
      <w:r w:rsidR="00782A85">
        <w:rPr>
          <w:rFonts w:ascii="Times New Roman" w:hAnsi="Times New Roman" w:cs="Times New Roman"/>
          <w:sz w:val="24"/>
          <w:szCs w:val="24"/>
        </w:rPr>
        <w:t xml:space="preserve"> </w:t>
      </w:r>
    </w:p>
    <w:p w14:paraId="7ED7F312" w14:textId="72B0051D" w:rsidR="00405267" w:rsidRDefault="00405267" w:rsidP="002363C6">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 las unidades académicas en la Universidad Autónoma de Sinaloa es posible implementar una forma de gestión matricial donde las responsabilidades de los actores sean siempre mayor que los elementos de control y se busque cada vez menos las manifestaciones de poder (</w:t>
      </w:r>
      <w:r w:rsidR="00C315A8">
        <w:rPr>
          <w:rFonts w:ascii="Times New Roman" w:hAnsi="Times New Roman" w:cs="Times New Roman"/>
          <w:sz w:val="24"/>
          <w:szCs w:val="24"/>
        </w:rPr>
        <w:t>Hall, 2014</w:t>
      </w:r>
      <w:r>
        <w:rPr>
          <w:rFonts w:ascii="Times New Roman" w:hAnsi="Times New Roman" w:cs="Times New Roman"/>
          <w:sz w:val="24"/>
          <w:szCs w:val="24"/>
        </w:rPr>
        <w:t>). Para ello es necesario tener presente que las instituciones educativas son complejas, como también lo son el entramado de estructuras mentales que se ponen en movimiento durante los procesos de aprendizaje, es decir, la responsabilidad debe estar centrada en facilitar los procesos de aprendizaje y que en estos no solo están dirigidos a los alumnos, también a los directivos, maestros y personal de apoyo técnico. En las actuales sociedades del conocimiento, todos somos aprendices, el éxito está en la actitud, disposición y empeño para lograrlo.</w:t>
      </w:r>
    </w:p>
    <w:p w14:paraId="177D5E80" w14:textId="6A8690EE" w:rsidR="00AF16D7" w:rsidRPr="00931581" w:rsidRDefault="00405267" w:rsidP="002363C6">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 un estudio reciente (Romero, Rodríguez y Velázquez, 2014) sobre la gestión escolar de los equipos directivos en la UAS, dicen que hay evidencia que indican que</w:t>
      </w:r>
      <w:r w:rsidR="00AF16D7" w:rsidRPr="00931581">
        <w:rPr>
          <w:rFonts w:ascii="Times New Roman" w:hAnsi="Times New Roman" w:cs="Times New Roman"/>
          <w:sz w:val="24"/>
          <w:szCs w:val="24"/>
        </w:rPr>
        <w:t xml:space="preserve"> los equipos directivos </w:t>
      </w:r>
      <w:r>
        <w:rPr>
          <w:rFonts w:ascii="Times New Roman" w:hAnsi="Times New Roman" w:cs="Times New Roman"/>
          <w:sz w:val="24"/>
          <w:szCs w:val="24"/>
        </w:rPr>
        <w:t xml:space="preserve">tienen </w:t>
      </w:r>
      <w:r w:rsidR="00AF16D7" w:rsidRPr="00931581">
        <w:rPr>
          <w:rFonts w:ascii="Times New Roman" w:hAnsi="Times New Roman" w:cs="Times New Roman"/>
          <w:sz w:val="24"/>
          <w:szCs w:val="24"/>
        </w:rPr>
        <w:t>posibilidad</w:t>
      </w:r>
      <w:r>
        <w:rPr>
          <w:rFonts w:ascii="Times New Roman" w:hAnsi="Times New Roman" w:cs="Times New Roman"/>
          <w:sz w:val="24"/>
          <w:szCs w:val="24"/>
        </w:rPr>
        <w:t>es</w:t>
      </w:r>
      <w:r w:rsidR="00AF16D7" w:rsidRPr="00931581">
        <w:rPr>
          <w:rFonts w:ascii="Times New Roman" w:hAnsi="Times New Roman" w:cs="Times New Roman"/>
          <w:sz w:val="24"/>
          <w:szCs w:val="24"/>
        </w:rPr>
        <w:t xml:space="preserve"> real</w:t>
      </w:r>
      <w:r>
        <w:rPr>
          <w:rFonts w:ascii="Times New Roman" w:hAnsi="Times New Roman" w:cs="Times New Roman"/>
          <w:sz w:val="24"/>
          <w:szCs w:val="24"/>
        </w:rPr>
        <w:t>es</w:t>
      </w:r>
      <w:r w:rsidR="00AF16D7" w:rsidRPr="00931581">
        <w:rPr>
          <w:rFonts w:ascii="Times New Roman" w:hAnsi="Times New Roman" w:cs="Times New Roman"/>
          <w:sz w:val="24"/>
          <w:szCs w:val="24"/>
        </w:rPr>
        <w:t xml:space="preserve"> de </w:t>
      </w:r>
      <w:r>
        <w:rPr>
          <w:rFonts w:ascii="Times New Roman" w:hAnsi="Times New Roman" w:cs="Times New Roman"/>
          <w:sz w:val="24"/>
          <w:szCs w:val="24"/>
        </w:rPr>
        <w:t xml:space="preserve">mejorar la gestión escolar y con ello los indicadores de </w:t>
      </w:r>
      <w:r w:rsidR="00AF16D7" w:rsidRPr="00931581">
        <w:rPr>
          <w:rFonts w:ascii="Times New Roman" w:hAnsi="Times New Roman" w:cs="Times New Roman"/>
          <w:sz w:val="24"/>
          <w:szCs w:val="24"/>
        </w:rPr>
        <w:t>si implementa</w:t>
      </w:r>
      <w:r>
        <w:rPr>
          <w:rFonts w:ascii="Times New Roman" w:hAnsi="Times New Roman" w:cs="Times New Roman"/>
          <w:sz w:val="24"/>
          <w:szCs w:val="24"/>
        </w:rPr>
        <w:t>n</w:t>
      </w:r>
      <w:r w:rsidR="00AF16D7" w:rsidRPr="00931581">
        <w:rPr>
          <w:rFonts w:ascii="Times New Roman" w:hAnsi="Times New Roman" w:cs="Times New Roman"/>
          <w:sz w:val="24"/>
          <w:szCs w:val="24"/>
        </w:rPr>
        <w:t xml:space="preserve"> una política institucional que fomente un modelo de gestión comprensivo y sistémico, sustentado en la planificación cooperativa de acciones coordinadas entre las unidades académicas. </w:t>
      </w:r>
      <w:r w:rsidR="000F742D">
        <w:rPr>
          <w:rFonts w:ascii="Times New Roman" w:hAnsi="Times New Roman" w:cs="Times New Roman"/>
          <w:sz w:val="24"/>
          <w:szCs w:val="24"/>
        </w:rPr>
        <w:t>Documentar y a</w:t>
      </w:r>
      <w:r w:rsidR="00AF16D7" w:rsidRPr="00931581">
        <w:rPr>
          <w:rFonts w:ascii="Times New Roman" w:hAnsi="Times New Roman" w:cs="Times New Roman"/>
          <w:sz w:val="24"/>
          <w:szCs w:val="24"/>
        </w:rPr>
        <w:t xml:space="preserve">provechar </w:t>
      </w:r>
      <w:r w:rsidR="000F742D">
        <w:rPr>
          <w:rFonts w:ascii="Times New Roman" w:hAnsi="Times New Roman" w:cs="Times New Roman"/>
          <w:sz w:val="24"/>
          <w:szCs w:val="24"/>
        </w:rPr>
        <w:t>nuestras propias</w:t>
      </w:r>
      <w:r w:rsidR="00AF16D7" w:rsidRPr="00931581">
        <w:rPr>
          <w:rFonts w:ascii="Times New Roman" w:hAnsi="Times New Roman" w:cs="Times New Roman"/>
          <w:sz w:val="24"/>
          <w:szCs w:val="24"/>
        </w:rPr>
        <w:t xml:space="preserve"> experiencias podría llevarnos en el corto plazo a incrementar nuestro nivel de desarrollo, lo que pudiera favorecerse mediante el establecimiento de metas posibles paso a paso, y la promoción de estímulos que reconozcan al personal cuyas experiencias en gestión escolar proporcionen mejores resultados, lo que puede funcionar a nivel de motivación para continuar el camino de la mejora continua en la gestión.</w:t>
      </w:r>
    </w:p>
    <w:p w14:paraId="6FE1D29D" w14:textId="10959CA6" w:rsidR="00AF16D7" w:rsidRDefault="000F742D" w:rsidP="002363C6">
      <w:pPr>
        <w:pStyle w:val="Default"/>
        <w:spacing w:after="240" w:line="360" w:lineRule="auto"/>
        <w:jc w:val="both"/>
        <w:rPr>
          <w:rFonts w:ascii="Times New Roman" w:hAnsi="Times New Roman" w:cs="Times New Roman"/>
        </w:rPr>
      </w:pPr>
      <w:r w:rsidRPr="00B64FD8">
        <w:rPr>
          <w:rFonts w:ascii="Times New Roman" w:hAnsi="Times New Roman" w:cs="Times New Roman"/>
        </w:rPr>
        <w:t>La atención oportuna a las necesidades académicas de alumnos y profesores, la comunicación efectiva y buen trato con el personal contribuye a elevar los indicadores de calidad. De acuerdo a Pedraja y Rodríguez (2004</w:t>
      </w:r>
      <w:r>
        <w:rPr>
          <w:rFonts w:ascii="Times New Roman" w:hAnsi="Times New Roman" w:cs="Times New Roman"/>
        </w:rPr>
        <w:t>, p.1</w:t>
      </w:r>
      <w:r w:rsidRPr="00B64FD8">
        <w:rPr>
          <w:rFonts w:ascii="Times New Roman" w:hAnsi="Times New Roman" w:cs="Times New Roman"/>
        </w:rPr>
        <w:t>)</w:t>
      </w:r>
      <w:r w:rsidRPr="00B64FD8">
        <w:rPr>
          <w:rFonts w:ascii="Times New Roman" w:hAnsi="Times New Roman" w:cs="Times New Roman"/>
          <w:i/>
        </w:rPr>
        <w:t xml:space="preserve">, </w:t>
      </w:r>
      <w:r w:rsidRPr="0087186C">
        <w:rPr>
          <w:rFonts w:ascii="Times New Roman" w:hAnsi="Times New Roman" w:cs="Times New Roman"/>
        </w:rPr>
        <w:t>“el equipo de alta dirección tiene influencia sobre el proceso de toma de decisiones estratégicas y, por ende, sobre el desempeño o eficacia de la organización”</w:t>
      </w:r>
      <w:r w:rsidR="00E34554">
        <w:rPr>
          <w:rFonts w:ascii="Times New Roman" w:hAnsi="Times New Roman" w:cs="Times New Roman"/>
        </w:rPr>
        <w:t xml:space="preserve"> esto es así cuando se ejerce un liderazgo colaborativo y participativo</w:t>
      </w:r>
      <w:r w:rsidRPr="0087186C">
        <w:rPr>
          <w:rFonts w:ascii="Times New Roman" w:hAnsi="Times New Roman" w:cs="Times New Roman"/>
        </w:rPr>
        <w:t>.</w:t>
      </w:r>
      <w:r>
        <w:rPr>
          <w:rFonts w:ascii="Times New Roman" w:hAnsi="Times New Roman" w:cs="Times New Roman"/>
        </w:rPr>
        <w:t xml:space="preserve"> Esta atención, hablando de la gestión del equipo directivo, </w:t>
      </w:r>
      <w:r>
        <w:rPr>
          <w:rFonts w:ascii="Times New Roman" w:hAnsi="Times New Roman" w:cs="Times New Roman"/>
        </w:rPr>
        <w:lastRenderedPageBreak/>
        <w:t xml:space="preserve">empieza con el responsable de coordinar los trabajos de cada licenciatura. De conocer y socializar </w:t>
      </w:r>
      <w:r w:rsidR="00E34554">
        <w:rPr>
          <w:rFonts w:ascii="Times New Roman" w:hAnsi="Times New Roman" w:cs="Times New Roman"/>
        </w:rPr>
        <w:t xml:space="preserve">los indicadores de calidad educativa de cada programa </w:t>
      </w:r>
      <w:r>
        <w:rPr>
          <w:rFonts w:ascii="Times New Roman" w:hAnsi="Times New Roman" w:cs="Times New Roman"/>
        </w:rPr>
        <w:t>con los actores implicados</w:t>
      </w:r>
      <w:r w:rsidR="00E34554">
        <w:rPr>
          <w:rFonts w:ascii="Times New Roman" w:hAnsi="Times New Roman" w:cs="Times New Roman"/>
        </w:rPr>
        <w:t xml:space="preserve"> y solicitarles la respectiva valoración y propuestas para mejorarlos, es aquí donde está la clave para involucrar a los actores y hacerlos copartícipes del proceso de mejora.</w:t>
      </w:r>
    </w:p>
    <w:p w14:paraId="7855F9FE" w14:textId="5414DDC3" w:rsidR="00E34554" w:rsidRDefault="00B629EB" w:rsidP="002363C6">
      <w:pPr>
        <w:pStyle w:val="Default"/>
        <w:spacing w:after="240" w:line="360" w:lineRule="auto"/>
        <w:jc w:val="both"/>
        <w:rPr>
          <w:rFonts w:ascii="Times New Roman" w:hAnsi="Times New Roman" w:cs="Times New Roman"/>
        </w:rPr>
      </w:pPr>
      <w:r>
        <w:rPr>
          <w:rFonts w:ascii="Times New Roman" w:hAnsi="Times New Roman" w:cs="Times New Roman"/>
        </w:rPr>
        <w:t>En los últimos años hemos vivido proceso de evaluación de programas educativos que son reconocidos por su calidad solo si son acreditados por los organismos externos. Esto es un avance importante en la ruta de la calidad, sin embargo, tal evaluación está centrada en la verificación del resultado de los procesos internos lo cual puede hacer muy lento el proceso de mejoramiento. En realidad, no contamos con procedimientos científicamente argumentados que permitan gestionar proactivamente la mejora de la calidad de los procesos, esto dificulta la aplicación de una metodología con esta concepción (Carrillo, Pons, Vergara y Payares, 2010). Estamos ante la oportunidad de crear una propuesta metodológica para una gestión efectiva y eficaz de los procesos que inciden directamente en la calidad, lo cual requiere profundizar en la investigación de cómo se pueden mejorar los distintos factores que intervienen en la calidad de los programas educativos; la docencia, la gestión, la investigación y los servicios.</w:t>
      </w:r>
      <w:r w:rsidR="00DB440A">
        <w:rPr>
          <w:rFonts w:ascii="Times New Roman" w:hAnsi="Times New Roman" w:cs="Times New Roman"/>
        </w:rPr>
        <w:t xml:space="preserve"> </w:t>
      </w:r>
    </w:p>
    <w:p w14:paraId="65384817" w14:textId="77777777" w:rsidR="00EC145E" w:rsidRDefault="00DB440A" w:rsidP="002363C6">
      <w:pPr>
        <w:pStyle w:val="Default"/>
        <w:spacing w:after="240" w:line="360" w:lineRule="auto"/>
        <w:jc w:val="both"/>
        <w:rPr>
          <w:rFonts w:ascii="Times New Roman" w:hAnsi="Times New Roman" w:cs="Times New Roman"/>
        </w:rPr>
      </w:pPr>
      <w:r>
        <w:rPr>
          <w:rFonts w:ascii="Times New Roman" w:hAnsi="Times New Roman" w:cs="Times New Roman"/>
        </w:rPr>
        <w:t xml:space="preserve">No podemos mantenernos en la repetición, haciendo siempre lo mismo, cuando estamos ofertando nuevas carreras, eso en sí mismo es un cambio, es la oportunidad de mostrar la novedad y con ello asumirnos como sujetos que en la búsqueda de las transformaciones para mejorar los procesos educativos nos transformamos a nosotros mismos, </w:t>
      </w:r>
      <w:r w:rsidR="002B7792">
        <w:rPr>
          <w:rFonts w:ascii="Times New Roman" w:hAnsi="Times New Roman" w:cs="Times New Roman"/>
        </w:rPr>
        <w:t>tenemos que permanecer en un continuo de evaluación de los proceso educativos investigando</w:t>
      </w:r>
      <w:r w:rsidR="002B7792" w:rsidRPr="002B7792">
        <w:rPr>
          <w:rFonts w:ascii="Times New Roman" w:hAnsi="Times New Roman" w:cs="Times New Roman"/>
          <w:i/>
        </w:rPr>
        <w:t xml:space="preserve"> lo que hay</w:t>
      </w:r>
      <w:r w:rsidR="002B7792">
        <w:rPr>
          <w:rFonts w:ascii="Times New Roman" w:hAnsi="Times New Roman" w:cs="Times New Roman"/>
          <w:i/>
        </w:rPr>
        <w:t>,</w:t>
      </w:r>
      <w:r w:rsidR="002B7792">
        <w:rPr>
          <w:rFonts w:ascii="Times New Roman" w:hAnsi="Times New Roman" w:cs="Times New Roman"/>
        </w:rPr>
        <w:t xml:space="preserve"> reflexionando sobre la diferencia de lo que </w:t>
      </w:r>
      <w:r w:rsidR="002B7792" w:rsidRPr="002B7792">
        <w:rPr>
          <w:rFonts w:ascii="Times New Roman" w:hAnsi="Times New Roman" w:cs="Times New Roman"/>
          <w:i/>
        </w:rPr>
        <w:t>puede haber</w:t>
      </w:r>
      <w:r w:rsidR="002B7792">
        <w:rPr>
          <w:rFonts w:ascii="Times New Roman" w:hAnsi="Times New Roman" w:cs="Times New Roman"/>
        </w:rPr>
        <w:t xml:space="preserve"> </w:t>
      </w:r>
      <w:r w:rsidR="00EC145E">
        <w:rPr>
          <w:rFonts w:ascii="Times New Roman" w:hAnsi="Times New Roman" w:cs="Times New Roman"/>
        </w:rPr>
        <w:t xml:space="preserve">para decidir el qué hacer, interviniendo e innovando para mejorar, porque el estado natural del hombre es la búsqueda permanente de lo novedad, </w:t>
      </w:r>
      <w:r>
        <w:rPr>
          <w:rFonts w:ascii="Times New Roman" w:hAnsi="Times New Roman" w:cs="Times New Roman"/>
        </w:rPr>
        <w:t>porque somos sujetos de la educación</w:t>
      </w:r>
      <w:r w:rsidR="00126A16">
        <w:rPr>
          <w:rFonts w:ascii="Times New Roman" w:hAnsi="Times New Roman" w:cs="Times New Roman"/>
        </w:rPr>
        <w:t xml:space="preserve"> (Cerletti, 2008)</w:t>
      </w:r>
      <w:r w:rsidR="00437B4F">
        <w:rPr>
          <w:rFonts w:ascii="Times New Roman" w:hAnsi="Times New Roman" w:cs="Times New Roman"/>
        </w:rPr>
        <w:t>, todos somos aprendices en las nuevas estructuras de las sociedades del conocimiento, somos comunidades de aprendizaje donde tenemos la oportunidad de aprender unos de otros; los docentes aprenden de los alumnos y del cómo aprenden estos, al igual que los alumnos aprende de los maestros y de la selección de las estrategias didácticas que implementan aprenden a aprender</w:t>
      </w:r>
      <w:r w:rsidR="00EC145E">
        <w:rPr>
          <w:rFonts w:ascii="Times New Roman" w:hAnsi="Times New Roman" w:cs="Times New Roman"/>
        </w:rPr>
        <w:t>.</w:t>
      </w:r>
    </w:p>
    <w:p w14:paraId="3F8C675E" w14:textId="1C9417A9" w:rsidR="00DB440A" w:rsidRDefault="00437B4F" w:rsidP="002363C6">
      <w:pPr>
        <w:pStyle w:val="Default"/>
        <w:spacing w:after="240" w:line="360" w:lineRule="auto"/>
        <w:jc w:val="both"/>
        <w:rPr>
          <w:rFonts w:ascii="Times New Roman" w:hAnsi="Times New Roman" w:cs="Times New Roman"/>
        </w:rPr>
      </w:pPr>
      <w:r>
        <w:rPr>
          <w:rFonts w:ascii="Times New Roman" w:hAnsi="Times New Roman" w:cs="Times New Roman"/>
        </w:rPr>
        <w:lastRenderedPageBreak/>
        <w:t>De toda esta complejidad de interacciones, el equipo directivo debe ser un actor importante en la gestión para mejorar los procesos y el ambiente en el que se desarrollan, mantener la apertura para aprender mejorando permanentemente el apoyo y los servicios demandados por los actores de los procesos de aprendizaje.</w:t>
      </w:r>
      <w:r w:rsidR="00A51DE4">
        <w:rPr>
          <w:rFonts w:ascii="Times New Roman" w:hAnsi="Times New Roman" w:cs="Times New Roman"/>
        </w:rPr>
        <w:t xml:space="preserve"> </w:t>
      </w:r>
      <w:r w:rsidR="00EC145E">
        <w:rPr>
          <w:rFonts w:ascii="Times New Roman" w:hAnsi="Times New Roman" w:cs="Times New Roman"/>
        </w:rPr>
        <w:t xml:space="preserve">Es así como se debe entender la participación de un equipo directivo que asume como principios el liderazgo participativo y colaborativo </w:t>
      </w:r>
      <w:r w:rsidR="001D12FA">
        <w:rPr>
          <w:rFonts w:ascii="Times New Roman" w:hAnsi="Times New Roman" w:cs="Times New Roman"/>
        </w:rPr>
        <w:t xml:space="preserve">que actúa en un contexto permeado por una organización escolar matricial conjugando para la toma de decisiones, elaboración de estrategias y ejecución de acciones de intervención posiciones verticales y horizontales. Asumiendo el riesgo de cierta pérdida de control dado los ambientes de incertidumbre propiciados por los acelerados cambios sociales en todos los aspectos y reconociendo que se incrementan las responsabilidades por lo que es necesario </w:t>
      </w:r>
      <w:r w:rsidR="00DF3797">
        <w:rPr>
          <w:rFonts w:ascii="Times New Roman" w:hAnsi="Times New Roman" w:cs="Times New Roman"/>
        </w:rPr>
        <w:t>invitar, argumentando y convenciendo a los diferentes actores a participar en el establecimiento y logro de metas académicas. Estos son los retos del equipo de gestión directiva dadas las actuales circunstancias que se viven y proyectan para el desarrollo de los nuevos programas educativo en la Facultad de Arquitectura de la Universidad Autónoma de Sinaloa.</w:t>
      </w:r>
    </w:p>
    <w:p w14:paraId="71F8373E" w14:textId="77777777" w:rsidR="00503D17" w:rsidRDefault="00503D17" w:rsidP="002363C6">
      <w:pPr>
        <w:pStyle w:val="Default"/>
        <w:spacing w:after="240" w:line="360" w:lineRule="auto"/>
        <w:jc w:val="both"/>
        <w:rPr>
          <w:rFonts w:ascii="Times New Roman" w:hAnsi="Times New Roman" w:cs="Times New Roman"/>
          <w:b/>
        </w:rPr>
      </w:pPr>
    </w:p>
    <w:p w14:paraId="081F045B" w14:textId="25083719" w:rsidR="00A51DE4" w:rsidRDefault="00DF3797" w:rsidP="002363C6">
      <w:pPr>
        <w:pStyle w:val="Default"/>
        <w:spacing w:after="240" w:line="360" w:lineRule="auto"/>
        <w:jc w:val="both"/>
        <w:rPr>
          <w:rFonts w:ascii="Times New Roman" w:hAnsi="Times New Roman" w:cs="Times New Roman"/>
          <w:b/>
        </w:rPr>
      </w:pPr>
      <w:r w:rsidRPr="00DF3797">
        <w:rPr>
          <w:rFonts w:ascii="Times New Roman" w:hAnsi="Times New Roman" w:cs="Times New Roman"/>
          <w:b/>
        </w:rPr>
        <w:t>Evaluación del desempeño docente</w:t>
      </w:r>
    </w:p>
    <w:p w14:paraId="0E9A277F" w14:textId="77777777" w:rsidR="00E805A7" w:rsidRDefault="00F745F5" w:rsidP="002363C6">
      <w:pPr>
        <w:pStyle w:val="Default"/>
        <w:spacing w:after="240" w:line="360" w:lineRule="auto"/>
        <w:jc w:val="both"/>
        <w:rPr>
          <w:rFonts w:ascii="Times New Roman" w:hAnsi="Times New Roman" w:cs="Times New Roman"/>
        </w:rPr>
      </w:pPr>
      <w:r>
        <w:rPr>
          <w:rFonts w:ascii="Times New Roman" w:hAnsi="Times New Roman" w:cs="Times New Roman"/>
        </w:rPr>
        <w:t xml:space="preserve">Para un profesor que asume su desempeño docente con profesionalismo </w:t>
      </w:r>
      <w:r w:rsidR="00E44C11">
        <w:rPr>
          <w:rFonts w:ascii="Times New Roman" w:hAnsi="Times New Roman" w:cs="Times New Roman"/>
        </w:rPr>
        <w:t>está</w:t>
      </w:r>
      <w:r>
        <w:rPr>
          <w:rFonts w:ascii="Times New Roman" w:hAnsi="Times New Roman" w:cs="Times New Roman"/>
        </w:rPr>
        <w:t xml:space="preserve"> en constante reflexión sobre su práctica. </w:t>
      </w:r>
      <w:r w:rsidR="00E44C11">
        <w:rPr>
          <w:rFonts w:ascii="Times New Roman" w:hAnsi="Times New Roman" w:cs="Times New Roman"/>
        </w:rPr>
        <w:t>Analiza</w:t>
      </w:r>
      <w:r>
        <w:rPr>
          <w:rFonts w:ascii="Times New Roman" w:hAnsi="Times New Roman" w:cs="Times New Roman"/>
        </w:rPr>
        <w:t xml:space="preserve"> las estrategias didácticas más </w:t>
      </w:r>
      <w:r w:rsidR="00E44C11">
        <w:rPr>
          <w:rFonts w:ascii="Times New Roman" w:hAnsi="Times New Roman" w:cs="Times New Roman"/>
        </w:rPr>
        <w:t xml:space="preserve">eficientes </w:t>
      </w:r>
      <w:r>
        <w:rPr>
          <w:rFonts w:ascii="Times New Roman" w:hAnsi="Times New Roman" w:cs="Times New Roman"/>
        </w:rPr>
        <w:t xml:space="preserve">en facilitar </w:t>
      </w:r>
      <w:r w:rsidR="00E44C11">
        <w:rPr>
          <w:rFonts w:ascii="Times New Roman" w:hAnsi="Times New Roman" w:cs="Times New Roman"/>
        </w:rPr>
        <w:t>el</w:t>
      </w:r>
      <w:r>
        <w:rPr>
          <w:rFonts w:ascii="Times New Roman" w:hAnsi="Times New Roman" w:cs="Times New Roman"/>
        </w:rPr>
        <w:t xml:space="preserve"> proceso de aprendizaje </w:t>
      </w:r>
      <w:r w:rsidR="00E44C11">
        <w:rPr>
          <w:rFonts w:ascii="Times New Roman" w:hAnsi="Times New Roman" w:cs="Times New Roman"/>
        </w:rPr>
        <w:t xml:space="preserve">de los alumnos. Se interesa en saber cómo reciben y valoran los alumnos tales estrategias y está dispuesto a compartirlas con sus colegas tratando de fortalecer al gremio, pasando del análisis individual al análisis colectivo. Tiene claro que el trabajo en equipo proporciona mejores resultados que en solitario, </w:t>
      </w:r>
      <w:r w:rsidR="00E805A7">
        <w:rPr>
          <w:rFonts w:ascii="Times New Roman" w:hAnsi="Times New Roman" w:cs="Times New Roman"/>
        </w:rPr>
        <w:t xml:space="preserve">el contexto natural y social es un medio facilitador del aprendizaje. </w:t>
      </w:r>
    </w:p>
    <w:p w14:paraId="195221C3" w14:textId="0808E25A" w:rsidR="0012263E" w:rsidRPr="001C6EBA" w:rsidRDefault="00E805A7" w:rsidP="002363C6">
      <w:pPr>
        <w:pStyle w:val="Default"/>
        <w:spacing w:after="240" w:line="360" w:lineRule="auto"/>
        <w:jc w:val="both"/>
        <w:rPr>
          <w:rFonts w:ascii="Times New Roman" w:hAnsi="Times New Roman" w:cs="Times New Roman"/>
        </w:rPr>
      </w:pPr>
      <w:r>
        <w:rPr>
          <w:rFonts w:ascii="Times New Roman" w:hAnsi="Times New Roman" w:cs="Times New Roman"/>
        </w:rPr>
        <w:t>El profesionalismo del docente tiene como referente principal el nivel de aprendizaje de los alumnos, en consecuencia la opinión de estos sobre el desempeño docente, de las estrategias didácticas que utiliza</w:t>
      </w:r>
      <w:r w:rsidR="00CB0576">
        <w:rPr>
          <w:rFonts w:ascii="Times New Roman" w:hAnsi="Times New Roman" w:cs="Times New Roman"/>
        </w:rPr>
        <w:t>,</w:t>
      </w:r>
      <w:r>
        <w:rPr>
          <w:rFonts w:ascii="Times New Roman" w:hAnsi="Times New Roman" w:cs="Times New Roman"/>
        </w:rPr>
        <w:t xml:space="preserve"> de </w:t>
      </w:r>
      <w:r w:rsidR="00CB0576">
        <w:rPr>
          <w:rFonts w:ascii="Times New Roman" w:hAnsi="Times New Roman" w:cs="Times New Roman"/>
        </w:rPr>
        <w:t>los actos</w:t>
      </w:r>
      <w:r>
        <w:rPr>
          <w:rFonts w:ascii="Times New Roman" w:hAnsi="Times New Roman" w:cs="Times New Roman"/>
        </w:rPr>
        <w:t xml:space="preserve"> </w:t>
      </w:r>
      <w:r w:rsidR="00CB0576">
        <w:rPr>
          <w:rFonts w:ascii="Times New Roman" w:hAnsi="Times New Roman" w:cs="Times New Roman"/>
        </w:rPr>
        <w:t xml:space="preserve">y prácticas que moviliza durante el desempeño de sus clases merece una valoración especial. Por ello, en la Universidad Autónoma de Sinaloa y por tanto, en la Facultad de Arquitectura se implementa la </w:t>
      </w:r>
      <w:r w:rsidR="00CB0576">
        <w:rPr>
          <w:rFonts w:ascii="Times New Roman" w:hAnsi="Times New Roman" w:cs="Times New Roman"/>
        </w:rPr>
        <w:lastRenderedPageBreak/>
        <w:t xml:space="preserve">evaluación del desempeño docente desde la </w:t>
      </w:r>
      <w:r w:rsidR="00CB0576" w:rsidRPr="001C6EBA">
        <w:rPr>
          <w:rFonts w:ascii="Times New Roman" w:hAnsi="Times New Roman" w:cs="Times New Roman"/>
        </w:rPr>
        <w:t>óptica de los estudiantes. Las categorías analíticas de la evaluación docente son:</w:t>
      </w:r>
    </w:p>
    <w:p w14:paraId="18FFBB47" w14:textId="1FC8C45C" w:rsidR="00CB0576" w:rsidRPr="001C6EBA" w:rsidRDefault="00CB0576" w:rsidP="001C6EBA">
      <w:pPr>
        <w:spacing w:after="0" w:line="360" w:lineRule="auto"/>
        <w:ind w:left="708"/>
        <w:rPr>
          <w:rFonts w:ascii="Times New Roman" w:eastAsia="Times New Roman" w:hAnsi="Times New Roman" w:cs="Times New Roman"/>
          <w:color w:val="000000"/>
          <w:sz w:val="24"/>
          <w:szCs w:val="24"/>
          <w:lang w:eastAsia="es-MX"/>
        </w:rPr>
      </w:pPr>
      <w:r w:rsidRPr="001C6EBA">
        <w:rPr>
          <w:rFonts w:ascii="Times New Roman" w:eastAsia="Times New Roman" w:hAnsi="Times New Roman" w:cs="Times New Roman"/>
          <w:color w:val="000000"/>
          <w:sz w:val="24"/>
          <w:szCs w:val="24"/>
          <w:lang w:eastAsia="es-MX"/>
        </w:rPr>
        <w:t xml:space="preserve">A.- Planeación del proceso para el aprendizaje </w:t>
      </w:r>
    </w:p>
    <w:p w14:paraId="25C06404" w14:textId="73B5AA9B" w:rsidR="00CB0576" w:rsidRPr="001C6EBA" w:rsidRDefault="00CB0576" w:rsidP="001C6EBA">
      <w:pPr>
        <w:spacing w:after="0" w:line="360" w:lineRule="auto"/>
        <w:ind w:left="708"/>
        <w:rPr>
          <w:rFonts w:ascii="Times New Roman" w:eastAsia="Times New Roman" w:hAnsi="Times New Roman" w:cs="Times New Roman"/>
          <w:color w:val="000000"/>
          <w:sz w:val="24"/>
          <w:szCs w:val="24"/>
          <w:lang w:eastAsia="es-MX"/>
        </w:rPr>
      </w:pPr>
      <w:r w:rsidRPr="001C6EBA">
        <w:rPr>
          <w:rFonts w:ascii="Times New Roman" w:eastAsia="Times New Roman" w:hAnsi="Times New Roman" w:cs="Times New Roman"/>
          <w:color w:val="000000"/>
          <w:sz w:val="24"/>
          <w:szCs w:val="24"/>
          <w:lang w:eastAsia="es-MX"/>
        </w:rPr>
        <w:t>B.-</w:t>
      </w:r>
      <w:r w:rsidR="001C6EBA" w:rsidRPr="001C6EBA">
        <w:rPr>
          <w:rFonts w:ascii="Times New Roman" w:eastAsia="Times New Roman" w:hAnsi="Times New Roman" w:cs="Times New Roman"/>
          <w:color w:val="000000"/>
          <w:sz w:val="24"/>
          <w:szCs w:val="24"/>
          <w:lang w:eastAsia="es-MX"/>
        </w:rPr>
        <w:t xml:space="preserve"> U</w:t>
      </w:r>
      <w:r w:rsidRPr="001C6EBA">
        <w:rPr>
          <w:rFonts w:ascii="Times New Roman" w:eastAsia="Times New Roman" w:hAnsi="Times New Roman" w:cs="Times New Roman"/>
          <w:color w:val="000000"/>
          <w:sz w:val="24"/>
          <w:szCs w:val="24"/>
          <w:lang w:eastAsia="es-MX"/>
        </w:rPr>
        <w:t xml:space="preserve">so del tiempo </w:t>
      </w:r>
    </w:p>
    <w:p w14:paraId="60C9C365" w14:textId="25AB23AE" w:rsidR="00CB0576" w:rsidRPr="001C6EBA" w:rsidRDefault="00CB0576" w:rsidP="001C6EBA">
      <w:pPr>
        <w:spacing w:after="0" w:line="360" w:lineRule="auto"/>
        <w:ind w:left="708"/>
        <w:rPr>
          <w:rFonts w:ascii="Times New Roman" w:eastAsia="Times New Roman" w:hAnsi="Times New Roman" w:cs="Times New Roman"/>
          <w:color w:val="000000"/>
          <w:sz w:val="24"/>
          <w:szCs w:val="24"/>
          <w:lang w:eastAsia="es-MX"/>
        </w:rPr>
      </w:pPr>
      <w:r w:rsidRPr="001C6EBA">
        <w:rPr>
          <w:rFonts w:ascii="Times New Roman" w:eastAsia="Times New Roman" w:hAnsi="Times New Roman" w:cs="Times New Roman"/>
          <w:color w:val="000000"/>
          <w:sz w:val="24"/>
          <w:szCs w:val="24"/>
          <w:lang w:eastAsia="es-MX"/>
        </w:rPr>
        <w:t>C</w:t>
      </w:r>
      <w:r w:rsidR="001C6EBA" w:rsidRPr="001C6EBA">
        <w:rPr>
          <w:rFonts w:ascii="Times New Roman" w:eastAsia="Times New Roman" w:hAnsi="Times New Roman" w:cs="Times New Roman"/>
          <w:color w:val="000000"/>
          <w:sz w:val="24"/>
          <w:szCs w:val="24"/>
          <w:lang w:eastAsia="es-MX"/>
        </w:rPr>
        <w:t>.- M</w:t>
      </w:r>
      <w:r w:rsidRPr="001C6EBA">
        <w:rPr>
          <w:rFonts w:ascii="Times New Roman" w:eastAsia="Times New Roman" w:hAnsi="Times New Roman" w:cs="Times New Roman"/>
          <w:color w:val="000000"/>
          <w:sz w:val="24"/>
          <w:szCs w:val="24"/>
          <w:lang w:eastAsia="es-MX"/>
        </w:rPr>
        <w:t xml:space="preserve">anejo de contenidos </w:t>
      </w:r>
    </w:p>
    <w:p w14:paraId="3759E0A5" w14:textId="47FDFF40" w:rsidR="00CB0576" w:rsidRPr="001C6EBA" w:rsidRDefault="00CB0576" w:rsidP="001C6EBA">
      <w:pPr>
        <w:spacing w:after="0" w:line="360" w:lineRule="auto"/>
        <w:ind w:left="708"/>
        <w:rPr>
          <w:rFonts w:ascii="Times New Roman" w:eastAsia="Times New Roman" w:hAnsi="Times New Roman" w:cs="Times New Roman"/>
          <w:color w:val="000000"/>
          <w:sz w:val="24"/>
          <w:szCs w:val="24"/>
          <w:lang w:eastAsia="es-MX"/>
        </w:rPr>
      </w:pPr>
      <w:r w:rsidRPr="001C6EBA">
        <w:rPr>
          <w:rFonts w:ascii="Times New Roman" w:eastAsia="Times New Roman" w:hAnsi="Times New Roman" w:cs="Times New Roman"/>
          <w:color w:val="000000"/>
          <w:sz w:val="24"/>
          <w:szCs w:val="24"/>
          <w:lang w:eastAsia="es-MX"/>
        </w:rPr>
        <w:t>D</w:t>
      </w:r>
      <w:r w:rsidR="001C6EBA" w:rsidRPr="001C6EBA">
        <w:rPr>
          <w:rFonts w:ascii="Times New Roman" w:eastAsia="Times New Roman" w:hAnsi="Times New Roman" w:cs="Times New Roman"/>
          <w:color w:val="000000"/>
          <w:sz w:val="24"/>
          <w:szCs w:val="24"/>
          <w:lang w:eastAsia="es-MX"/>
        </w:rPr>
        <w:t>.- F</w:t>
      </w:r>
      <w:r w:rsidRPr="001C6EBA">
        <w:rPr>
          <w:rFonts w:ascii="Times New Roman" w:eastAsia="Times New Roman" w:hAnsi="Times New Roman" w:cs="Times New Roman"/>
          <w:color w:val="000000"/>
          <w:sz w:val="24"/>
          <w:szCs w:val="24"/>
          <w:lang w:eastAsia="es-MX"/>
        </w:rPr>
        <w:t xml:space="preserve">acilitación de las interacciones </w:t>
      </w:r>
    </w:p>
    <w:p w14:paraId="0E0BE373" w14:textId="11D8FD1C" w:rsidR="00CB0576" w:rsidRPr="001C6EBA" w:rsidRDefault="00CB0576" w:rsidP="001C6EBA">
      <w:pPr>
        <w:spacing w:after="0" w:line="360" w:lineRule="auto"/>
        <w:ind w:left="708"/>
        <w:rPr>
          <w:rFonts w:ascii="Times New Roman" w:eastAsia="Times New Roman" w:hAnsi="Times New Roman" w:cs="Times New Roman"/>
          <w:color w:val="000000"/>
          <w:sz w:val="24"/>
          <w:szCs w:val="24"/>
          <w:lang w:eastAsia="es-MX"/>
        </w:rPr>
      </w:pPr>
      <w:r w:rsidRPr="001C6EBA">
        <w:rPr>
          <w:rFonts w:ascii="Times New Roman" w:eastAsia="Times New Roman" w:hAnsi="Times New Roman" w:cs="Times New Roman"/>
          <w:color w:val="000000"/>
          <w:sz w:val="24"/>
          <w:szCs w:val="24"/>
          <w:lang w:eastAsia="es-MX"/>
        </w:rPr>
        <w:t>E</w:t>
      </w:r>
      <w:r w:rsidR="001C6EBA" w:rsidRPr="001C6EBA">
        <w:rPr>
          <w:rFonts w:ascii="Times New Roman" w:eastAsia="Times New Roman" w:hAnsi="Times New Roman" w:cs="Times New Roman"/>
          <w:color w:val="000000"/>
          <w:sz w:val="24"/>
          <w:szCs w:val="24"/>
          <w:lang w:eastAsia="es-MX"/>
        </w:rPr>
        <w:t>.- E</w:t>
      </w:r>
      <w:r w:rsidRPr="001C6EBA">
        <w:rPr>
          <w:rFonts w:ascii="Times New Roman" w:eastAsia="Times New Roman" w:hAnsi="Times New Roman" w:cs="Times New Roman"/>
          <w:color w:val="000000"/>
          <w:sz w:val="24"/>
          <w:szCs w:val="24"/>
          <w:lang w:eastAsia="es-MX"/>
        </w:rPr>
        <w:t xml:space="preserve">strategias para el aprendizaje </w:t>
      </w:r>
    </w:p>
    <w:p w14:paraId="79216D85" w14:textId="6E4E66DE" w:rsidR="00CB0576" w:rsidRPr="001C6EBA" w:rsidRDefault="00CB0576" w:rsidP="001C6EBA">
      <w:pPr>
        <w:spacing w:after="0" w:line="360" w:lineRule="auto"/>
        <w:ind w:left="708"/>
        <w:rPr>
          <w:rFonts w:ascii="Times New Roman" w:eastAsia="Times New Roman" w:hAnsi="Times New Roman" w:cs="Times New Roman"/>
          <w:color w:val="000000"/>
          <w:sz w:val="24"/>
          <w:szCs w:val="24"/>
          <w:lang w:eastAsia="es-MX"/>
        </w:rPr>
      </w:pPr>
      <w:r w:rsidRPr="001C6EBA">
        <w:rPr>
          <w:rFonts w:ascii="Times New Roman" w:eastAsia="Times New Roman" w:hAnsi="Times New Roman" w:cs="Times New Roman"/>
          <w:color w:val="000000"/>
          <w:sz w:val="24"/>
          <w:szCs w:val="24"/>
          <w:lang w:eastAsia="es-MX"/>
        </w:rPr>
        <w:t>F</w:t>
      </w:r>
      <w:r w:rsidR="001C6EBA" w:rsidRPr="001C6EBA">
        <w:rPr>
          <w:rFonts w:ascii="Times New Roman" w:eastAsia="Times New Roman" w:hAnsi="Times New Roman" w:cs="Times New Roman"/>
          <w:color w:val="000000"/>
          <w:sz w:val="24"/>
          <w:szCs w:val="24"/>
          <w:lang w:eastAsia="es-MX"/>
        </w:rPr>
        <w:t>.- U</w:t>
      </w:r>
      <w:r w:rsidRPr="001C6EBA">
        <w:rPr>
          <w:rFonts w:ascii="Times New Roman" w:eastAsia="Times New Roman" w:hAnsi="Times New Roman" w:cs="Times New Roman"/>
          <w:color w:val="000000"/>
          <w:sz w:val="24"/>
          <w:szCs w:val="24"/>
          <w:lang w:eastAsia="es-MX"/>
        </w:rPr>
        <w:t xml:space="preserve">so de tecnologías de la información y la comunicación </w:t>
      </w:r>
    </w:p>
    <w:p w14:paraId="127370BE" w14:textId="6CFF28D3" w:rsidR="00CB0576" w:rsidRPr="001C6EBA" w:rsidRDefault="00CB0576" w:rsidP="001C6EBA">
      <w:pPr>
        <w:spacing w:after="0" w:line="360" w:lineRule="auto"/>
        <w:ind w:left="708"/>
        <w:rPr>
          <w:rFonts w:ascii="Times New Roman" w:eastAsia="Times New Roman" w:hAnsi="Times New Roman" w:cs="Times New Roman"/>
          <w:color w:val="000000"/>
          <w:sz w:val="24"/>
          <w:szCs w:val="24"/>
          <w:lang w:eastAsia="es-MX"/>
        </w:rPr>
      </w:pPr>
      <w:r w:rsidRPr="001C6EBA">
        <w:rPr>
          <w:rFonts w:ascii="Times New Roman" w:eastAsia="Times New Roman" w:hAnsi="Times New Roman" w:cs="Times New Roman"/>
          <w:color w:val="000000"/>
          <w:sz w:val="24"/>
          <w:szCs w:val="24"/>
          <w:lang w:eastAsia="es-MX"/>
        </w:rPr>
        <w:t>G</w:t>
      </w:r>
      <w:r w:rsidR="001C6EBA" w:rsidRPr="001C6EBA">
        <w:rPr>
          <w:rFonts w:ascii="Times New Roman" w:eastAsia="Times New Roman" w:hAnsi="Times New Roman" w:cs="Times New Roman"/>
          <w:color w:val="000000"/>
          <w:sz w:val="24"/>
          <w:szCs w:val="24"/>
          <w:lang w:eastAsia="es-MX"/>
        </w:rPr>
        <w:t>- E</w:t>
      </w:r>
      <w:r w:rsidRPr="001C6EBA">
        <w:rPr>
          <w:rFonts w:ascii="Times New Roman" w:eastAsia="Times New Roman" w:hAnsi="Times New Roman" w:cs="Times New Roman"/>
          <w:color w:val="000000"/>
          <w:sz w:val="24"/>
          <w:szCs w:val="24"/>
          <w:lang w:eastAsia="es-MX"/>
        </w:rPr>
        <w:t xml:space="preserve">valuación del aprendizaje </w:t>
      </w:r>
    </w:p>
    <w:p w14:paraId="44262FE9" w14:textId="62C47E9F" w:rsidR="00CB0576" w:rsidRPr="001C6EBA" w:rsidRDefault="001C6EBA" w:rsidP="001C6EBA">
      <w:pPr>
        <w:pStyle w:val="Default"/>
        <w:spacing w:after="240" w:line="360" w:lineRule="auto"/>
        <w:ind w:left="708"/>
        <w:rPr>
          <w:rFonts w:ascii="Times New Roman" w:hAnsi="Times New Roman" w:cs="Times New Roman"/>
        </w:rPr>
      </w:pPr>
      <w:r w:rsidRPr="001C6EBA">
        <w:rPr>
          <w:rFonts w:ascii="Times New Roman" w:eastAsia="Times New Roman" w:hAnsi="Times New Roman" w:cs="Times New Roman"/>
          <w:lang w:eastAsia="es-MX"/>
        </w:rPr>
        <w:t>H</w:t>
      </w:r>
      <w:r w:rsidR="00CB0576" w:rsidRPr="001C6EBA">
        <w:rPr>
          <w:rFonts w:ascii="Times New Roman" w:eastAsia="Times New Roman" w:hAnsi="Times New Roman" w:cs="Times New Roman"/>
          <w:lang w:eastAsia="es-MX"/>
        </w:rPr>
        <w:t xml:space="preserve">.- </w:t>
      </w:r>
      <w:r w:rsidRPr="001C6EBA">
        <w:rPr>
          <w:rFonts w:ascii="Times New Roman" w:eastAsia="Times New Roman" w:hAnsi="Times New Roman" w:cs="Times New Roman"/>
          <w:lang w:eastAsia="es-MX"/>
        </w:rPr>
        <w:t>S</w:t>
      </w:r>
      <w:r w:rsidR="00CB0576" w:rsidRPr="001C6EBA">
        <w:rPr>
          <w:rFonts w:ascii="Times New Roman" w:eastAsia="Times New Roman" w:hAnsi="Times New Roman" w:cs="Times New Roman"/>
          <w:lang w:eastAsia="es-MX"/>
        </w:rPr>
        <w:t xml:space="preserve">atisfacción con el desempeño docente </w:t>
      </w:r>
    </w:p>
    <w:p w14:paraId="33D83A52" w14:textId="03C5908A" w:rsidR="00F745F5" w:rsidRDefault="004C297B" w:rsidP="002363C6">
      <w:pPr>
        <w:pStyle w:val="Default"/>
        <w:spacing w:after="240" w:line="360" w:lineRule="auto"/>
        <w:jc w:val="both"/>
        <w:rPr>
          <w:rFonts w:ascii="Times New Roman" w:hAnsi="Times New Roman" w:cs="Times New Roman"/>
        </w:rPr>
      </w:pPr>
      <w:r>
        <w:rPr>
          <w:rFonts w:ascii="Times New Roman" w:hAnsi="Times New Roman" w:cs="Times New Roman"/>
        </w:rPr>
        <w:t>Para obtener el dato se realizan 29 interrogantes agrupadas en cada</w:t>
      </w:r>
      <w:r w:rsidR="00FC7BAA">
        <w:rPr>
          <w:rFonts w:ascii="Times New Roman" w:hAnsi="Times New Roman" w:cs="Times New Roman"/>
        </w:rPr>
        <w:t xml:space="preserve"> una de las categorías. Se trata de conocer la percepción del alumno sobre actividades muy concretas que debe realizar el profe</w:t>
      </w:r>
      <w:r w:rsidR="00BE1321">
        <w:rPr>
          <w:rFonts w:ascii="Times New Roman" w:hAnsi="Times New Roman" w:cs="Times New Roman"/>
        </w:rPr>
        <w:t>s</w:t>
      </w:r>
      <w:r w:rsidR="00FC7BAA">
        <w:rPr>
          <w:rFonts w:ascii="Times New Roman" w:hAnsi="Times New Roman" w:cs="Times New Roman"/>
        </w:rPr>
        <w:t>or. Por ejemplo, respecto a la planeación del proceso de aprendizaje  se indaga si es presentada al grupo, si se explica cómo se abordarán los temas, las estrategias didácticas, criterios de evaluación y si el curso se desarrolló conforme a lo planeado.</w:t>
      </w:r>
      <w:r w:rsidR="00BE1321">
        <w:rPr>
          <w:rFonts w:ascii="Times New Roman" w:hAnsi="Times New Roman" w:cs="Times New Roman"/>
        </w:rPr>
        <w:t xml:space="preserve"> Respecto al uso del tiempo se indaga sobre la asistencia, puntualidad y si el tiempo programado para la clase es aprovechado para desarrollar los contenidos del programa.</w:t>
      </w:r>
      <w:r w:rsidR="00EC58FA">
        <w:rPr>
          <w:rFonts w:ascii="Times New Roman" w:hAnsi="Times New Roman" w:cs="Times New Roman"/>
        </w:rPr>
        <w:t xml:space="preserve"> En cuanto al manejo de contenidos se pregunta a los alumnos si el profesor domina y amplía  con solvencia académica los temas, si muestra estar actualizado y si aclara las dudas que se presentan.</w:t>
      </w:r>
    </w:p>
    <w:p w14:paraId="58682CCE" w14:textId="1C856F32" w:rsidR="00901FDC" w:rsidRDefault="00EC58FA" w:rsidP="002363C6">
      <w:pPr>
        <w:pStyle w:val="Default"/>
        <w:spacing w:after="240" w:line="360" w:lineRule="auto"/>
        <w:jc w:val="both"/>
        <w:rPr>
          <w:rFonts w:ascii="Times New Roman" w:hAnsi="Times New Roman" w:cs="Times New Roman"/>
        </w:rPr>
      </w:pPr>
      <w:r>
        <w:rPr>
          <w:rFonts w:ascii="Times New Roman" w:hAnsi="Times New Roman" w:cs="Times New Roman"/>
        </w:rPr>
        <w:t>En la actualidad las relaciones sociales y laborales se s</w:t>
      </w:r>
      <w:r w:rsidR="0075634D">
        <w:rPr>
          <w:rFonts w:ascii="Times New Roman" w:hAnsi="Times New Roman" w:cs="Times New Roman"/>
        </w:rPr>
        <w:t xml:space="preserve">ustentan las nuevas formas de convivencia, en cánones para la negociación, el trabajo en equipo, en la confianza y solidaridad. Por ello, es la formación tiene que atender esta parte y el profesor debe fomentar estos comportamiento en el aula, a eso se refiere la categoría facilitación de las interacciones y para conocer qué tanto hace el profesor al respecto se pregunta a los alumnos si el profesor se comunica en forma clara, si tiene apertura para el diálogo, si estimula o promueve la participación en clase, si estimula la interacción entre los alumnos para desarrollar los temas y facilitar los aprendizajes, si fomenta y crea ambientes de confianza, respeto y buen trato </w:t>
      </w:r>
      <w:r w:rsidR="00901FDC">
        <w:rPr>
          <w:rFonts w:ascii="Times New Roman" w:hAnsi="Times New Roman" w:cs="Times New Roman"/>
        </w:rPr>
        <w:t xml:space="preserve">y si organiza actividades y/o tareas para que sean desarrolladas en equipo. </w:t>
      </w:r>
    </w:p>
    <w:p w14:paraId="4607986C" w14:textId="41D56988" w:rsidR="00901FDC" w:rsidRDefault="00901FDC" w:rsidP="002363C6">
      <w:pPr>
        <w:pStyle w:val="Default"/>
        <w:spacing w:after="240" w:line="360" w:lineRule="auto"/>
        <w:jc w:val="both"/>
        <w:rPr>
          <w:rFonts w:ascii="Times New Roman" w:hAnsi="Times New Roman" w:cs="Times New Roman"/>
        </w:rPr>
      </w:pPr>
      <w:r>
        <w:rPr>
          <w:rFonts w:ascii="Times New Roman" w:hAnsi="Times New Roman" w:cs="Times New Roman"/>
        </w:rPr>
        <w:lastRenderedPageBreak/>
        <w:t xml:space="preserve">Cada una de las categorías del desempeño docente es evaluada a través de la valoración de los estudiantes a un conjunto de preguntas obteniendo el promedio de las opiniones de alumnos para cada categoría, para cada profesor y para cada unidad académica de la Universidad Autónoma de Sinaloa. En el caso que nos ocupa, presentaremos los resultados de la valoración del desempeño docente por unidades de aprendizaje, porque </w:t>
      </w:r>
      <w:r w:rsidR="00522346">
        <w:rPr>
          <w:rFonts w:ascii="Times New Roman" w:hAnsi="Times New Roman" w:cs="Times New Roman"/>
        </w:rPr>
        <w:t xml:space="preserve">en la triada profesor-contenido-alumno, el contenido </w:t>
      </w:r>
      <w:r>
        <w:rPr>
          <w:rFonts w:ascii="Times New Roman" w:hAnsi="Times New Roman" w:cs="Times New Roman"/>
        </w:rPr>
        <w:t xml:space="preserve">es el punto de encuentro </w:t>
      </w:r>
      <w:r w:rsidR="00522346">
        <w:rPr>
          <w:rFonts w:ascii="Times New Roman" w:hAnsi="Times New Roman" w:cs="Times New Roman"/>
        </w:rPr>
        <w:t xml:space="preserve">y motivo del conjunto de interacciones entre alumnos y profesor, cuyo resultado es el aprendizaje y desarrollo del conocimiento. </w:t>
      </w:r>
    </w:p>
    <w:p w14:paraId="2D1853D6" w14:textId="18AAB3D0" w:rsidR="00EC58FA" w:rsidRDefault="00C14D28" w:rsidP="002363C6">
      <w:pPr>
        <w:pStyle w:val="Default"/>
        <w:spacing w:after="240" w:line="360" w:lineRule="auto"/>
        <w:jc w:val="both"/>
        <w:rPr>
          <w:rFonts w:ascii="Times New Roman" w:hAnsi="Times New Roman" w:cs="Times New Roman"/>
        </w:rPr>
      </w:pPr>
      <w:r>
        <w:rPr>
          <w:rFonts w:ascii="Times New Roman" w:hAnsi="Times New Roman" w:cs="Times New Roman"/>
        </w:rPr>
        <w:t>En la Tabla 8, se muestran los resultados de la valoración de los alumnos respecto al desempeño docente de los maestros que impartieron cuatro Unidades de Aprendizaje del Periodo 1 de la licenciatura en DIA.</w:t>
      </w:r>
      <w:r w:rsidR="00C315A8">
        <w:rPr>
          <w:rFonts w:ascii="Times New Roman" w:hAnsi="Times New Roman" w:cs="Times New Roman"/>
        </w:rPr>
        <w:t xml:space="preserve"> El análisis de estos resultados se hace por a) unidades de aprendizaje y b) categorías analíticas.</w:t>
      </w:r>
    </w:p>
    <w:p w14:paraId="67C0FF5D" w14:textId="4EFB3D34" w:rsidR="00C315A8" w:rsidRPr="00503D17" w:rsidRDefault="00C315A8" w:rsidP="00C315A8">
      <w:pPr>
        <w:pStyle w:val="Default"/>
        <w:numPr>
          <w:ilvl w:val="0"/>
          <w:numId w:val="6"/>
        </w:numPr>
        <w:spacing w:after="240" w:line="360" w:lineRule="auto"/>
        <w:rPr>
          <w:rFonts w:ascii="Times New Roman" w:hAnsi="Times New Roman" w:cs="Times New Roman"/>
          <w:b/>
        </w:rPr>
      </w:pPr>
      <w:r w:rsidRPr="00503D17">
        <w:rPr>
          <w:rFonts w:ascii="Times New Roman" w:hAnsi="Times New Roman" w:cs="Times New Roman"/>
          <w:b/>
        </w:rPr>
        <w:t>Análisis por unidades de aprendizaje</w:t>
      </w:r>
      <w:r w:rsidR="00165FCF" w:rsidRPr="00503D17">
        <w:rPr>
          <w:rFonts w:ascii="Times New Roman" w:hAnsi="Times New Roman" w:cs="Times New Roman"/>
          <w:b/>
        </w:rPr>
        <w:t xml:space="preserve"> cohorte DIA: Periodo 1</w:t>
      </w:r>
    </w:p>
    <w:p w14:paraId="389EEC25" w14:textId="568E3465" w:rsidR="00B50F4E" w:rsidRDefault="00B50F4E" w:rsidP="002363C6">
      <w:pPr>
        <w:pStyle w:val="Default"/>
        <w:spacing w:after="240" w:line="360" w:lineRule="auto"/>
        <w:jc w:val="both"/>
        <w:rPr>
          <w:rFonts w:ascii="Times New Roman" w:hAnsi="Times New Roman" w:cs="Times New Roman"/>
        </w:rPr>
      </w:pPr>
      <w:r>
        <w:rPr>
          <w:rFonts w:ascii="Times New Roman" w:hAnsi="Times New Roman" w:cs="Times New Roman"/>
        </w:rPr>
        <w:t>En el primer periodo de la licenciatura en DIA seis profesores son los evaluados, de ellos, dos tienen licenciatura y cuatro son maestros en ciencias. En cuanto a la experiencia docente, principalmente adquirida en la licenciatura en arquitectura, el rango de antigüedad docente de este grupo de profesores es de 6.47 a 33.18 años con una media de 1</w:t>
      </w:r>
      <w:r w:rsidR="00DD1436">
        <w:rPr>
          <w:rFonts w:ascii="Times New Roman" w:hAnsi="Times New Roman" w:cs="Times New Roman"/>
        </w:rPr>
        <w:t>6.76</w:t>
      </w:r>
      <w:r>
        <w:rPr>
          <w:rFonts w:ascii="Times New Roman" w:hAnsi="Times New Roman" w:cs="Times New Roman"/>
        </w:rPr>
        <w:t xml:space="preserve"> años de experiencia docente.</w:t>
      </w:r>
      <w:r w:rsidR="00DD1436">
        <w:rPr>
          <w:rFonts w:ascii="Times New Roman" w:hAnsi="Times New Roman" w:cs="Times New Roman"/>
        </w:rPr>
        <w:t xml:space="preserve"> Se puede decir que es un grupo docente de buen nivel de escolaridad y experiencia docente para el desempeño y práctico de los cursos. En cuanto al tratamiento teórico de los cursos se considera que tienen las competencias para ello, ya que el nivel de escolaridad así lo indica y la experiencia docente es adquirida principalmente en la licenciatura en arquitectura, que es una carrera con fuerte afinidad </w:t>
      </w:r>
      <w:r w:rsidR="00503D17">
        <w:rPr>
          <w:rFonts w:ascii="Times New Roman" w:hAnsi="Times New Roman" w:cs="Times New Roman"/>
        </w:rPr>
        <w:t>en áreas de conocimiento, desarrollo disciplinar y campo profesional</w:t>
      </w:r>
      <w:r w:rsidR="00DD1436">
        <w:rPr>
          <w:rFonts w:ascii="Times New Roman" w:hAnsi="Times New Roman" w:cs="Times New Roman"/>
        </w:rPr>
        <w:t>.</w:t>
      </w:r>
    </w:p>
    <w:p w14:paraId="087F0023" w14:textId="730ECDF5" w:rsidR="00EF7663" w:rsidRDefault="00C315A8" w:rsidP="002363C6">
      <w:pPr>
        <w:pStyle w:val="Default"/>
        <w:spacing w:after="240" w:line="360" w:lineRule="auto"/>
        <w:jc w:val="both"/>
        <w:rPr>
          <w:rFonts w:ascii="Times New Roman" w:hAnsi="Times New Roman" w:cs="Times New Roman"/>
          <w:bCs/>
        </w:rPr>
      </w:pPr>
      <w:r>
        <w:rPr>
          <w:rFonts w:ascii="Times New Roman" w:hAnsi="Times New Roman" w:cs="Times New Roman"/>
        </w:rPr>
        <w:t xml:space="preserve">Para este análisis se obtiene la </w:t>
      </w:r>
      <w:r>
        <w:rPr>
          <w:rFonts w:ascii="Times New Roman" w:hAnsi="Times New Roman" w:cs="Times New Roman"/>
          <w:bCs/>
        </w:rPr>
        <w:t>media aritmética (</w:t>
      </w:r>
      <w:r w:rsidRPr="001B3105">
        <w:rPr>
          <w:position w:val="-4"/>
        </w:rPr>
        <w:object w:dxaOrig="279" w:dyaOrig="260" w14:anchorId="7A112760">
          <v:shape id="_x0000_i1039" type="#_x0000_t75" style="width:14.25pt;height:13.5pt" o:ole="">
            <v:imagedata r:id="rId10" o:title=""/>
          </v:shape>
          <o:OLEObject Type="Embed" ProgID="Equation.3" ShapeID="_x0000_i1039" DrawAspect="Content" ObjectID="_1530953738" r:id="rId27"/>
        </w:object>
      </w:r>
      <w:r>
        <w:rPr>
          <w:rFonts w:ascii="Times New Roman" w:hAnsi="Times New Roman" w:cs="Times New Roman"/>
          <w:bCs/>
        </w:rPr>
        <w:t>) y desviación estándar (</w:t>
      </w:r>
      <w:r w:rsidRPr="001B3105">
        <w:rPr>
          <w:position w:val="-6"/>
        </w:rPr>
        <w:object w:dxaOrig="240" w:dyaOrig="220" w14:anchorId="7F209139">
          <v:shape id="_x0000_i1040" type="#_x0000_t75" style="width:12.75pt;height:12pt" o:ole="">
            <v:imagedata r:id="rId12" o:title=""/>
          </v:shape>
          <o:OLEObject Type="Embed" ProgID="Equation.3" ShapeID="_x0000_i1040" DrawAspect="Content" ObjectID="_1530953739" r:id="rId28"/>
        </w:object>
      </w:r>
      <w:r>
        <w:rPr>
          <w:rFonts w:ascii="Times New Roman" w:hAnsi="Times New Roman" w:cs="Times New Roman"/>
          <w:bCs/>
        </w:rPr>
        <w:t>)</w:t>
      </w:r>
      <w:r w:rsidR="00EF7663">
        <w:rPr>
          <w:rFonts w:ascii="Times New Roman" w:hAnsi="Times New Roman" w:cs="Times New Roman"/>
          <w:bCs/>
        </w:rPr>
        <w:t xml:space="preserve"> </w:t>
      </w:r>
      <w:r>
        <w:rPr>
          <w:rFonts w:ascii="Times New Roman" w:hAnsi="Times New Roman" w:cs="Times New Roman"/>
        </w:rPr>
        <w:t xml:space="preserve">de los resultados de cada categoría analítica para cada unidad de aprendizaje. </w:t>
      </w:r>
      <w:r w:rsidR="00EF7663">
        <w:rPr>
          <w:rFonts w:ascii="Times New Roman" w:hAnsi="Times New Roman" w:cs="Times New Roman"/>
        </w:rPr>
        <w:t xml:space="preserve">Con estos datos se estable el intervalo de confianza </w:t>
      </w:r>
      <w:r w:rsidR="00EF7663">
        <w:rPr>
          <w:rFonts w:ascii="Times New Roman" w:hAnsi="Times New Roman" w:cs="Times New Roman"/>
          <w:bCs/>
        </w:rPr>
        <w:t>[</w:t>
      </w:r>
      <w:r w:rsidR="00EF7663" w:rsidRPr="00261657">
        <w:rPr>
          <w:rFonts w:ascii="Arial" w:hAnsi="Arial" w:cs="Arial"/>
          <w:position w:val="-10"/>
        </w:rPr>
        <w:object w:dxaOrig="700" w:dyaOrig="320" w14:anchorId="5AE779EA">
          <v:shape id="_x0000_i1041" type="#_x0000_t75" style="width:34.5pt;height:15.75pt" o:ole="">
            <v:imagedata r:id="rId14" o:title=""/>
          </v:shape>
          <o:OLEObject Type="Embed" ProgID="Equation.3" ShapeID="_x0000_i1041" DrawAspect="Content" ObjectID="_1530953740" r:id="rId29"/>
        </w:object>
      </w:r>
      <w:r w:rsidR="00EF7663">
        <w:rPr>
          <w:rFonts w:ascii="Times New Roman" w:hAnsi="Times New Roman" w:cs="Times New Roman"/>
          <w:bCs/>
        </w:rPr>
        <w:t>]</w:t>
      </w:r>
      <w:r w:rsidR="00EF7663">
        <w:rPr>
          <w:rFonts w:ascii="Times New Roman" w:hAnsi="Times New Roman" w:cs="Times New Roman"/>
        </w:rPr>
        <w:t xml:space="preserve"> para ubicar cuál o cuáles unidades de aprendizaje </w:t>
      </w:r>
      <w:r w:rsidR="00EF7663">
        <w:rPr>
          <w:rFonts w:ascii="Times New Roman" w:hAnsi="Times New Roman" w:cs="Times New Roman"/>
          <w:bCs/>
        </w:rPr>
        <w:t>están por encima o debajo de este intervalo, porque son los caso en que existe diferencia estadísticamente representativa. De las que estén por encima del intervalo</w:t>
      </w:r>
      <w:r w:rsidR="006172D0">
        <w:rPr>
          <w:rFonts w:ascii="Times New Roman" w:hAnsi="Times New Roman" w:cs="Times New Roman"/>
          <w:bCs/>
        </w:rPr>
        <w:t xml:space="preserve"> se podrá profundizar en la investigación acudiendo a los profesores implicados para que nos </w:t>
      </w:r>
      <w:r w:rsidR="006172D0">
        <w:rPr>
          <w:rFonts w:ascii="Times New Roman" w:hAnsi="Times New Roman" w:cs="Times New Roman"/>
          <w:bCs/>
        </w:rPr>
        <w:lastRenderedPageBreak/>
        <w:t>describan con amplitud las estrategias didácticas implementadas para socializarlas en la pretensión de transformarlas y adoptarlas para implementarlas en otras unidades de aprendizaje en cursos futuros. Las que estén por debajo del intervalo, siguiendo el mismo proceso anterior, solo para desechar las estrategias que no están proporcionando buenos resultados.</w:t>
      </w:r>
    </w:p>
    <w:p w14:paraId="68C430E6" w14:textId="77777777" w:rsidR="00E905FD" w:rsidRDefault="00E905FD" w:rsidP="00404CBD">
      <w:pPr>
        <w:spacing w:line="360" w:lineRule="auto"/>
        <w:rPr>
          <w:rFonts w:ascii="Times New Roman" w:hAnsi="Times New Roman" w:cs="Times New Roman"/>
          <w:bCs/>
          <w:sz w:val="24"/>
          <w:szCs w:val="24"/>
        </w:rPr>
      </w:pPr>
    </w:p>
    <w:tbl>
      <w:tblPr>
        <w:tblStyle w:val="ListTable3Accent6"/>
        <w:tblW w:w="8348" w:type="dxa"/>
        <w:tblLook w:val="04A0" w:firstRow="1" w:lastRow="0" w:firstColumn="1" w:lastColumn="0" w:noHBand="0" w:noVBand="1"/>
      </w:tblPr>
      <w:tblGrid>
        <w:gridCol w:w="3681"/>
        <w:gridCol w:w="595"/>
        <w:gridCol w:w="594"/>
        <w:gridCol w:w="551"/>
        <w:gridCol w:w="594"/>
        <w:gridCol w:w="594"/>
        <w:gridCol w:w="594"/>
        <w:gridCol w:w="551"/>
        <w:gridCol w:w="594"/>
      </w:tblGrid>
      <w:tr w:rsidR="000554FE" w:rsidRPr="00E905FD" w14:paraId="3B632A3F" w14:textId="77777777" w:rsidTr="00691DA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348" w:type="dxa"/>
            <w:gridSpan w:val="9"/>
            <w:tcBorders>
              <w:top w:val="single" w:sz="4" w:space="0" w:color="auto"/>
            </w:tcBorders>
          </w:tcPr>
          <w:p w14:paraId="41AD9664" w14:textId="534C21B3" w:rsidR="000554FE" w:rsidRDefault="000554FE" w:rsidP="000554FE">
            <w:pPr>
              <w:spacing w:line="360" w:lineRule="auto"/>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 </w:t>
            </w:r>
            <w:r>
              <w:rPr>
                <w:rFonts w:ascii="Times New Roman" w:eastAsia="Times New Roman" w:hAnsi="Times New Roman" w:cs="Times New Roman"/>
                <w:color w:val="000000"/>
                <w:sz w:val="20"/>
                <w:szCs w:val="20"/>
                <w:lang w:eastAsia="es-MX"/>
              </w:rPr>
              <w:t>Tabla 8:</w:t>
            </w:r>
          </w:p>
          <w:p w14:paraId="4ECC60B2" w14:textId="5A886526" w:rsidR="000554FE" w:rsidRPr="00E905FD" w:rsidRDefault="000554FE" w:rsidP="000554FE">
            <w:pPr>
              <w:spacing w:line="276" w:lineRule="auto"/>
              <w:jc w:val="center"/>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Evaluación del desempeño docente por unidades de aprendizaje de la cohorte DIA, Periodo 1</w:t>
            </w:r>
            <w:r w:rsidRPr="00E905FD">
              <w:rPr>
                <w:rFonts w:ascii="Times New Roman" w:eastAsia="Times New Roman" w:hAnsi="Times New Roman" w:cs="Times New Roman"/>
                <w:color w:val="000000"/>
                <w:sz w:val="20"/>
                <w:szCs w:val="20"/>
                <w:lang w:eastAsia="es-MX"/>
              </w:rPr>
              <w:t> </w:t>
            </w:r>
          </w:p>
        </w:tc>
      </w:tr>
      <w:tr w:rsidR="000554FE" w:rsidRPr="00E905FD" w14:paraId="1FE0FB48" w14:textId="77777777" w:rsidTr="00691D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vMerge w:val="restart"/>
            <w:tcBorders>
              <w:top w:val="single" w:sz="4" w:space="0" w:color="auto"/>
            </w:tcBorders>
          </w:tcPr>
          <w:p w14:paraId="66588767" w14:textId="486F590E" w:rsidR="000554FE" w:rsidRPr="00E905FD" w:rsidRDefault="000554FE" w:rsidP="000554FE">
            <w:pPr>
              <w:spacing w:line="276" w:lineRule="auto"/>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Unidades de aprendizaje</w:t>
            </w:r>
          </w:p>
        </w:tc>
        <w:tc>
          <w:tcPr>
            <w:tcW w:w="4667" w:type="dxa"/>
            <w:gridSpan w:val="8"/>
            <w:tcBorders>
              <w:top w:val="single" w:sz="4" w:space="0" w:color="auto"/>
            </w:tcBorders>
            <w:noWrap/>
          </w:tcPr>
          <w:p w14:paraId="442AFF91" w14:textId="569F2456"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Categorías analíticas</w:t>
            </w:r>
          </w:p>
        </w:tc>
      </w:tr>
      <w:tr w:rsidR="000554FE" w:rsidRPr="00E905FD" w14:paraId="457C9285" w14:textId="77777777" w:rsidTr="000554FE">
        <w:trPr>
          <w:trHeight w:val="300"/>
        </w:trPr>
        <w:tc>
          <w:tcPr>
            <w:cnfStyle w:val="001000000000" w:firstRow="0" w:lastRow="0" w:firstColumn="1" w:lastColumn="0" w:oddVBand="0" w:evenVBand="0" w:oddHBand="0" w:evenHBand="0" w:firstRowFirstColumn="0" w:firstRowLastColumn="0" w:lastRowFirstColumn="0" w:lastRowLastColumn="0"/>
            <w:tcW w:w="3681" w:type="dxa"/>
            <w:vMerge/>
            <w:hideMark/>
          </w:tcPr>
          <w:p w14:paraId="125212A0" w14:textId="720E9750" w:rsidR="000554FE" w:rsidRPr="00E905FD" w:rsidRDefault="000554FE" w:rsidP="000554FE">
            <w:pPr>
              <w:spacing w:line="276" w:lineRule="auto"/>
              <w:rPr>
                <w:rFonts w:ascii="Times New Roman" w:eastAsia="Times New Roman" w:hAnsi="Times New Roman" w:cs="Times New Roman"/>
                <w:color w:val="000000"/>
                <w:sz w:val="20"/>
                <w:szCs w:val="20"/>
                <w:lang w:eastAsia="es-MX"/>
              </w:rPr>
            </w:pPr>
          </w:p>
        </w:tc>
        <w:tc>
          <w:tcPr>
            <w:tcW w:w="595" w:type="dxa"/>
            <w:tcBorders>
              <w:top w:val="single" w:sz="4" w:space="0" w:color="auto"/>
            </w:tcBorders>
            <w:noWrap/>
          </w:tcPr>
          <w:p w14:paraId="71A1399F" w14:textId="19C42352"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A</w:t>
            </w:r>
          </w:p>
        </w:tc>
        <w:tc>
          <w:tcPr>
            <w:tcW w:w="594" w:type="dxa"/>
            <w:tcBorders>
              <w:top w:val="single" w:sz="4" w:space="0" w:color="auto"/>
            </w:tcBorders>
            <w:noWrap/>
          </w:tcPr>
          <w:p w14:paraId="512C7D20" w14:textId="148BB4DE"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B</w:t>
            </w:r>
          </w:p>
        </w:tc>
        <w:tc>
          <w:tcPr>
            <w:tcW w:w="551" w:type="dxa"/>
            <w:tcBorders>
              <w:top w:val="single" w:sz="4" w:space="0" w:color="auto"/>
            </w:tcBorders>
            <w:noWrap/>
          </w:tcPr>
          <w:p w14:paraId="32C911E9" w14:textId="4EA6655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C</w:t>
            </w:r>
          </w:p>
        </w:tc>
        <w:tc>
          <w:tcPr>
            <w:tcW w:w="594" w:type="dxa"/>
            <w:tcBorders>
              <w:top w:val="single" w:sz="4" w:space="0" w:color="auto"/>
            </w:tcBorders>
            <w:noWrap/>
          </w:tcPr>
          <w:p w14:paraId="66C0F6F4" w14:textId="608A9963"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D</w:t>
            </w:r>
          </w:p>
        </w:tc>
        <w:tc>
          <w:tcPr>
            <w:tcW w:w="594" w:type="dxa"/>
            <w:tcBorders>
              <w:top w:val="single" w:sz="4" w:space="0" w:color="auto"/>
            </w:tcBorders>
            <w:noWrap/>
          </w:tcPr>
          <w:p w14:paraId="13CECA48" w14:textId="402B628D"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E</w:t>
            </w:r>
          </w:p>
        </w:tc>
        <w:tc>
          <w:tcPr>
            <w:tcW w:w="594" w:type="dxa"/>
            <w:tcBorders>
              <w:top w:val="single" w:sz="4" w:space="0" w:color="auto"/>
            </w:tcBorders>
            <w:noWrap/>
          </w:tcPr>
          <w:p w14:paraId="7F32E540" w14:textId="5B70912A"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F</w:t>
            </w:r>
          </w:p>
        </w:tc>
        <w:tc>
          <w:tcPr>
            <w:tcW w:w="551" w:type="dxa"/>
            <w:tcBorders>
              <w:top w:val="single" w:sz="4" w:space="0" w:color="auto"/>
            </w:tcBorders>
            <w:noWrap/>
          </w:tcPr>
          <w:p w14:paraId="5E91B1D3" w14:textId="087DDF3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G</w:t>
            </w:r>
          </w:p>
        </w:tc>
        <w:tc>
          <w:tcPr>
            <w:tcW w:w="594" w:type="dxa"/>
            <w:tcBorders>
              <w:top w:val="single" w:sz="4" w:space="0" w:color="auto"/>
            </w:tcBorders>
            <w:noWrap/>
          </w:tcPr>
          <w:p w14:paraId="165FC2F2" w14:textId="5FE8E41F"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H</w:t>
            </w:r>
          </w:p>
        </w:tc>
      </w:tr>
      <w:tr w:rsidR="000554FE" w:rsidRPr="00E905FD" w14:paraId="3505A18C" w14:textId="77777777" w:rsidTr="00055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uto"/>
            </w:tcBorders>
            <w:hideMark/>
          </w:tcPr>
          <w:p w14:paraId="3BCBF5C8" w14:textId="77777777" w:rsidR="000554FE" w:rsidRPr="00E905FD" w:rsidRDefault="000554FE" w:rsidP="000554FE">
            <w:pPr>
              <w:spacing w:line="276" w:lineRule="auto"/>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Método del Diseño de Interiores</w:t>
            </w:r>
          </w:p>
        </w:tc>
        <w:tc>
          <w:tcPr>
            <w:tcW w:w="595" w:type="dxa"/>
            <w:tcBorders>
              <w:top w:val="single" w:sz="4" w:space="0" w:color="auto"/>
            </w:tcBorders>
            <w:noWrap/>
            <w:hideMark/>
          </w:tcPr>
          <w:p w14:paraId="1AA0BB39"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86</w:t>
            </w:r>
          </w:p>
        </w:tc>
        <w:tc>
          <w:tcPr>
            <w:tcW w:w="594" w:type="dxa"/>
            <w:tcBorders>
              <w:top w:val="single" w:sz="4" w:space="0" w:color="auto"/>
            </w:tcBorders>
            <w:noWrap/>
            <w:hideMark/>
          </w:tcPr>
          <w:p w14:paraId="233B2AB6"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70</w:t>
            </w:r>
          </w:p>
        </w:tc>
        <w:tc>
          <w:tcPr>
            <w:tcW w:w="551" w:type="dxa"/>
            <w:tcBorders>
              <w:top w:val="single" w:sz="4" w:space="0" w:color="auto"/>
            </w:tcBorders>
            <w:noWrap/>
            <w:hideMark/>
          </w:tcPr>
          <w:p w14:paraId="2FE25A04"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88</w:t>
            </w:r>
          </w:p>
        </w:tc>
        <w:tc>
          <w:tcPr>
            <w:tcW w:w="594" w:type="dxa"/>
            <w:tcBorders>
              <w:top w:val="single" w:sz="4" w:space="0" w:color="auto"/>
            </w:tcBorders>
            <w:noWrap/>
            <w:hideMark/>
          </w:tcPr>
          <w:p w14:paraId="19A41363"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88</w:t>
            </w:r>
          </w:p>
        </w:tc>
        <w:tc>
          <w:tcPr>
            <w:tcW w:w="594" w:type="dxa"/>
            <w:tcBorders>
              <w:top w:val="single" w:sz="4" w:space="0" w:color="auto"/>
            </w:tcBorders>
            <w:noWrap/>
            <w:hideMark/>
          </w:tcPr>
          <w:p w14:paraId="46887ED4"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75</w:t>
            </w:r>
          </w:p>
        </w:tc>
        <w:tc>
          <w:tcPr>
            <w:tcW w:w="594" w:type="dxa"/>
            <w:tcBorders>
              <w:top w:val="single" w:sz="4" w:space="0" w:color="auto"/>
            </w:tcBorders>
            <w:noWrap/>
            <w:hideMark/>
          </w:tcPr>
          <w:p w14:paraId="7D7657E3"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79</w:t>
            </w:r>
          </w:p>
        </w:tc>
        <w:tc>
          <w:tcPr>
            <w:tcW w:w="551" w:type="dxa"/>
            <w:tcBorders>
              <w:top w:val="single" w:sz="4" w:space="0" w:color="auto"/>
            </w:tcBorders>
            <w:noWrap/>
            <w:hideMark/>
          </w:tcPr>
          <w:p w14:paraId="4016AD9B"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95</w:t>
            </w:r>
          </w:p>
        </w:tc>
        <w:tc>
          <w:tcPr>
            <w:tcW w:w="594" w:type="dxa"/>
            <w:tcBorders>
              <w:top w:val="single" w:sz="4" w:space="0" w:color="auto"/>
            </w:tcBorders>
            <w:noWrap/>
            <w:hideMark/>
          </w:tcPr>
          <w:p w14:paraId="410EDCD0"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76</w:t>
            </w:r>
          </w:p>
        </w:tc>
      </w:tr>
      <w:tr w:rsidR="000554FE" w:rsidRPr="00E905FD" w14:paraId="564438E7" w14:textId="77777777" w:rsidTr="000554FE">
        <w:trPr>
          <w:trHeight w:val="300"/>
        </w:trPr>
        <w:tc>
          <w:tcPr>
            <w:cnfStyle w:val="001000000000" w:firstRow="0" w:lastRow="0" w:firstColumn="1" w:lastColumn="0" w:oddVBand="0" w:evenVBand="0" w:oddHBand="0" w:evenHBand="0" w:firstRowFirstColumn="0" w:firstRowLastColumn="0" w:lastRowFirstColumn="0" w:lastRowLastColumn="0"/>
            <w:tcW w:w="3681" w:type="dxa"/>
            <w:hideMark/>
          </w:tcPr>
          <w:p w14:paraId="34134137" w14:textId="77777777" w:rsidR="000554FE" w:rsidRPr="00E905FD" w:rsidRDefault="000554FE" w:rsidP="000554FE">
            <w:pPr>
              <w:spacing w:line="276" w:lineRule="auto"/>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Fundamentos Básicos del Diseño</w:t>
            </w:r>
          </w:p>
        </w:tc>
        <w:tc>
          <w:tcPr>
            <w:tcW w:w="595" w:type="dxa"/>
            <w:noWrap/>
            <w:hideMark/>
          </w:tcPr>
          <w:p w14:paraId="61B9AE26"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91</w:t>
            </w:r>
          </w:p>
        </w:tc>
        <w:tc>
          <w:tcPr>
            <w:tcW w:w="594" w:type="dxa"/>
            <w:noWrap/>
            <w:hideMark/>
          </w:tcPr>
          <w:p w14:paraId="2B5AD979"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76</w:t>
            </w:r>
          </w:p>
        </w:tc>
        <w:tc>
          <w:tcPr>
            <w:tcW w:w="551" w:type="dxa"/>
            <w:noWrap/>
            <w:hideMark/>
          </w:tcPr>
          <w:p w14:paraId="5755BF7D"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91</w:t>
            </w:r>
          </w:p>
        </w:tc>
        <w:tc>
          <w:tcPr>
            <w:tcW w:w="594" w:type="dxa"/>
            <w:noWrap/>
            <w:hideMark/>
          </w:tcPr>
          <w:p w14:paraId="0F9FF1A9"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81</w:t>
            </w:r>
          </w:p>
        </w:tc>
        <w:tc>
          <w:tcPr>
            <w:tcW w:w="594" w:type="dxa"/>
            <w:noWrap/>
            <w:hideMark/>
          </w:tcPr>
          <w:p w14:paraId="06068C4E"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87</w:t>
            </w:r>
          </w:p>
        </w:tc>
        <w:tc>
          <w:tcPr>
            <w:tcW w:w="594" w:type="dxa"/>
            <w:noWrap/>
            <w:hideMark/>
          </w:tcPr>
          <w:p w14:paraId="444150BF"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81</w:t>
            </w:r>
          </w:p>
        </w:tc>
        <w:tc>
          <w:tcPr>
            <w:tcW w:w="551" w:type="dxa"/>
            <w:noWrap/>
            <w:hideMark/>
          </w:tcPr>
          <w:p w14:paraId="18C38302"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87</w:t>
            </w:r>
          </w:p>
        </w:tc>
        <w:tc>
          <w:tcPr>
            <w:tcW w:w="594" w:type="dxa"/>
            <w:noWrap/>
            <w:hideMark/>
          </w:tcPr>
          <w:p w14:paraId="1F85B27A"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70</w:t>
            </w:r>
          </w:p>
        </w:tc>
      </w:tr>
      <w:tr w:rsidR="000554FE" w:rsidRPr="00E905FD" w14:paraId="56F5219B" w14:textId="77777777" w:rsidTr="00055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hideMark/>
          </w:tcPr>
          <w:p w14:paraId="1247D96D" w14:textId="77777777" w:rsidR="000554FE" w:rsidRPr="00E905FD" w:rsidRDefault="000554FE" w:rsidP="000554FE">
            <w:pPr>
              <w:spacing w:line="276" w:lineRule="auto"/>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Medios de Representación en el Plano</w:t>
            </w:r>
          </w:p>
        </w:tc>
        <w:tc>
          <w:tcPr>
            <w:tcW w:w="595" w:type="dxa"/>
            <w:noWrap/>
            <w:hideMark/>
          </w:tcPr>
          <w:p w14:paraId="696CE677"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s-MX"/>
              </w:rPr>
            </w:pPr>
            <w:r w:rsidRPr="00E905FD">
              <w:rPr>
                <w:rFonts w:ascii="Times New Roman" w:eastAsia="Times New Roman" w:hAnsi="Times New Roman" w:cs="Times New Roman"/>
                <w:b/>
                <w:bCs/>
                <w:color w:val="000000"/>
                <w:sz w:val="20"/>
                <w:szCs w:val="20"/>
                <w:lang w:eastAsia="es-MX"/>
              </w:rPr>
              <w:t>68</w:t>
            </w:r>
          </w:p>
        </w:tc>
        <w:tc>
          <w:tcPr>
            <w:tcW w:w="594" w:type="dxa"/>
            <w:noWrap/>
            <w:hideMark/>
          </w:tcPr>
          <w:p w14:paraId="11D24218"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62</w:t>
            </w:r>
          </w:p>
        </w:tc>
        <w:tc>
          <w:tcPr>
            <w:tcW w:w="551" w:type="dxa"/>
            <w:noWrap/>
            <w:hideMark/>
          </w:tcPr>
          <w:p w14:paraId="4A3E448C"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s-MX"/>
              </w:rPr>
            </w:pPr>
            <w:r w:rsidRPr="00E905FD">
              <w:rPr>
                <w:rFonts w:ascii="Times New Roman" w:eastAsia="Times New Roman" w:hAnsi="Times New Roman" w:cs="Times New Roman"/>
                <w:b/>
                <w:bCs/>
                <w:color w:val="000000"/>
                <w:sz w:val="20"/>
                <w:szCs w:val="20"/>
                <w:lang w:eastAsia="es-MX"/>
              </w:rPr>
              <w:t>81</w:t>
            </w:r>
          </w:p>
        </w:tc>
        <w:tc>
          <w:tcPr>
            <w:tcW w:w="594" w:type="dxa"/>
            <w:noWrap/>
            <w:hideMark/>
          </w:tcPr>
          <w:p w14:paraId="51D880AE"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s-MX"/>
              </w:rPr>
            </w:pPr>
            <w:r w:rsidRPr="00E905FD">
              <w:rPr>
                <w:rFonts w:ascii="Times New Roman" w:eastAsia="Times New Roman" w:hAnsi="Times New Roman" w:cs="Times New Roman"/>
                <w:b/>
                <w:bCs/>
                <w:color w:val="000000"/>
                <w:sz w:val="20"/>
                <w:szCs w:val="20"/>
                <w:lang w:eastAsia="es-MX"/>
              </w:rPr>
              <w:t>62</w:t>
            </w:r>
          </w:p>
        </w:tc>
        <w:tc>
          <w:tcPr>
            <w:tcW w:w="594" w:type="dxa"/>
            <w:noWrap/>
            <w:hideMark/>
          </w:tcPr>
          <w:p w14:paraId="79CD7A89"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s-MX"/>
              </w:rPr>
            </w:pPr>
            <w:r w:rsidRPr="00E905FD">
              <w:rPr>
                <w:rFonts w:ascii="Times New Roman" w:eastAsia="Times New Roman" w:hAnsi="Times New Roman" w:cs="Times New Roman"/>
                <w:b/>
                <w:bCs/>
                <w:color w:val="000000"/>
                <w:sz w:val="20"/>
                <w:szCs w:val="20"/>
                <w:lang w:eastAsia="es-MX"/>
              </w:rPr>
              <w:t>51</w:t>
            </w:r>
          </w:p>
        </w:tc>
        <w:tc>
          <w:tcPr>
            <w:tcW w:w="594" w:type="dxa"/>
            <w:noWrap/>
            <w:hideMark/>
          </w:tcPr>
          <w:p w14:paraId="5AE2C61D"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s-MX"/>
              </w:rPr>
            </w:pPr>
            <w:r w:rsidRPr="00E905FD">
              <w:rPr>
                <w:rFonts w:ascii="Times New Roman" w:eastAsia="Times New Roman" w:hAnsi="Times New Roman" w:cs="Times New Roman"/>
                <w:b/>
                <w:bCs/>
                <w:color w:val="000000"/>
                <w:sz w:val="20"/>
                <w:szCs w:val="20"/>
                <w:lang w:eastAsia="es-MX"/>
              </w:rPr>
              <w:t>17</w:t>
            </w:r>
          </w:p>
        </w:tc>
        <w:tc>
          <w:tcPr>
            <w:tcW w:w="551" w:type="dxa"/>
            <w:noWrap/>
            <w:hideMark/>
          </w:tcPr>
          <w:p w14:paraId="48D7398D"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s-MX"/>
              </w:rPr>
            </w:pPr>
            <w:r w:rsidRPr="00E905FD">
              <w:rPr>
                <w:rFonts w:ascii="Times New Roman" w:eastAsia="Times New Roman" w:hAnsi="Times New Roman" w:cs="Times New Roman"/>
                <w:b/>
                <w:bCs/>
                <w:color w:val="000000"/>
                <w:sz w:val="20"/>
                <w:szCs w:val="20"/>
                <w:lang w:eastAsia="es-MX"/>
              </w:rPr>
              <w:t>75</w:t>
            </w:r>
          </w:p>
        </w:tc>
        <w:tc>
          <w:tcPr>
            <w:tcW w:w="594" w:type="dxa"/>
            <w:noWrap/>
            <w:hideMark/>
          </w:tcPr>
          <w:p w14:paraId="03C7A919"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s-MX"/>
              </w:rPr>
            </w:pPr>
            <w:r w:rsidRPr="00E905FD">
              <w:rPr>
                <w:rFonts w:ascii="Times New Roman" w:eastAsia="Times New Roman" w:hAnsi="Times New Roman" w:cs="Times New Roman"/>
                <w:b/>
                <w:bCs/>
                <w:color w:val="000000"/>
                <w:sz w:val="20"/>
                <w:szCs w:val="20"/>
                <w:lang w:eastAsia="es-MX"/>
              </w:rPr>
              <w:t>8</w:t>
            </w:r>
          </w:p>
        </w:tc>
      </w:tr>
      <w:tr w:rsidR="000554FE" w:rsidRPr="00E905FD" w14:paraId="3746D8E9" w14:textId="77777777" w:rsidTr="000554FE">
        <w:trPr>
          <w:trHeight w:val="30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79646" w:themeColor="accent6"/>
              <w:bottom w:val="single" w:sz="4" w:space="0" w:color="auto"/>
            </w:tcBorders>
            <w:hideMark/>
          </w:tcPr>
          <w:p w14:paraId="1517090F" w14:textId="77777777" w:rsidR="000554FE" w:rsidRPr="00E905FD" w:rsidRDefault="000554FE" w:rsidP="000554FE">
            <w:pPr>
              <w:spacing w:line="276" w:lineRule="auto"/>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Técnicas de Representación Básica</w:t>
            </w:r>
          </w:p>
        </w:tc>
        <w:tc>
          <w:tcPr>
            <w:tcW w:w="595" w:type="dxa"/>
            <w:tcBorders>
              <w:top w:val="single" w:sz="4" w:space="0" w:color="F79646" w:themeColor="accent6"/>
              <w:bottom w:val="single" w:sz="4" w:space="0" w:color="auto"/>
            </w:tcBorders>
            <w:noWrap/>
            <w:hideMark/>
          </w:tcPr>
          <w:p w14:paraId="2FC33E72"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94</w:t>
            </w:r>
          </w:p>
        </w:tc>
        <w:tc>
          <w:tcPr>
            <w:tcW w:w="594" w:type="dxa"/>
            <w:tcBorders>
              <w:top w:val="single" w:sz="4" w:space="0" w:color="F79646" w:themeColor="accent6"/>
              <w:bottom w:val="single" w:sz="4" w:space="0" w:color="auto"/>
            </w:tcBorders>
            <w:noWrap/>
            <w:hideMark/>
          </w:tcPr>
          <w:p w14:paraId="703F6584"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MX"/>
              </w:rPr>
            </w:pPr>
            <w:r w:rsidRPr="00E905FD">
              <w:rPr>
                <w:rFonts w:ascii="Times New Roman" w:eastAsia="Times New Roman" w:hAnsi="Times New Roman" w:cs="Times New Roman"/>
                <w:b/>
                <w:bCs/>
                <w:color w:val="000000"/>
                <w:sz w:val="20"/>
                <w:szCs w:val="20"/>
                <w:lang w:eastAsia="es-MX"/>
              </w:rPr>
              <w:t>93</w:t>
            </w:r>
          </w:p>
        </w:tc>
        <w:tc>
          <w:tcPr>
            <w:tcW w:w="551" w:type="dxa"/>
            <w:tcBorders>
              <w:top w:val="single" w:sz="4" w:space="0" w:color="F79646" w:themeColor="accent6"/>
              <w:bottom w:val="single" w:sz="4" w:space="0" w:color="auto"/>
            </w:tcBorders>
            <w:noWrap/>
            <w:hideMark/>
          </w:tcPr>
          <w:p w14:paraId="4B266B71"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95</w:t>
            </w:r>
          </w:p>
        </w:tc>
        <w:tc>
          <w:tcPr>
            <w:tcW w:w="594" w:type="dxa"/>
            <w:tcBorders>
              <w:top w:val="single" w:sz="4" w:space="0" w:color="F79646" w:themeColor="accent6"/>
              <w:bottom w:val="single" w:sz="4" w:space="0" w:color="auto"/>
            </w:tcBorders>
            <w:noWrap/>
            <w:hideMark/>
          </w:tcPr>
          <w:p w14:paraId="1BF4BCDF"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95</w:t>
            </w:r>
          </w:p>
        </w:tc>
        <w:tc>
          <w:tcPr>
            <w:tcW w:w="594" w:type="dxa"/>
            <w:tcBorders>
              <w:top w:val="single" w:sz="4" w:space="0" w:color="F79646" w:themeColor="accent6"/>
              <w:bottom w:val="single" w:sz="4" w:space="0" w:color="auto"/>
            </w:tcBorders>
            <w:noWrap/>
            <w:hideMark/>
          </w:tcPr>
          <w:p w14:paraId="16FE834B"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93</w:t>
            </w:r>
          </w:p>
        </w:tc>
        <w:tc>
          <w:tcPr>
            <w:tcW w:w="594" w:type="dxa"/>
            <w:tcBorders>
              <w:top w:val="single" w:sz="4" w:space="0" w:color="F79646" w:themeColor="accent6"/>
              <w:bottom w:val="single" w:sz="4" w:space="0" w:color="auto"/>
            </w:tcBorders>
            <w:noWrap/>
            <w:hideMark/>
          </w:tcPr>
          <w:p w14:paraId="3CFF8447"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91</w:t>
            </w:r>
          </w:p>
        </w:tc>
        <w:tc>
          <w:tcPr>
            <w:tcW w:w="551" w:type="dxa"/>
            <w:tcBorders>
              <w:top w:val="single" w:sz="4" w:space="0" w:color="F79646" w:themeColor="accent6"/>
              <w:bottom w:val="single" w:sz="4" w:space="0" w:color="auto"/>
            </w:tcBorders>
            <w:noWrap/>
            <w:hideMark/>
          </w:tcPr>
          <w:p w14:paraId="31825BD4"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92</w:t>
            </w:r>
          </w:p>
        </w:tc>
        <w:tc>
          <w:tcPr>
            <w:tcW w:w="594" w:type="dxa"/>
            <w:tcBorders>
              <w:top w:val="single" w:sz="4" w:space="0" w:color="F79646" w:themeColor="accent6"/>
              <w:bottom w:val="single" w:sz="4" w:space="0" w:color="auto"/>
            </w:tcBorders>
            <w:noWrap/>
            <w:hideMark/>
          </w:tcPr>
          <w:p w14:paraId="7109AB28"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88</w:t>
            </w:r>
          </w:p>
        </w:tc>
      </w:tr>
      <w:tr w:rsidR="000554FE" w:rsidRPr="00E905FD" w14:paraId="593EFFC8" w14:textId="77777777" w:rsidTr="000554F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auto"/>
            </w:tcBorders>
            <w:hideMark/>
          </w:tcPr>
          <w:p w14:paraId="33FC3152" w14:textId="77777777" w:rsidR="000554FE" w:rsidRPr="00E905FD" w:rsidRDefault="000554FE" w:rsidP="000554FE">
            <w:pPr>
              <w:spacing w:line="276" w:lineRule="auto"/>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Media aritmética</w:t>
            </w:r>
          </w:p>
        </w:tc>
        <w:tc>
          <w:tcPr>
            <w:tcW w:w="595" w:type="dxa"/>
            <w:tcBorders>
              <w:top w:val="single" w:sz="4" w:space="0" w:color="auto"/>
            </w:tcBorders>
            <w:noWrap/>
            <w:hideMark/>
          </w:tcPr>
          <w:p w14:paraId="6CFCE5FC"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85</w:t>
            </w:r>
          </w:p>
        </w:tc>
        <w:tc>
          <w:tcPr>
            <w:tcW w:w="594" w:type="dxa"/>
            <w:tcBorders>
              <w:top w:val="single" w:sz="4" w:space="0" w:color="auto"/>
            </w:tcBorders>
            <w:noWrap/>
            <w:hideMark/>
          </w:tcPr>
          <w:p w14:paraId="3D0FF486"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75</w:t>
            </w:r>
          </w:p>
        </w:tc>
        <w:tc>
          <w:tcPr>
            <w:tcW w:w="551" w:type="dxa"/>
            <w:tcBorders>
              <w:top w:val="single" w:sz="4" w:space="0" w:color="auto"/>
            </w:tcBorders>
            <w:noWrap/>
            <w:hideMark/>
          </w:tcPr>
          <w:p w14:paraId="28249BD0"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89</w:t>
            </w:r>
          </w:p>
        </w:tc>
        <w:tc>
          <w:tcPr>
            <w:tcW w:w="594" w:type="dxa"/>
            <w:tcBorders>
              <w:top w:val="single" w:sz="4" w:space="0" w:color="auto"/>
            </w:tcBorders>
            <w:noWrap/>
            <w:hideMark/>
          </w:tcPr>
          <w:p w14:paraId="1F7A39F4"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82</w:t>
            </w:r>
          </w:p>
        </w:tc>
        <w:tc>
          <w:tcPr>
            <w:tcW w:w="594" w:type="dxa"/>
            <w:tcBorders>
              <w:top w:val="single" w:sz="4" w:space="0" w:color="auto"/>
            </w:tcBorders>
            <w:noWrap/>
            <w:hideMark/>
          </w:tcPr>
          <w:p w14:paraId="2F0E12BE"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76</w:t>
            </w:r>
          </w:p>
        </w:tc>
        <w:tc>
          <w:tcPr>
            <w:tcW w:w="594" w:type="dxa"/>
            <w:tcBorders>
              <w:top w:val="single" w:sz="4" w:space="0" w:color="auto"/>
            </w:tcBorders>
            <w:noWrap/>
            <w:hideMark/>
          </w:tcPr>
          <w:p w14:paraId="49F1D957"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67</w:t>
            </w:r>
          </w:p>
        </w:tc>
        <w:tc>
          <w:tcPr>
            <w:tcW w:w="551" w:type="dxa"/>
            <w:tcBorders>
              <w:top w:val="single" w:sz="4" w:space="0" w:color="auto"/>
            </w:tcBorders>
            <w:noWrap/>
            <w:hideMark/>
          </w:tcPr>
          <w:p w14:paraId="5E2BC209"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87</w:t>
            </w:r>
          </w:p>
        </w:tc>
        <w:tc>
          <w:tcPr>
            <w:tcW w:w="594" w:type="dxa"/>
            <w:tcBorders>
              <w:top w:val="single" w:sz="4" w:space="0" w:color="auto"/>
            </w:tcBorders>
            <w:noWrap/>
            <w:hideMark/>
          </w:tcPr>
          <w:p w14:paraId="4FBFAE88" w14:textId="77777777" w:rsidR="000554FE" w:rsidRPr="00E905FD" w:rsidRDefault="000554FE" w:rsidP="000554FE">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61</w:t>
            </w:r>
          </w:p>
        </w:tc>
      </w:tr>
      <w:tr w:rsidR="000554FE" w:rsidRPr="00E905FD" w14:paraId="2C792C8F" w14:textId="77777777" w:rsidTr="000554FE">
        <w:trPr>
          <w:trHeight w:val="300"/>
        </w:trPr>
        <w:tc>
          <w:tcPr>
            <w:cnfStyle w:val="001000000000" w:firstRow="0" w:lastRow="0" w:firstColumn="1" w:lastColumn="0" w:oddVBand="0" w:evenVBand="0" w:oddHBand="0" w:evenHBand="0" w:firstRowFirstColumn="0" w:firstRowLastColumn="0" w:lastRowFirstColumn="0" w:lastRowLastColumn="0"/>
            <w:tcW w:w="3681" w:type="dxa"/>
            <w:tcBorders>
              <w:top w:val="single" w:sz="4" w:space="0" w:color="F79646" w:themeColor="accent6"/>
              <w:bottom w:val="single" w:sz="4" w:space="0" w:color="auto"/>
            </w:tcBorders>
            <w:hideMark/>
          </w:tcPr>
          <w:p w14:paraId="60E770FF" w14:textId="77777777" w:rsidR="000554FE" w:rsidRPr="00E905FD" w:rsidRDefault="000554FE" w:rsidP="000554FE">
            <w:pPr>
              <w:spacing w:line="276" w:lineRule="auto"/>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desviación estándar</w:t>
            </w:r>
          </w:p>
        </w:tc>
        <w:tc>
          <w:tcPr>
            <w:tcW w:w="595" w:type="dxa"/>
            <w:tcBorders>
              <w:top w:val="single" w:sz="4" w:space="0" w:color="F79646" w:themeColor="accent6"/>
              <w:bottom w:val="single" w:sz="4" w:space="0" w:color="auto"/>
            </w:tcBorders>
            <w:noWrap/>
            <w:hideMark/>
          </w:tcPr>
          <w:p w14:paraId="29E6E292"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11.4</w:t>
            </w:r>
          </w:p>
        </w:tc>
        <w:tc>
          <w:tcPr>
            <w:tcW w:w="594" w:type="dxa"/>
            <w:tcBorders>
              <w:top w:val="single" w:sz="4" w:space="0" w:color="F79646" w:themeColor="accent6"/>
              <w:bottom w:val="single" w:sz="4" w:space="0" w:color="auto"/>
            </w:tcBorders>
            <w:noWrap/>
            <w:hideMark/>
          </w:tcPr>
          <w:p w14:paraId="198EBF27"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13.1</w:t>
            </w:r>
          </w:p>
        </w:tc>
        <w:tc>
          <w:tcPr>
            <w:tcW w:w="551" w:type="dxa"/>
            <w:tcBorders>
              <w:top w:val="single" w:sz="4" w:space="0" w:color="F79646" w:themeColor="accent6"/>
              <w:bottom w:val="single" w:sz="4" w:space="0" w:color="auto"/>
            </w:tcBorders>
            <w:noWrap/>
            <w:hideMark/>
          </w:tcPr>
          <w:p w14:paraId="1447F2EB"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5.9</w:t>
            </w:r>
          </w:p>
        </w:tc>
        <w:tc>
          <w:tcPr>
            <w:tcW w:w="594" w:type="dxa"/>
            <w:tcBorders>
              <w:top w:val="single" w:sz="4" w:space="0" w:color="F79646" w:themeColor="accent6"/>
              <w:bottom w:val="single" w:sz="4" w:space="0" w:color="auto"/>
            </w:tcBorders>
            <w:noWrap/>
            <w:hideMark/>
          </w:tcPr>
          <w:p w14:paraId="273EDA3E"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14.2</w:t>
            </w:r>
          </w:p>
        </w:tc>
        <w:tc>
          <w:tcPr>
            <w:tcW w:w="594" w:type="dxa"/>
            <w:tcBorders>
              <w:top w:val="single" w:sz="4" w:space="0" w:color="F79646" w:themeColor="accent6"/>
              <w:bottom w:val="single" w:sz="4" w:space="0" w:color="auto"/>
            </w:tcBorders>
            <w:noWrap/>
            <w:hideMark/>
          </w:tcPr>
          <w:p w14:paraId="31475132"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18.6</w:t>
            </w:r>
          </w:p>
        </w:tc>
        <w:tc>
          <w:tcPr>
            <w:tcW w:w="594" w:type="dxa"/>
            <w:tcBorders>
              <w:top w:val="single" w:sz="4" w:space="0" w:color="F79646" w:themeColor="accent6"/>
              <w:bottom w:val="single" w:sz="4" w:space="0" w:color="auto"/>
            </w:tcBorders>
            <w:noWrap/>
            <w:hideMark/>
          </w:tcPr>
          <w:p w14:paraId="1802A862"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34.1</w:t>
            </w:r>
          </w:p>
        </w:tc>
        <w:tc>
          <w:tcPr>
            <w:tcW w:w="551" w:type="dxa"/>
            <w:tcBorders>
              <w:top w:val="single" w:sz="4" w:space="0" w:color="F79646" w:themeColor="accent6"/>
              <w:bottom w:val="single" w:sz="4" w:space="0" w:color="auto"/>
            </w:tcBorders>
            <w:noWrap/>
            <w:hideMark/>
          </w:tcPr>
          <w:p w14:paraId="39027A70"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8.5</w:t>
            </w:r>
          </w:p>
        </w:tc>
        <w:tc>
          <w:tcPr>
            <w:tcW w:w="594" w:type="dxa"/>
            <w:tcBorders>
              <w:top w:val="single" w:sz="4" w:space="0" w:color="F79646" w:themeColor="accent6"/>
              <w:bottom w:val="single" w:sz="4" w:space="0" w:color="auto"/>
            </w:tcBorders>
            <w:noWrap/>
            <w:hideMark/>
          </w:tcPr>
          <w:p w14:paraId="2F1FF56D" w14:textId="77777777" w:rsidR="000554FE" w:rsidRPr="00E905FD" w:rsidRDefault="000554FE" w:rsidP="000554FE">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E905FD">
              <w:rPr>
                <w:rFonts w:ascii="Times New Roman" w:eastAsia="Times New Roman" w:hAnsi="Times New Roman" w:cs="Times New Roman"/>
                <w:color w:val="000000"/>
                <w:sz w:val="20"/>
                <w:szCs w:val="20"/>
                <w:lang w:eastAsia="es-MX"/>
              </w:rPr>
              <w:t>35.9</w:t>
            </w:r>
          </w:p>
        </w:tc>
      </w:tr>
    </w:tbl>
    <w:p w14:paraId="4994D77F" w14:textId="77777777" w:rsidR="00E905FD" w:rsidRDefault="00E905FD" w:rsidP="00404CBD">
      <w:pPr>
        <w:spacing w:line="360" w:lineRule="auto"/>
        <w:rPr>
          <w:rFonts w:ascii="Times New Roman" w:hAnsi="Times New Roman" w:cs="Times New Roman"/>
          <w:bCs/>
          <w:sz w:val="24"/>
          <w:szCs w:val="24"/>
        </w:rPr>
      </w:pPr>
    </w:p>
    <w:p w14:paraId="1A001ADB" w14:textId="2612BFD2" w:rsidR="006172D0" w:rsidRDefault="006172D0"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Con los datos que se muestran en la Tabla 8 y siguiendo el procedimiento descrito en el párrafo anterior se obtiene </w:t>
      </w:r>
      <w:r w:rsidR="00E922F4">
        <w:rPr>
          <w:rFonts w:ascii="Times New Roman" w:hAnsi="Times New Roman" w:cs="Times New Roman"/>
          <w:bCs/>
          <w:sz w:val="24"/>
          <w:szCs w:val="24"/>
        </w:rPr>
        <w:t>e</w:t>
      </w:r>
      <w:r>
        <w:rPr>
          <w:rFonts w:ascii="Times New Roman" w:hAnsi="Times New Roman" w:cs="Times New Roman"/>
          <w:bCs/>
          <w:sz w:val="24"/>
          <w:szCs w:val="24"/>
        </w:rPr>
        <w:t xml:space="preserve">l intervalo de confianza [61, 95]. </w:t>
      </w:r>
      <w:r w:rsidR="00E922F4">
        <w:rPr>
          <w:rFonts w:ascii="Times New Roman" w:hAnsi="Times New Roman" w:cs="Times New Roman"/>
          <w:bCs/>
          <w:sz w:val="24"/>
          <w:szCs w:val="24"/>
        </w:rPr>
        <w:t>Ninguna de las unidades de aprendizaje tiene una media aritmética cuyo valor esté por encima de este intervalo. Se encuentra que la media aritmética del desempeño docente en Medios de Representación en el Plano es 53 puntos en la escala del 1 al 100, lo que indica la necesidad de no replicar las mismas estrategias en futuros cursos, por el contrario, se requiere innovar implementando otras estrategias didácticas, cambiando actitudes y comportamientos</w:t>
      </w:r>
      <w:r w:rsidR="00B8011E">
        <w:rPr>
          <w:rFonts w:ascii="Times New Roman" w:hAnsi="Times New Roman" w:cs="Times New Roman"/>
          <w:bCs/>
          <w:sz w:val="24"/>
          <w:szCs w:val="24"/>
        </w:rPr>
        <w:t xml:space="preserve">, respecto a los implementados en este curso, al momento de impartir cursos futuros. En otras palabras, se deben desechar las estrategias que no están siendo bien recibidas por los alumnos, es la mejor manera de garantizar que se brinda una educación de calidad y que los procesos educativos están centrados en el alumno y en el aprendizaje. Es así como se demuestra que los profesores aprendemos de nuestras experiencias las cuales se van acumulando para lograr cada vez mayores niveles de profesionalización en la carrera docente. </w:t>
      </w:r>
    </w:p>
    <w:p w14:paraId="08715F7F" w14:textId="77777777" w:rsidR="002363C6" w:rsidRDefault="002363C6" w:rsidP="002363C6">
      <w:pPr>
        <w:spacing w:line="360" w:lineRule="auto"/>
        <w:jc w:val="both"/>
        <w:rPr>
          <w:rFonts w:ascii="Times New Roman" w:hAnsi="Times New Roman" w:cs="Times New Roman"/>
          <w:bCs/>
          <w:sz w:val="24"/>
          <w:szCs w:val="24"/>
        </w:rPr>
      </w:pPr>
    </w:p>
    <w:p w14:paraId="3855A9BD" w14:textId="673BBB17" w:rsidR="00B8011E" w:rsidRPr="00503D17" w:rsidRDefault="006712EE" w:rsidP="002363C6">
      <w:pPr>
        <w:pStyle w:val="Prrafodelista"/>
        <w:numPr>
          <w:ilvl w:val="0"/>
          <w:numId w:val="6"/>
        </w:numPr>
        <w:spacing w:line="360" w:lineRule="auto"/>
        <w:jc w:val="both"/>
        <w:rPr>
          <w:rFonts w:ascii="Times New Roman" w:hAnsi="Times New Roman" w:cs="Times New Roman"/>
          <w:b/>
          <w:bCs/>
          <w:sz w:val="24"/>
          <w:szCs w:val="24"/>
        </w:rPr>
      </w:pPr>
      <w:r w:rsidRPr="00503D17">
        <w:rPr>
          <w:rFonts w:ascii="Times New Roman" w:hAnsi="Times New Roman" w:cs="Times New Roman"/>
          <w:b/>
          <w:bCs/>
          <w:sz w:val="24"/>
          <w:szCs w:val="24"/>
        </w:rPr>
        <w:lastRenderedPageBreak/>
        <w:t>Análisis por categorías</w:t>
      </w:r>
      <w:r w:rsidR="00165FCF" w:rsidRPr="00503D17">
        <w:rPr>
          <w:rFonts w:ascii="Times New Roman" w:hAnsi="Times New Roman" w:cs="Times New Roman"/>
          <w:b/>
          <w:sz w:val="24"/>
          <w:szCs w:val="24"/>
        </w:rPr>
        <w:t xml:space="preserve"> cohorte DIA: Periodo 1</w:t>
      </w:r>
    </w:p>
    <w:p w14:paraId="68644C5D" w14:textId="648BB192" w:rsidR="00545274" w:rsidRDefault="007178F4" w:rsidP="002363C6">
      <w:pPr>
        <w:spacing w:line="360" w:lineRule="auto"/>
        <w:jc w:val="both"/>
        <w:rPr>
          <w:rFonts w:ascii="Times New Roman" w:eastAsia="Times New Roman" w:hAnsi="Times New Roman" w:cs="Times New Roman"/>
          <w:color w:val="000000"/>
          <w:sz w:val="24"/>
          <w:szCs w:val="24"/>
          <w:lang w:eastAsia="es-MX"/>
        </w:rPr>
      </w:pPr>
      <w:r>
        <w:rPr>
          <w:rFonts w:ascii="Times New Roman" w:hAnsi="Times New Roman" w:cs="Times New Roman"/>
          <w:bCs/>
          <w:sz w:val="24"/>
          <w:szCs w:val="24"/>
        </w:rPr>
        <w:t>Considerando la media aritmética de cada categoría de la Tabla 8, se obtiene que el intervalo de confianza es [</w:t>
      </w:r>
      <w:r w:rsidRPr="00261657">
        <w:rPr>
          <w:rFonts w:ascii="Arial" w:hAnsi="Arial" w:cs="Arial"/>
          <w:position w:val="-10"/>
        </w:rPr>
        <w:object w:dxaOrig="700" w:dyaOrig="320" w14:anchorId="32AFD965">
          <v:shape id="_x0000_i1042" type="#_x0000_t75" style="width:34.5pt;height:15.75pt" o:ole="">
            <v:imagedata r:id="rId14" o:title=""/>
          </v:shape>
          <o:OLEObject Type="Embed" ProgID="Equation.3" ShapeID="_x0000_i1042" DrawAspect="Content" ObjectID="_1530953741" r:id="rId30"/>
        </w:object>
      </w:r>
      <w:r>
        <w:rPr>
          <w:rFonts w:ascii="Times New Roman" w:hAnsi="Times New Roman" w:cs="Times New Roman"/>
          <w:bCs/>
          <w:sz w:val="24"/>
          <w:szCs w:val="24"/>
        </w:rPr>
        <w:t>] = [68,</w:t>
      </w:r>
      <w:r>
        <w:rPr>
          <w:rFonts w:ascii="Arial" w:hAnsi="Arial" w:cs="Arial"/>
        </w:rPr>
        <w:t xml:space="preserve"> 8</w:t>
      </w:r>
      <w:r w:rsidR="000554FE">
        <w:rPr>
          <w:rFonts w:ascii="Arial" w:hAnsi="Arial" w:cs="Arial"/>
        </w:rPr>
        <w:t>8</w:t>
      </w:r>
      <w:r>
        <w:rPr>
          <w:rFonts w:ascii="Times New Roman" w:hAnsi="Times New Roman" w:cs="Times New Roman"/>
          <w:bCs/>
          <w:sz w:val="24"/>
          <w:szCs w:val="24"/>
        </w:rPr>
        <w:t xml:space="preserve">]. </w:t>
      </w:r>
      <w:r w:rsidR="00545274">
        <w:rPr>
          <w:rFonts w:ascii="Times New Roman" w:hAnsi="Times New Roman" w:cs="Times New Roman"/>
          <w:bCs/>
          <w:sz w:val="24"/>
          <w:szCs w:val="24"/>
        </w:rPr>
        <w:t xml:space="preserve">De acuerdo con esto la categoría que se encuentra por encima de este intervalo es </w:t>
      </w:r>
      <w:r w:rsidR="00545274" w:rsidRPr="00545274">
        <w:rPr>
          <w:rFonts w:ascii="Times New Roman" w:eastAsia="Times New Roman" w:hAnsi="Times New Roman" w:cs="Times New Roman"/>
          <w:i/>
          <w:color w:val="000000"/>
          <w:sz w:val="24"/>
          <w:szCs w:val="24"/>
          <w:lang w:eastAsia="es-MX"/>
        </w:rPr>
        <w:t>Manejo de contenidos</w:t>
      </w:r>
      <w:r w:rsidR="00545274" w:rsidRPr="001C6EBA">
        <w:rPr>
          <w:rFonts w:ascii="Times New Roman" w:eastAsia="Times New Roman" w:hAnsi="Times New Roman" w:cs="Times New Roman"/>
          <w:color w:val="000000"/>
          <w:sz w:val="24"/>
          <w:szCs w:val="24"/>
          <w:lang w:eastAsia="es-MX"/>
        </w:rPr>
        <w:t xml:space="preserve"> </w:t>
      </w:r>
      <w:r w:rsidR="00545274">
        <w:rPr>
          <w:rFonts w:ascii="Times New Roman" w:eastAsia="Times New Roman" w:hAnsi="Times New Roman" w:cs="Times New Roman"/>
          <w:color w:val="000000"/>
          <w:sz w:val="24"/>
          <w:szCs w:val="24"/>
          <w:lang w:eastAsia="es-MX"/>
        </w:rPr>
        <w:t>(C = 89), lo que indica que los alumnos perciben a los profesores con elevado nivel de conocimiento. En el proceso educativo esto es un elemento muy importante, hay un dicho popular que dice –nadie puede dar lo que no tiene-, traducido al desempeño docente –ningún maestro puede enseñar lo que no sabe-, en este caso se reconoce que, los maestros que participaron en la impartición de los cursos de las unidades de aprendizaje mostradas en la Tabla 8, tienen elevado dominio del contenido temático</w:t>
      </w:r>
      <w:r w:rsidR="00B86035">
        <w:rPr>
          <w:rFonts w:ascii="Times New Roman" w:eastAsia="Times New Roman" w:hAnsi="Times New Roman" w:cs="Times New Roman"/>
          <w:color w:val="000000"/>
          <w:sz w:val="24"/>
          <w:szCs w:val="24"/>
          <w:lang w:eastAsia="es-MX"/>
        </w:rPr>
        <w:t xml:space="preserve">, que está actualizado y aclara dudas de los alumnos. </w:t>
      </w:r>
    </w:p>
    <w:p w14:paraId="255B6D40" w14:textId="1D1A9D21" w:rsidR="00416E7A" w:rsidRDefault="00B86035" w:rsidP="002363C6">
      <w:pPr>
        <w:spacing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Las categorías del desempeño docente cuya valoración se encuentra por debajo del intervalo de confianza son: </w:t>
      </w:r>
      <w:r w:rsidRPr="00B86035">
        <w:rPr>
          <w:rFonts w:ascii="Times New Roman" w:eastAsia="Times New Roman" w:hAnsi="Times New Roman" w:cs="Times New Roman"/>
          <w:i/>
          <w:color w:val="000000"/>
          <w:sz w:val="24"/>
          <w:szCs w:val="24"/>
          <w:lang w:eastAsia="es-MX"/>
        </w:rPr>
        <w:t>Estrategias para el aprendizaje</w:t>
      </w:r>
      <w:r>
        <w:rPr>
          <w:rFonts w:ascii="Times New Roman" w:eastAsia="Times New Roman" w:hAnsi="Times New Roman" w:cs="Times New Roman"/>
          <w:color w:val="000000"/>
          <w:sz w:val="24"/>
          <w:szCs w:val="24"/>
          <w:lang w:eastAsia="es-MX"/>
        </w:rPr>
        <w:t xml:space="preserve"> (E = 67</w:t>
      </w:r>
      <w:r w:rsidR="009D2422">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 xml:space="preserve">. </w:t>
      </w:r>
      <w:r w:rsidR="00416E7A">
        <w:rPr>
          <w:rFonts w:ascii="Times New Roman" w:eastAsia="Times New Roman" w:hAnsi="Times New Roman" w:cs="Times New Roman"/>
          <w:color w:val="000000"/>
          <w:sz w:val="24"/>
          <w:szCs w:val="24"/>
          <w:lang w:eastAsia="es-MX"/>
        </w:rPr>
        <w:t>Esto debe ser valorado por los profesores involucrados en la impartición de los cursos de las unidades de aprendizaje contenidas en la Tabla 8, para que encuentren las posibles causas de estos resultados, elaboren nuevas estrategias a fin de implementarlas en cursos futuros.</w:t>
      </w:r>
    </w:p>
    <w:p w14:paraId="22FEA095" w14:textId="53F31AA6" w:rsidR="00165FCF" w:rsidRPr="00165FCF" w:rsidRDefault="00165FCF" w:rsidP="002363C6">
      <w:pPr>
        <w:pStyle w:val="Default"/>
        <w:numPr>
          <w:ilvl w:val="0"/>
          <w:numId w:val="6"/>
        </w:numPr>
        <w:spacing w:after="240" w:line="360" w:lineRule="auto"/>
        <w:jc w:val="both"/>
        <w:rPr>
          <w:rFonts w:ascii="Times New Roman" w:hAnsi="Times New Roman" w:cs="Times New Roman"/>
          <w:b/>
        </w:rPr>
      </w:pPr>
      <w:r w:rsidRPr="00165FCF">
        <w:rPr>
          <w:rFonts w:ascii="Times New Roman" w:hAnsi="Times New Roman" w:cs="Times New Roman"/>
          <w:b/>
        </w:rPr>
        <w:t>Análisis por unidades de aprendizaje cohorte DIA: Periodo 2</w:t>
      </w:r>
    </w:p>
    <w:p w14:paraId="090F34AE" w14:textId="4602AA76" w:rsidR="00B50F4E" w:rsidRDefault="00B50F4E" w:rsidP="002363C6">
      <w:pPr>
        <w:pStyle w:val="Default"/>
        <w:spacing w:after="240" w:line="360" w:lineRule="auto"/>
        <w:jc w:val="both"/>
        <w:rPr>
          <w:rFonts w:ascii="Times New Roman" w:hAnsi="Times New Roman" w:cs="Times New Roman"/>
        </w:rPr>
      </w:pPr>
      <w:r>
        <w:rPr>
          <w:rFonts w:ascii="Times New Roman" w:hAnsi="Times New Roman" w:cs="Times New Roman"/>
        </w:rPr>
        <w:t>En este segundo periodo de la licenciatura en DIA nueve profesores son los evaluados, de ellos, cinco tienen licenciatura y cuatro son maestros en ciencias. En cuanto a la experiencia docente, principalmente adquirida en la licenciatura en arquitectura, el rango de antigüedad docente de este grupo de profesores es de 6.55 a 22.82 años con una media de 12.53 años de experiencia docente.</w:t>
      </w:r>
    </w:p>
    <w:p w14:paraId="65322EA9" w14:textId="77777777" w:rsidR="00B105CD" w:rsidRDefault="0088392E"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En la Tabla 9, se muestran los datos de la evaluación que hacen los alumnos del desempeño docente de los profesores que impartieron las siete unidades de aprendizaje correspondientes al Periodo 2 del plan de estudios de la licenciatura en DIA. Con los datos que se muestran se encuentra la media aritmética y desviación estándar de las nueve categorías para cada unidad de aprendizaje y posteriormente se encuentra la media aritmética (88) y desviación estándar (7) de la media aritmética de las siete unidades de aprendizaje</w:t>
      </w:r>
      <w:r w:rsidR="00B105CD">
        <w:rPr>
          <w:rFonts w:ascii="Times New Roman" w:hAnsi="Times New Roman" w:cs="Times New Roman"/>
          <w:bCs/>
          <w:sz w:val="24"/>
          <w:szCs w:val="24"/>
        </w:rPr>
        <w:t xml:space="preserve"> con lo cual se </w:t>
      </w:r>
      <w:r>
        <w:rPr>
          <w:rFonts w:ascii="Times New Roman" w:hAnsi="Times New Roman" w:cs="Times New Roman"/>
          <w:bCs/>
          <w:sz w:val="24"/>
          <w:szCs w:val="24"/>
        </w:rPr>
        <w:t>establece el intervalo de confianza [</w:t>
      </w:r>
      <w:r w:rsidRPr="00261657">
        <w:rPr>
          <w:rFonts w:ascii="Arial" w:hAnsi="Arial" w:cs="Arial"/>
          <w:position w:val="-10"/>
        </w:rPr>
        <w:object w:dxaOrig="700" w:dyaOrig="320" w14:anchorId="5128A5CD">
          <v:shape id="_x0000_i1043" type="#_x0000_t75" style="width:34.5pt;height:15.75pt" o:ole="">
            <v:imagedata r:id="rId14" o:title=""/>
          </v:shape>
          <o:OLEObject Type="Embed" ProgID="Equation.3" ShapeID="_x0000_i1043" DrawAspect="Content" ObjectID="_1530953742" r:id="rId31"/>
        </w:object>
      </w:r>
      <w:r>
        <w:rPr>
          <w:rFonts w:ascii="Times New Roman" w:hAnsi="Times New Roman" w:cs="Times New Roman"/>
          <w:bCs/>
          <w:sz w:val="24"/>
          <w:szCs w:val="24"/>
        </w:rPr>
        <w:t>] = [</w:t>
      </w:r>
      <w:r w:rsidR="00B105CD">
        <w:rPr>
          <w:rFonts w:ascii="Times New Roman" w:hAnsi="Times New Roman" w:cs="Times New Roman"/>
          <w:bCs/>
          <w:sz w:val="24"/>
          <w:szCs w:val="24"/>
        </w:rPr>
        <w:t>81</w:t>
      </w:r>
      <w:r>
        <w:rPr>
          <w:rFonts w:ascii="Times New Roman" w:hAnsi="Times New Roman" w:cs="Times New Roman"/>
          <w:bCs/>
          <w:sz w:val="24"/>
          <w:szCs w:val="24"/>
        </w:rPr>
        <w:t>,</w:t>
      </w:r>
      <w:r w:rsidR="00B105CD">
        <w:rPr>
          <w:rFonts w:ascii="Arial" w:hAnsi="Arial" w:cs="Arial"/>
        </w:rPr>
        <w:t xml:space="preserve"> 95</w:t>
      </w:r>
      <w:r>
        <w:rPr>
          <w:rFonts w:ascii="Times New Roman" w:hAnsi="Times New Roman" w:cs="Times New Roman"/>
          <w:bCs/>
          <w:sz w:val="24"/>
          <w:szCs w:val="24"/>
        </w:rPr>
        <w:t>]</w:t>
      </w:r>
      <w:r w:rsidR="00B105CD">
        <w:rPr>
          <w:rFonts w:ascii="Times New Roman" w:hAnsi="Times New Roman" w:cs="Times New Roman"/>
          <w:bCs/>
          <w:sz w:val="24"/>
          <w:szCs w:val="24"/>
        </w:rPr>
        <w:t xml:space="preserve"> y poder </w:t>
      </w:r>
      <w:r w:rsidR="00B105CD">
        <w:rPr>
          <w:rFonts w:ascii="Times New Roman" w:hAnsi="Times New Roman" w:cs="Times New Roman"/>
          <w:bCs/>
          <w:sz w:val="24"/>
          <w:szCs w:val="24"/>
        </w:rPr>
        <w:lastRenderedPageBreak/>
        <w:t>definir las unidades de aprendizaje que tiene resultados similares y aquellas cuyas diferencias son estadísticamente significativas.</w:t>
      </w:r>
    </w:p>
    <w:p w14:paraId="51708BBD" w14:textId="160D0532" w:rsidR="00165FCF" w:rsidRDefault="00B105CD"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De acuerdo con lo anterior las unidades de aprendizaje en las que los alumnos consideran un buen desempeño docente de los profesores que impartieron los cursos son: </w:t>
      </w:r>
      <w:r w:rsidRPr="00B105CD">
        <w:rPr>
          <w:rFonts w:ascii="Times New Roman" w:hAnsi="Times New Roman" w:cs="Times New Roman"/>
          <w:bCs/>
          <w:i/>
          <w:sz w:val="24"/>
          <w:szCs w:val="24"/>
        </w:rPr>
        <w:t>Antropometría y Ergonomía</w:t>
      </w:r>
      <w:r>
        <w:rPr>
          <w:rFonts w:ascii="Times New Roman" w:hAnsi="Times New Roman" w:cs="Times New Roman"/>
          <w:bCs/>
          <w:sz w:val="24"/>
          <w:szCs w:val="24"/>
        </w:rPr>
        <w:t xml:space="preserve"> (96) y </w:t>
      </w:r>
      <w:r w:rsidRPr="00B105CD">
        <w:rPr>
          <w:rFonts w:ascii="Times New Roman" w:hAnsi="Times New Roman" w:cs="Times New Roman"/>
          <w:bCs/>
          <w:i/>
          <w:sz w:val="24"/>
          <w:szCs w:val="24"/>
        </w:rPr>
        <w:t>Geometría aplicada</w:t>
      </w:r>
      <w:r>
        <w:rPr>
          <w:rFonts w:ascii="Times New Roman" w:hAnsi="Times New Roman" w:cs="Times New Roman"/>
          <w:bCs/>
          <w:sz w:val="24"/>
          <w:szCs w:val="24"/>
        </w:rPr>
        <w:t xml:space="preserve"> (98). </w:t>
      </w:r>
      <w:r w:rsidR="005463EB">
        <w:rPr>
          <w:rFonts w:ascii="Times New Roman" w:hAnsi="Times New Roman" w:cs="Times New Roman"/>
          <w:bCs/>
          <w:sz w:val="24"/>
          <w:szCs w:val="24"/>
        </w:rPr>
        <w:t>En la jornada de evaluación de cursos curriculares programada del 7 al 9 de enero de 2015, será muy valioso que los maestros expongan ante el colectivo las estrategias utilizadas. El análisis y adopción de las mejores prácticas docentes son los mejores referentes para ir fortaleciendo y profesionalizando la planta docente. Esto se convertirá en la mejor estrategia de formación docente en donde los profesores con mayor antigüedad están en la posi</w:t>
      </w:r>
      <w:r w:rsidR="0040675E">
        <w:rPr>
          <w:rFonts w:ascii="Times New Roman" w:hAnsi="Times New Roman" w:cs="Times New Roman"/>
          <w:bCs/>
          <w:sz w:val="24"/>
          <w:szCs w:val="24"/>
        </w:rPr>
        <w:t>bilidad de aprender de los profesores que tienen menos experiencia docente y viceversa, así es como funcionan las actuales comunidades de aprendizaje donde todos pueden aprender de todos es cuestión mantener la disposición y actitud para ello.</w:t>
      </w:r>
      <w:r w:rsidR="005463EB">
        <w:rPr>
          <w:rFonts w:ascii="Times New Roman" w:hAnsi="Times New Roman" w:cs="Times New Roman"/>
          <w:bCs/>
          <w:sz w:val="24"/>
          <w:szCs w:val="24"/>
        </w:rPr>
        <w:t xml:space="preserve"> </w:t>
      </w:r>
    </w:p>
    <w:p w14:paraId="564D242D" w14:textId="77777777" w:rsidR="002208F3" w:rsidRDefault="002208F3" w:rsidP="00165FCF">
      <w:pPr>
        <w:spacing w:line="360" w:lineRule="auto"/>
        <w:rPr>
          <w:rFonts w:ascii="Times New Roman" w:hAnsi="Times New Roman" w:cs="Times New Roman"/>
          <w:bCs/>
          <w:sz w:val="24"/>
          <w:szCs w:val="24"/>
        </w:rPr>
      </w:pPr>
    </w:p>
    <w:tbl>
      <w:tblPr>
        <w:tblStyle w:val="ListTable3Accent6"/>
        <w:tblW w:w="8750" w:type="dxa"/>
        <w:tblLayout w:type="fixed"/>
        <w:tblLook w:val="04A0" w:firstRow="1" w:lastRow="0" w:firstColumn="1" w:lastColumn="0" w:noHBand="0" w:noVBand="1"/>
      </w:tblPr>
      <w:tblGrid>
        <w:gridCol w:w="4957"/>
        <w:gridCol w:w="537"/>
        <w:gridCol w:w="537"/>
        <w:gridCol w:w="425"/>
        <w:gridCol w:w="425"/>
        <w:gridCol w:w="426"/>
        <w:gridCol w:w="425"/>
        <w:gridCol w:w="481"/>
        <w:gridCol w:w="537"/>
      </w:tblGrid>
      <w:tr w:rsidR="002208F3" w:rsidRPr="002208F3" w14:paraId="49B86CDF" w14:textId="77777777" w:rsidTr="002208F3">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750" w:type="dxa"/>
            <w:gridSpan w:val="9"/>
            <w:tcBorders>
              <w:top w:val="single" w:sz="4" w:space="0" w:color="auto"/>
            </w:tcBorders>
          </w:tcPr>
          <w:p w14:paraId="1E1E9B60" w14:textId="77777777" w:rsidR="002208F3" w:rsidRPr="002208F3" w:rsidRDefault="002208F3" w:rsidP="002208F3">
            <w:pPr>
              <w:spacing w:line="360" w:lineRule="auto"/>
              <w:rPr>
                <w:rFonts w:ascii="Times New Roman" w:eastAsia="Times New Roman" w:hAnsi="Times New Roman" w:cs="Times New Roman"/>
                <w:color w:val="000000"/>
                <w:sz w:val="20"/>
                <w:szCs w:val="20"/>
                <w:lang w:eastAsia="es-MX"/>
              </w:rPr>
            </w:pPr>
            <w:r w:rsidRPr="002208F3">
              <w:rPr>
                <w:rFonts w:ascii="Times New Roman" w:eastAsia="Times New Roman" w:hAnsi="Times New Roman" w:cs="Times New Roman"/>
                <w:color w:val="000000"/>
                <w:sz w:val="20"/>
                <w:szCs w:val="20"/>
                <w:lang w:eastAsia="es-MX"/>
              </w:rPr>
              <w:t>Tabla 9:</w:t>
            </w:r>
          </w:p>
          <w:p w14:paraId="4F0A976B" w14:textId="173B7BAF" w:rsidR="002208F3" w:rsidRPr="002208F3" w:rsidRDefault="002208F3" w:rsidP="002208F3">
            <w:pPr>
              <w:spacing w:line="276" w:lineRule="auto"/>
              <w:ind w:left="-70" w:right="-80"/>
              <w:rPr>
                <w:rFonts w:ascii="Times New Roman" w:eastAsia="Times New Roman" w:hAnsi="Times New Roman" w:cs="Times New Roman"/>
                <w:color w:val="000000"/>
                <w:sz w:val="20"/>
                <w:szCs w:val="20"/>
                <w:lang w:eastAsia="es-MX"/>
              </w:rPr>
            </w:pPr>
            <w:r w:rsidRPr="002208F3">
              <w:rPr>
                <w:rFonts w:ascii="Times New Roman" w:eastAsia="Times New Roman" w:hAnsi="Times New Roman" w:cs="Times New Roman"/>
                <w:color w:val="000000"/>
                <w:sz w:val="20"/>
                <w:szCs w:val="20"/>
                <w:lang w:eastAsia="es-MX"/>
              </w:rPr>
              <w:t>Evaluación del desempeño docente por unidades de aprendizaje de la cohorte DIA, Periodo 2 </w:t>
            </w:r>
          </w:p>
        </w:tc>
      </w:tr>
      <w:tr w:rsidR="002208F3" w:rsidRPr="002208F3" w14:paraId="31656E77" w14:textId="77777777" w:rsidTr="0022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vMerge w:val="restart"/>
            <w:tcBorders>
              <w:top w:val="single" w:sz="4" w:space="0" w:color="auto"/>
            </w:tcBorders>
            <w:vAlign w:val="center"/>
          </w:tcPr>
          <w:p w14:paraId="433591EF" w14:textId="7D73AB5C" w:rsidR="002208F3" w:rsidRPr="002208F3" w:rsidRDefault="002208F3" w:rsidP="00691DAC">
            <w:pPr>
              <w:spacing w:line="276" w:lineRule="auto"/>
              <w:rPr>
                <w:rFonts w:ascii="Times New Roman" w:eastAsia="Times New Roman" w:hAnsi="Times New Roman" w:cs="Times New Roman"/>
                <w:color w:val="000000"/>
                <w:sz w:val="20"/>
                <w:szCs w:val="20"/>
                <w:lang w:eastAsia="es-MX"/>
              </w:rPr>
            </w:pPr>
            <w:r w:rsidRPr="002208F3">
              <w:rPr>
                <w:rFonts w:ascii="Times New Roman" w:eastAsia="Times New Roman" w:hAnsi="Times New Roman" w:cs="Times New Roman"/>
                <w:color w:val="000000"/>
                <w:sz w:val="20"/>
                <w:szCs w:val="20"/>
                <w:lang w:eastAsia="es-MX"/>
              </w:rPr>
              <w:t>Unidades de aprendizaje</w:t>
            </w:r>
          </w:p>
        </w:tc>
        <w:tc>
          <w:tcPr>
            <w:tcW w:w="3793" w:type="dxa"/>
            <w:gridSpan w:val="8"/>
            <w:tcBorders>
              <w:top w:val="single" w:sz="4" w:space="0" w:color="auto"/>
            </w:tcBorders>
            <w:noWrap/>
            <w:vAlign w:val="center"/>
          </w:tcPr>
          <w:p w14:paraId="0455AA6B" w14:textId="23975195"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eastAsia="Times New Roman" w:hAnsi="Times New Roman" w:cs="Times New Roman"/>
                <w:color w:val="000000"/>
                <w:sz w:val="20"/>
                <w:szCs w:val="20"/>
                <w:lang w:eastAsia="es-MX"/>
              </w:rPr>
              <w:t>CATEGORÍAS ANALÍTICAS  </w:t>
            </w:r>
          </w:p>
        </w:tc>
      </w:tr>
      <w:tr w:rsidR="002208F3" w:rsidRPr="002208F3" w14:paraId="69066410" w14:textId="77777777" w:rsidTr="002208F3">
        <w:trPr>
          <w:trHeight w:val="300"/>
        </w:trPr>
        <w:tc>
          <w:tcPr>
            <w:cnfStyle w:val="001000000000" w:firstRow="0" w:lastRow="0" w:firstColumn="1" w:lastColumn="0" w:oddVBand="0" w:evenVBand="0" w:oddHBand="0" w:evenHBand="0" w:firstRowFirstColumn="0" w:firstRowLastColumn="0" w:lastRowFirstColumn="0" w:lastRowLastColumn="0"/>
            <w:tcW w:w="4957" w:type="dxa"/>
            <w:vMerge/>
          </w:tcPr>
          <w:p w14:paraId="1B4BA333" w14:textId="307410E5" w:rsidR="002208F3" w:rsidRPr="002208F3" w:rsidRDefault="002208F3" w:rsidP="002208F3">
            <w:pPr>
              <w:spacing w:line="276" w:lineRule="auto"/>
              <w:rPr>
                <w:rFonts w:ascii="Times New Roman" w:eastAsia="Times New Roman" w:hAnsi="Times New Roman" w:cs="Times New Roman"/>
                <w:color w:val="000000"/>
                <w:sz w:val="20"/>
                <w:szCs w:val="20"/>
                <w:lang w:eastAsia="es-MX"/>
              </w:rPr>
            </w:pPr>
          </w:p>
        </w:tc>
        <w:tc>
          <w:tcPr>
            <w:tcW w:w="537" w:type="dxa"/>
            <w:tcBorders>
              <w:top w:val="single" w:sz="4" w:space="0" w:color="auto"/>
            </w:tcBorders>
            <w:noWrap/>
            <w:vAlign w:val="center"/>
          </w:tcPr>
          <w:p w14:paraId="3FC09872" w14:textId="5AA6D10E" w:rsidR="002208F3" w:rsidRPr="002208F3" w:rsidRDefault="002208F3" w:rsidP="002208F3">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eastAsia="Times New Roman" w:hAnsi="Times New Roman" w:cs="Times New Roman"/>
                <w:color w:val="000000"/>
                <w:sz w:val="20"/>
                <w:szCs w:val="20"/>
                <w:lang w:eastAsia="es-MX"/>
              </w:rPr>
              <w:t>A</w:t>
            </w:r>
          </w:p>
        </w:tc>
        <w:tc>
          <w:tcPr>
            <w:tcW w:w="537" w:type="dxa"/>
            <w:tcBorders>
              <w:top w:val="single" w:sz="4" w:space="0" w:color="auto"/>
            </w:tcBorders>
            <w:noWrap/>
            <w:vAlign w:val="center"/>
          </w:tcPr>
          <w:p w14:paraId="5AA51ABD" w14:textId="4CAEDD4D" w:rsidR="002208F3" w:rsidRPr="002208F3" w:rsidRDefault="002208F3" w:rsidP="002208F3">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eastAsia="Times New Roman" w:hAnsi="Times New Roman" w:cs="Times New Roman"/>
                <w:color w:val="000000"/>
                <w:sz w:val="20"/>
                <w:szCs w:val="20"/>
                <w:lang w:eastAsia="es-MX"/>
              </w:rPr>
              <w:t>B</w:t>
            </w:r>
          </w:p>
        </w:tc>
        <w:tc>
          <w:tcPr>
            <w:tcW w:w="425" w:type="dxa"/>
            <w:tcBorders>
              <w:top w:val="single" w:sz="4" w:space="0" w:color="auto"/>
            </w:tcBorders>
            <w:noWrap/>
            <w:vAlign w:val="center"/>
          </w:tcPr>
          <w:p w14:paraId="0AFFAFE3" w14:textId="6B6CBD4B" w:rsidR="002208F3" w:rsidRPr="002208F3" w:rsidRDefault="002208F3" w:rsidP="002208F3">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eastAsia="Times New Roman" w:hAnsi="Times New Roman" w:cs="Times New Roman"/>
                <w:color w:val="000000"/>
                <w:sz w:val="20"/>
                <w:szCs w:val="20"/>
                <w:lang w:eastAsia="es-MX"/>
              </w:rPr>
              <w:t>C</w:t>
            </w:r>
          </w:p>
        </w:tc>
        <w:tc>
          <w:tcPr>
            <w:tcW w:w="425" w:type="dxa"/>
            <w:tcBorders>
              <w:top w:val="single" w:sz="4" w:space="0" w:color="auto"/>
            </w:tcBorders>
            <w:noWrap/>
            <w:vAlign w:val="center"/>
          </w:tcPr>
          <w:p w14:paraId="0E0B482C" w14:textId="45A6DCC8" w:rsidR="002208F3" w:rsidRPr="002208F3" w:rsidRDefault="002208F3" w:rsidP="002208F3">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eastAsia="Times New Roman" w:hAnsi="Times New Roman" w:cs="Times New Roman"/>
                <w:color w:val="000000"/>
                <w:sz w:val="20"/>
                <w:szCs w:val="20"/>
                <w:lang w:eastAsia="es-MX"/>
              </w:rPr>
              <w:t>D</w:t>
            </w:r>
          </w:p>
        </w:tc>
        <w:tc>
          <w:tcPr>
            <w:tcW w:w="426" w:type="dxa"/>
            <w:tcBorders>
              <w:top w:val="single" w:sz="4" w:space="0" w:color="auto"/>
            </w:tcBorders>
            <w:noWrap/>
            <w:vAlign w:val="center"/>
          </w:tcPr>
          <w:p w14:paraId="61DC7602" w14:textId="2D70CC49" w:rsidR="002208F3" w:rsidRPr="002208F3" w:rsidRDefault="002208F3" w:rsidP="002208F3">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eastAsia="Times New Roman" w:hAnsi="Times New Roman" w:cs="Times New Roman"/>
                <w:color w:val="000000"/>
                <w:sz w:val="20"/>
                <w:szCs w:val="20"/>
                <w:lang w:eastAsia="es-MX"/>
              </w:rPr>
              <w:t>E</w:t>
            </w:r>
          </w:p>
        </w:tc>
        <w:tc>
          <w:tcPr>
            <w:tcW w:w="425" w:type="dxa"/>
            <w:tcBorders>
              <w:top w:val="single" w:sz="4" w:space="0" w:color="auto"/>
            </w:tcBorders>
            <w:noWrap/>
            <w:vAlign w:val="center"/>
          </w:tcPr>
          <w:p w14:paraId="61A80324" w14:textId="5B59C803" w:rsidR="002208F3" w:rsidRPr="002208F3" w:rsidRDefault="002208F3" w:rsidP="002208F3">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eastAsia="Times New Roman" w:hAnsi="Times New Roman" w:cs="Times New Roman"/>
                <w:color w:val="000000"/>
                <w:sz w:val="20"/>
                <w:szCs w:val="20"/>
                <w:lang w:eastAsia="es-MX"/>
              </w:rPr>
              <w:t>F</w:t>
            </w:r>
          </w:p>
        </w:tc>
        <w:tc>
          <w:tcPr>
            <w:tcW w:w="481" w:type="dxa"/>
            <w:tcBorders>
              <w:top w:val="single" w:sz="4" w:space="0" w:color="auto"/>
            </w:tcBorders>
            <w:noWrap/>
            <w:vAlign w:val="center"/>
          </w:tcPr>
          <w:p w14:paraId="058D62CF" w14:textId="1E5AFD79" w:rsidR="002208F3" w:rsidRPr="002208F3" w:rsidRDefault="002208F3" w:rsidP="002208F3">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eastAsia="Times New Roman" w:hAnsi="Times New Roman" w:cs="Times New Roman"/>
                <w:color w:val="000000"/>
                <w:sz w:val="20"/>
                <w:szCs w:val="20"/>
                <w:lang w:eastAsia="es-MX"/>
              </w:rPr>
              <w:t>G</w:t>
            </w:r>
          </w:p>
        </w:tc>
        <w:tc>
          <w:tcPr>
            <w:tcW w:w="537" w:type="dxa"/>
            <w:tcBorders>
              <w:top w:val="single" w:sz="4" w:space="0" w:color="auto"/>
            </w:tcBorders>
            <w:noWrap/>
            <w:vAlign w:val="center"/>
          </w:tcPr>
          <w:p w14:paraId="1C1453CD" w14:textId="23BAD164" w:rsidR="002208F3" w:rsidRPr="002208F3" w:rsidRDefault="002208F3" w:rsidP="002208F3">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eastAsia="Times New Roman" w:hAnsi="Times New Roman" w:cs="Times New Roman"/>
                <w:color w:val="000000"/>
                <w:sz w:val="20"/>
                <w:szCs w:val="20"/>
                <w:lang w:eastAsia="es-MX"/>
              </w:rPr>
              <w:t>H</w:t>
            </w:r>
          </w:p>
        </w:tc>
      </w:tr>
      <w:tr w:rsidR="002208F3" w:rsidRPr="002208F3" w14:paraId="7FB2C275" w14:textId="77777777" w:rsidTr="0022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tcBorders>
            <w:vAlign w:val="center"/>
          </w:tcPr>
          <w:p w14:paraId="69BBAC7F" w14:textId="77777777" w:rsidR="002208F3" w:rsidRPr="002208F3" w:rsidRDefault="002208F3" w:rsidP="00691DAC">
            <w:pPr>
              <w:spacing w:line="276" w:lineRule="auto"/>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Taller de Distribución de Espacios Básicos de Vivienda</w:t>
            </w:r>
          </w:p>
        </w:tc>
        <w:tc>
          <w:tcPr>
            <w:tcW w:w="537" w:type="dxa"/>
            <w:tcBorders>
              <w:top w:val="single" w:sz="4" w:space="0" w:color="auto"/>
            </w:tcBorders>
            <w:noWrap/>
            <w:vAlign w:val="center"/>
          </w:tcPr>
          <w:p w14:paraId="5FD56611"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88</w:t>
            </w:r>
          </w:p>
        </w:tc>
        <w:tc>
          <w:tcPr>
            <w:tcW w:w="537" w:type="dxa"/>
            <w:tcBorders>
              <w:top w:val="single" w:sz="4" w:space="0" w:color="auto"/>
            </w:tcBorders>
            <w:noWrap/>
            <w:vAlign w:val="center"/>
          </w:tcPr>
          <w:p w14:paraId="18B98387"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80</w:t>
            </w:r>
          </w:p>
        </w:tc>
        <w:tc>
          <w:tcPr>
            <w:tcW w:w="425" w:type="dxa"/>
            <w:tcBorders>
              <w:top w:val="single" w:sz="4" w:space="0" w:color="auto"/>
            </w:tcBorders>
            <w:noWrap/>
            <w:vAlign w:val="center"/>
          </w:tcPr>
          <w:p w14:paraId="1FF7945B"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b/>
                <w:bCs/>
                <w:color w:val="000000"/>
                <w:sz w:val="20"/>
                <w:szCs w:val="20"/>
              </w:rPr>
              <w:t>84</w:t>
            </w:r>
          </w:p>
        </w:tc>
        <w:tc>
          <w:tcPr>
            <w:tcW w:w="425" w:type="dxa"/>
            <w:tcBorders>
              <w:top w:val="single" w:sz="4" w:space="0" w:color="auto"/>
            </w:tcBorders>
            <w:noWrap/>
            <w:vAlign w:val="center"/>
          </w:tcPr>
          <w:p w14:paraId="78033761"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b/>
                <w:bCs/>
                <w:color w:val="000000"/>
                <w:sz w:val="20"/>
                <w:szCs w:val="20"/>
              </w:rPr>
              <w:t>78</w:t>
            </w:r>
          </w:p>
        </w:tc>
        <w:tc>
          <w:tcPr>
            <w:tcW w:w="426" w:type="dxa"/>
            <w:tcBorders>
              <w:top w:val="single" w:sz="4" w:space="0" w:color="auto"/>
            </w:tcBorders>
            <w:noWrap/>
            <w:vAlign w:val="center"/>
          </w:tcPr>
          <w:p w14:paraId="2E7079A7"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76</w:t>
            </w:r>
          </w:p>
        </w:tc>
        <w:tc>
          <w:tcPr>
            <w:tcW w:w="425" w:type="dxa"/>
            <w:tcBorders>
              <w:top w:val="single" w:sz="4" w:space="0" w:color="auto"/>
            </w:tcBorders>
            <w:noWrap/>
            <w:vAlign w:val="center"/>
          </w:tcPr>
          <w:p w14:paraId="2BF7C76C"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84</w:t>
            </w:r>
          </w:p>
        </w:tc>
        <w:tc>
          <w:tcPr>
            <w:tcW w:w="481" w:type="dxa"/>
            <w:tcBorders>
              <w:top w:val="single" w:sz="4" w:space="0" w:color="auto"/>
            </w:tcBorders>
            <w:noWrap/>
            <w:vAlign w:val="center"/>
          </w:tcPr>
          <w:p w14:paraId="5BAA4636"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89</w:t>
            </w:r>
          </w:p>
        </w:tc>
        <w:tc>
          <w:tcPr>
            <w:tcW w:w="537" w:type="dxa"/>
            <w:tcBorders>
              <w:top w:val="single" w:sz="4" w:space="0" w:color="auto"/>
            </w:tcBorders>
            <w:noWrap/>
            <w:vAlign w:val="center"/>
          </w:tcPr>
          <w:p w14:paraId="2E546680"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76</w:t>
            </w:r>
          </w:p>
        </w:tc>
      </w:tr>
      <w:tr w:rsidR="002208F3" w:rsidRPr="002208F3" w14:paraId="2E31F6EF" w14:textId="77777777" w:rsidTr="002208F3">
        <w:trPr>
          <w:trHeight w:val="300"/>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07DAF406" w14:textId="77777777" w:rsidR="002208F3" w:rsidRPr="002208F3" w:rsidRDefault="002208F3" w:rsidP="00691DAC">
            <w:pPr>
              <w:spacing w:line="276" w:lineRule="auto"/>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Antropometría y Ergonomía</w:t>
            </w:r>
          </w:p>
        </w:tc>
        <w:tc>
          <w:tcPr>
            <w:tcW w:w="537" w:type="dxa"/>
            <w:noWrap/>
            <w:vAlign w:val="center"/>
          </w:tcPr>
          <w:p w14:paraId="75D044D8"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97</w:t>
            </w:r>
          </w:p>
        </w:tc>
        <w:tc>
          <w:tcPr>
            <w:tcW w:w="537" w:type="dxa"/>
            <w:noWrap/>
            <w:vAlign w:val="center"/>
          </w:tcPr>
          <w:p w14:paraId="51EE1B49"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93</w:t>
            </w:r>
          </w:p>
        </w:tc>
        <w:tc>
          <w:tcPr>
            <w:tcW w:w="425" w:type="dxa"/>
            <w:noWrap/>
            <w:vAlign w:val="center"/>
          </w:tcPr>
          <w:p w14:paraId="3699B36F"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97</w:t>
            </w:r>
          </w:p>
        </w:tc>
        <w:tc>
          <w:tcPr>
            <w:tcW w:w="425" w:type="dxa"/>
            <w:noWrap/>
            <w:vAlign w:val="center"/>
          </w:tcPr>
          <w:p w14:paraId="41858317"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95</w:t>
            </w:r>
          </w:p>
        </w:tc>
        <w:tc>
          <w:tcPr>
            <w:tcW w:w="426" w:type="dxa"/>
            <w:noWrap/>
            <w:vAlign w:val="center"/>
          </w:tcPr>
          <w:p w14:paraId="3A02D40F"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96</w:t>
            </w:r>
          </w:p>
        </w:tc>
        <w:tc>
          <w:tcPr>
            <w:tcW w:w="425" w:type="dxa"/>
            <w:noWrap/>
            <w:vAlign w:val="center"/>
          </w:tcPr>
          <w:p w14:paraId="198E20F6"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92</w:t>
            </w:r>
          </w:p>
        </w:tc>
        <w:tc>
          <w:tcPr>
            <w:tcW w:w="481" w:type="dxa"/>
            <w:noWrap/>
            <w:vAlign w:val="center"/>
          </w:tcPr>
          <w:p w14:paraId="7C934B37"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100</w:t>
            </w:r>
          </w:p>
        </w:tc>
        <w:tc>
          <w:tcPr>
            <w:tcW w:w="537" w:type="dxa"/>
            <w:noWrap/>
            <w:vAlign w:val="center"/>
          </w:tcPr>
          <w:p w14:paraId="39B9729E"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97</w:t>
            </w:r>
          </w:p>
        </w:tc>
      </w:tr>
      <w:tr w:rsidR="002208F3" w:rsidRPr="002208F3" w14:paraId="2477FCE6" w14:textId="77777777" w:rsidTr="0022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4DDB0CB5" w14:textId="77777777" w:rsidR="002208F3" w:rsidRPr="002208F3" w:rsidRDefault="002208F3" w:rsidP="00691DAC">
            <w:pPr>
              <w:spacing w:line="276" w:lineRule="auto"/>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Geometría Aplicada</w:t>
            </w:r>
          </w:p>
        </w:tc>
        <w:tc>
          <w:tcPr>
            <w:tcW w:w="537" w:type="dxa"/>
            <w:noWrap/>
            <w:vAlign w:val="center"/>
          </w:tcPr>
          <w:p w14:paraId="67836C72"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s-MX"/>
              </w:rPr>
            </w:pPr>
            <w:r w:rsidRPr="002208F3">
              <w:rPr>
                <w:rFonts w:ascii="Times New Roman" w:hAnsi="Times New Roman" w:cs="Times New Roman"/>
                <w:color w:val="000000"/>
                <w:sz w:val="20"/>
                <w:szCs w:val="20"/>
              </w:rPr>
              <w:t>100</w:t>
            </w:r>
          </w:p>
        </w:tc>
        <w:tc>
          <w:tcPr>
            <w:tcW w:w="537" w:type="dxa"/>
            <w:noWrap/>
            <w:vAlign w:val="center"/>
          </w:tcPr>
          <w:p w14:paraId="37E43272"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92</w:t>
            </w:r>
          </w:p>
        </w:tc>
        <w:tc>
          <w:tcPr>
            <w:tcW w:w="425" w:type="dxa"/>
            <w:noWrap/>
            <w:vAlign w:val="center"/>
          </w:tcPr>
          <w:p w14:paraId="487021DF"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s-MX"/>
              </w:rPr>
            </w:pPr>
            <w:r w:rsidRPr="002208F3">
              <w:rPr>
                <w:rFonts w:ascii="Times New Roman" w:hAnsi="Times New Roman" w:cs="Times New Roman"/>
                <w:color w:val="000000"/>
                <w:sz w:val="20"/>
                <w:szCs w:val="20"/>
              </w:rPr>
              <w:t>97</w:t>
            </w:r>
          </w:p>
        </w:tc>
        <w:tc>
          <w:tcPr>
            <w:tcW w:w="425" w:type="dxa"/>
            <w:noWrap/>
            <w:vAlign w:val="center"/>
          </w:tcPr>
          <w:p w14:paraId="10D0356A"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s-MX"/>
              </w:rPr>
            </w:pPr>
            <w:r w:rsidRPr="002208F3">
              <w:rPr>
                <w:rFonts w:ascii="Times New Roman" w:hAnsi="Times New Roman" w:cs="Times New Roman"/>
                <w:b/>
                <w:bCs/>
                <w:color w:val="000000"/>
                <w:sz w:val="20"/>
                <w:szCs w:val="20"/>
              </w:rPr>
              <w:t>98</w:t>
            </w:r>
          </w:p>
        </w:tc>
        <w:tc>
          <w:tcPr>
            <w:tcW w:w="426" w:type="dxa"/>
            <w:noWrap/>
            <w:vAlign w:val="center"/>
          </w:tcPr>
          <w:p w14:paraId="1E9DEF56"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s-MX"/>
              </w:rPr>
            </w:pPr>
            <w:r w:rsidRPr="002208F3">
              <w:rPr>
                <w:rFonts w:ascii="Times New Roman" w:hAnsi="Times New Roman" w:cs="Times New Roman"/>
                <w:b/>
                <w:bCs/>
                <w:color w:val="000000"/>
                <w:sz w:val="20"/>
                <w:szCs w:val="20"/>
              </w:rPr>
              <w:t>98</w:t>
            </w:r>
          </w:p>
        </w:tc>
        <w:tc>
          <w:tcPr>
            <w:tcW w:w="425" w:type="dxa"/>
            <w:noWrap/>
            <w:vAlign w:val="center"/>
          </w:tcPr>
          <w:p w14:paraId="2BF38930"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s-MX"/>
              </w:rPr>
            </w:pPr>
            <w:r w:rsidRPr="002208F3">
              <w:rPr>
                <w:rFonts w:ascii="Times New Roman" w:hAnsi="Times New Roman" w:cs="Times New Roman"/>
                <w:b/>
                <w:bCs/>
                <w:color w:val="000000"/>
                <w:sz w:val="20"/>
                <w:szCs w:val="20"/>
              </w:rPr>
              <w:t>96</w:t>
            </w:r>
          </w:p>
        </w:tc>
        <w:tc>
          <w:tcPr>
            <w:tcW w:w="481" w:type="dxa"/>
            <w:noWrap/>
            <w:vAlign w:val="center"/>
          </w:tcPr>
          <w:p w14:paraId="38E2D333"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s-MX"/>
              </w:rPr>
            </w:pPr>
            <w:r w:rsidRPr="002208F3">
              <w:rPr>
                <w:rFonts w:ascii="Times New Roman" w:hAnsi="Times New Roman" w:cs="Times New Roman"/>
                <w:color w:val="000000"/>
                <w:sz w:val="20"/>
                <w:szCs w:val="20"/>
              </w:rPr>
              <w:t>100</w:t>
            </w:r>
          </w:p>
        </w:tc>
        <w:tc>
          <w:tcPr>
            <w:tcW w:w="537" w:type="dxa"/>
            <w:noWrap/>
            <w:vAlign w:val="center"/>
          </w:tcPr>
          <w:p w14:paraId="70CD206B"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eastAsia="es-MX"/>
              </w:rPr>
            </w:pPr>
            <w:r w:rsidRPr="002208F3">
              <w:rPr>
                <w:rFonts w:ascii="Times New Roman" w:hAnsi="Times New Roman" w:cs="Times New Roman"/>
                <w:b/>
                <w:bCs/>
                <w:color w:val="000000"/>
                <w:sz w:val="20"/>
                <w:szCs w:val="20"/>
              </w:rPr>
              <w:t>100</w:t>
            </w:r>
          </w:p>
        </w:tc>
      </w:tr>
      <w:tr w:rsidR="002208F3" w:rsidRPr="002208F3" w14:paraId="2616DE19" w14:textId="77777777" w:rsidTr="002208F3">
        <w:trPr>
          <w:trHeight w:val="300"/>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2A2DB90E" w14:textId="77777777" w:rsidR="002208F3" w:rsidRPr="002208F3" w:rsidRDefault="002208F3" w:rsidP="00691DAC">
            <w:pPr>
              <w:spacing w:line="276" w:lineRule="auto"/>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Técnicas de Representación Avanzada</w:t>
            </w:r>
          </w:p>
        </w:tc>
        <w:tc>
          <w:tcPr>
            <w:tcW w:w="537" w:type="dxa"/>
            <w:noWrap/>
            <w:vAlign w:val="center"/>
          </w:tcPr>
          <w:p w14:paraId="37211C16"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88</w:t>
            </w:r>
          </w:p>
        </w:tc>
        <w:tc>
          <w:tcPr>
            <w:tcW w:w="537" w:type="dxa"/>
            <w:noWrap/>
            <w:vAlign w:val="center"/>
          </w:tcPr>
          <w:p w14:paraId="0C3F5535"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s-MX"/>
              </w:rPr>
            </w:pPr>
            <w:r w:rsidRPr="002208F3">
              <w:rPr>
                <w:rFonts w:ascii="Times New Roman" w:hAnsi="Times New Roman" w:cs="Times New Roman"/>
                <w:color w:val="000000"/>
                <w:sz w:val="20"/>
                <w:szCs w:val="20"/>
              </w:rPr>
              <w:t>93</w:t>
            </w:r>
          </w:p>
        </w:tc>
        <w:tc>
          <w:tcPr>
            <w:tcW w:w="425" w:type="dxa"/>
            <w:noWrap/>
            <w:vAlign w:val="center"/>
          </w:tcPr>
          <w:p w14:paraId="74B4843A"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93</w:t>
            </w:r>
          </w:p>
        </w:tc>
        <w:tc>
          <w:tcPr>
            <w:tcW w:w="425" w:type="dxa"/>
            <w:noWrap/>
            <w:vAlign w:val="center"/>
          </w:tcPr>
          <w:p w14:paraId="4C41AB31"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81</w:t>
            </w:r>
          </w:p>
        </w:tc>
        <w:tc>
          <w:tcPr>
            <w:tcW w:w="426" w:type="dxa"/>
            <w:noWrap/>
            <w:vAlign w:val="center"/>
          </w:tcPr>
          <w:p w14:paraId="0E51560A"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79</w:t>
            </w:r>
          </w:p>
        </w:tc>
        <w:tc>
          <w:tcPr>
            <w:tcW w:w="425" w:type="dxa"/>
            <w:noWrap/>
            <w:vAlign w:val="center"/>
          </w:tcPr>
          <w:p w14:paraId="615E6BF0"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b/>
                <w:bCs/>
                <w:color w:val="000000"/>
                <w:sz w:val="20"/>
                <w:szCs w:val="20"/>
              </w:rPr>
              <w:t>78</w:t>
            </w:r>
          </w:p>
        </w:tc>
        <w:tc>
          <w:tcPr>
            <w:tcW w:w="481" w:type="dxa"/>
            <w:noWrap/>
            <w:vAlign w:val="center"/>
          </w:tcPr>
          <w:p w14:paraId="7E5FB9C4"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b/>
                <w:bCs/>
                <w:color w:val="000000"/>
                <w:sz w:val="20"/>
                <w:szCs w:val="20"/>
              </w:rPr>
              <w:t>85</w:t>
            </w:r>
          </w:p>
        </w:tc>
        <w:tc>
          <w:tcPr>
            <w:tcW w:w="537" w:type="dxa"/>
            <w:noWrap/>
            <w:vAlign w:val="center"/>
          </w:tcPr>
          <w:p w14:paraId="39667D67"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b/>
                <w:bCs/>
                <w:color w:val="000000"/>
                <w:sz w:val="20"/>
                <w:szCs w:val="20"/>
              </w:rPr>
              <w:t>65</w:t>
            </w:r>
          </w:p>
        </w:tc>
      </w:tr>
      <w:tr w:rsidR="002208F3" w:rsidRPr="002208F3" w14:paraId="7B6B3F7B" w14:textId="77777777" w:rsidTr="0022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56533362" w14:textId="77777777" w:rsidR="002208F3" w:rsidRPr="002208F3" w:rsidRDefault="002208F3" w:rsidP="00691DAC">
            <w:pPr>
              <w:spacing w:line="276" w:lineRule="auto"/>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Vanguardias del Siglo XIX</w:t>
            </w:r>
          </w:p>
        </w:tc>
        <w:tc>
          <w:tcPr>
            <w:tcW w:w="537" w:type="dxa"/>
            <w:noWrap/>
            <w:vAlign w:val="center"/>
          </w:tcPr>
          <w:p w14:paraId="50E70952"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b/>
                <w:bCs/>
                <w:color w:val="000000"/>
                <w:sz w:val="20"/>
                <w:szCs w:val="20"/>
              </w:rPr>
              <w:t>67</w:t>
            </w:r>
          </w:p>
        </w:tc>
        <w:tc>
          <w:tcPr>
            <w:tcW w:w="537" w:type="dxa"/>
            <w:noWrap/>
            <w:vAlign w:val="center"/>
          </w:tcPr>
          <w:p w14:paraId="4A5D7D02"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b/>
                <w:bCs/>
                <w:color w:val="000000"/>
                <w:sz w:val="20"/>
                <w:szCs w:val="20"/>
              </w:rPr>
              <w:t>63</w:t>
            </w:r>
          </w:p>
        </w:tc>
        <w:tc>
          <w:tcPr>
            <w:tcW w:w="425" w:type="dxa"/>
            <w:noWrap/>
            <w:vAlign w:val="center"/>
          </w:tcPr>
          <w:p w14:paraId="7F9196FB"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87</w:t>
            </w:r>
          </w:p>
        </w:tc>
        <w:tc>
          <w:tcPr>
            <w:tcW w:w="425" w:type="dxa"/>
            <w:noWrap/>
            <w:vAlign w:val="center"/>
          </w:tcPr>
          <w:p w14:paraId="0F5A128C"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83</w:t>
            </w:r>
          </w:p>
        </w:tc>
        <w:tc>
          <w:tcPr>
            <w:tcW w:w="426" w:type="dxa"/>
            <w:noWrap/>
            <w:vAlign w:val="center"/>
          </w:tcPr>
          <w:p w14:paraId="0D8645FA"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79</w:t>
            </w:r>
          </w:p>
        </w:tc>
        <w:tc>
          <w:tcPr>
            <w:tcW w:w="425" w:type="dxa"/>
            <w:noWrap/>
            <w:vAlign w:val="center"/>
          </w:tcPr>
          <w:p w14:paraId="73373560"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83</w:t>
            </w:r>
          </w:p>
        </w:tc>
        <w:tc>
          <w:tcPr>
            <w:tcW w:w="481" w:type="dxa"/>
            <w:noWrap/>
            <w:vAlign w:val="center"/>
          </w:tcPr>
          <w:p w14:paraId="28078E80"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92</w:t>
            </w:r>
          </w:p>
        </w:tc>
        <w:tc>
          <w:tcPr>
            <w:tcW w:w="537" w:type="dxa"/>
            <w:noWrap/>
            <w:vAlign w:val="center"/>
          </w:tcPr>
          <w:p w14:paraId="44F28A42"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83</w:t>
            </w:r>
          </w:p>
        </w:tc>
      </w:tr>
      <w:tr w:rsidR="002208F3" w:rsidRPr="002208F3" w14:paraId="1C079B32" w14:textId="77777777" w:rsidTr="002208F3">
        <w:trPr>
          <w:trHeight w:val="300"/>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5C6F54F5" w14:textId="77777777" w:rsidR="002208F3" w:rsidRPr="002208F3" w:rsidRDefault="002208F3" w:rsidP="00691DAC">
            <w:pPr>
              <w:spacing w:line="276" w:lineRule="auto"/>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Materiales y Sistemas Constructivos</w:t>
            </w:r>
          </w:p>
        </w:tc>
        <w:tc>
          <w:tcPr>
            <w:tcW w:w="537" w:type="dxa"/>
            <w:noWrap/>
            <w:vAlign w:val="center"/>
          </w:tcPr>
          <w:p w14:paraId="361B1DD6"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98</w:t>
            </w:r>
          </w:p>
        </w:tc>
        <w:tc>
          <w:tcPr>
            <w:tcW w:w="537" w:type="dxa"/>
            <w:noWrap/>
            <w:vAlign w:val="center"/>
          </w:tcPr>
          <w:p w14:paraId="4954649F"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71</w:t>
            </w:r>
          </w:p>
        </w:tc>
        <w:tc>
          <w:tcPr>
            <w:tcW w:w="425" w:type="dxa"/>
            <w:noWrap/>
            <w:vAlign w:val="center"/>
          </w:tcPr>
          <w:p w14:paraId="45A50559"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91</w:t>
            </w:r>
          </w:p>
        </w:tc>
        <w:tc>
          <w:tcPr>
            <w:tcW w:w="425" w:type="dxa"/>
            <w:noWrap/>
            <w:vAlign w:val="center"/>
          </w:tcPr>
          <w:p w14:paraId="66CAFC26"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88</w:t>
            </w:r>
          </w:p>
        </w:tc>
        <w:tc>
          <w:tcPr>
            <w:tcW w:w="426" w:type="dxa"/>
            <w:noWrap/>
            <w:vAlign w:val="center"/>
          </w:tcPr>
          <w:p w14:paraId="14382F53"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82</w:t>
            </w:r>
          </w:p>
        </w:tc>
        <w:tc>
          <w:tcPr>
            <w:tcW w:w="425" w:type="dxa"/>
            <w:noWrap/>
            <w:vAlign w:val="center"/>
          </w:tcPr>
          <w:p w14:paraId="4A7C3DBF"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86</w:t>
            </w:r>
          </w:p>
        </w:tc>
        <w:tc>
          <w:tcPr>
            <w:tcW w:w="481" w:type="dxa"/>
            <w:noWrap/>
            <w:vAlign w:val="center"/>
          </w:tcPr>
          <w:p w14:paraId="1B59A3E0"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100</w:t>
            </w:r>
          </w:p>
        </w:tc>
        <w:tc>
          <w:tcPr>
            <w:tcW w:w="537" w:type="dxa"/>
            <w:noWrap/>
            <w:vAlign w:val="center"/>
          </w:tcPr>
          <w:p w14:paraId="58F099E5"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98</w:t>
            </w:r>
          </w:p>
        </w:tc>
      </w:tr>
      <w:tr w:rsidR="002208F3" w:rsidRPr="002208F3" w14:paraId="574FE608" w14:textId="77777777" w:rsidTr="0022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tcBorders>
              <w:bottom w:val="single" w:sz="4" w:space="0" w:color="auto"/>
            </w:tcBorders>
            <w:vAlign w:val="center"/>
          </w:tcPr>
          <w:p w14:paraId="6AD9982A" w14:textId="77777777" w:rsidR="002208F3" w:rsidRPr="002208F3" w:rsidRDefault="002208F3" w:rsidP="00691DAC">
            <w:pPr>
              <w:spacing w:line="276" w:lineRule="auto"/>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Comunidades de Aprendizaje</w:t>
            </w:r>
          </w:p>
        </w:tc>
        <w:tc>
          <w:tcPr>
            <w:tcW w:w="537" w:type="dxa"/>
            <w:tcBorders>
              <w:bottom w:val="single" w:sz="4" w:space="0" w:color="auto"/>
            </w:tcBorders>
            <w:noWrap/>
            <w:vAlign w:val="center"/>
          </w:tcPr>
          <w:p w14:paraId="38AF7CA4"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91</w:t>
            </w:r>
          </w:p>
        </w:tc>
        <w:tc>
          <w:tcPr>
            <w:tcW w:w="537" w:type="dxa"/>
            <w:tcBorders>
              <w:bottom w:val="single" w:sz="4" w:space="0" w:color="auto"/>
            </w:tcBorders>
            <w:noWrap/>
            <w:vAlign w:val="center"/>
          </w:tcPr>
          <w:p w14:paraId="3F4D834F"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85</w:t>
            </w:r>
          </w:p>
        </w:tc>
        <w:tc>
          <w:tcPr>
            <w:tcW w:w="425" w:type="dxa"/>
            <w:tcBorders>
              <w:bottom w:val="single" w:sz="4" w:space="0" w:color="auto"/>
            </w:tcBorders>
            <w:noWrap/>
            <w:vAlign w:val="center"/>
          </w:tcPr>
          <w:p w14:paraId="1BB33E79"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95</w:t>
            </w:r>
          </w:p>
        </w:tc>
        <w:tc>
          <w:tcPr>
            <w:tcW w:w="425" w:type="dxa"/>
            <w:tcBorders>
              <w:bottom w:val="single" w:sz="4" w:space="0" w:color="auto"/>
            </w:tcBorders>
            <w:noWrap/>
            <w:vAlign w:val="center"/>
          </w:tcPr>
          <w:p w14:paraId="46707A74"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94</w:t>
            </w:r>
          </w:p>
        </w:tc>
        <w:tc>
          <w:tcPr>
            <w:tcW w:w="426" w:type="dxa"/>
            <w:tcBorders>
              <w:bottom w:val="single" w:sz="4" w:space="0" w:color="auto"/>
            </w:tcBorders>
            <w:noWrap/>
            <w:vAlign w:val="center"/>
          </w:tcPr>
          <w:p w14:paraId="64168D74"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89</w:t>
            </w:r>
          </w:p>
        </w:tc>
        <w:tc>
          <w:tcPr>
            <w:tcW w:w="425" w:type="dxa"/>
            <w:tcBorders>
              <w:bottom w:val="single" w:sz="4" w:space="0" w:color="auto"/>
            </w:tcBorders>
            <w:noWrap/>
            <w:vAlign w:val="center"/>
          </w:tcPr>
          <w:p w14:paraId="503D88C3"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87</w:t>
            </w:r>
          </w:p>
        </w:tc>
        <w:tc>
          <w:tcPr>
            <w:tcW w:w="481" w:type="dxa"/>
            <w:tcBorders>
              <w:bottom w:val="single" w:sz="4" w:space="0" w:color="auto"/>
            </w:tcBorders>
            <w:noWrap/>
            <w:vAlign w:val="center"/>
          </w:tcPr>
          <w:p w14:paraId="63B470B6"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85</w:t>
            </w:r>
          </w:p>
        </w:tc>
        <w:tc>
          <w:tcPr>
            <w:tcW w:w="537" w:type="dxa"/>
            <w:tcBorders>
              <w:bottom w:val="single" w:sz="4" w:space="0" w:color="auto"/>
            </w:tcBorders>
            <w:noWrap/>
            <w:vAlign w:val="center"/>
          </w:tcPr>
          <w:p w14:paraId="1C54E816"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78</w:t>
            </w:r>
          </w:p>
        </w:tc>
      </w:tr>
      <w:tr w:rsidR="002208F3" w:rsidRPr="002208F3" w14:paraId="5102A326" w14:textId="77777777" w:rsidTr="002208F3">
        <w:trPr>
          <w:trHeight w:val="30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bottom w:val="single" w:sz="4" w:space="0" w:color="F79646" w:themeColor="accent6"/>
            </w:tcBorders>
            <w:vAlign w:val="center"/>
          </w:tcPr>
          <w:p w14:paraId="2F3894AE" w14:textId="77777777" w:rsidR="002208F3" w:rsidRPr="002208F3" w:rsidRDefault="002208F3" w:rsidP="00691DAC">
            <w:pPr>
              <w:spacing w:line="276" w:lineRule="auto"/>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Media aritmética</w:t>
            </w:r>
          </w:p>
        </w:tc>
        <w:tc>
          <w:tcPr>
            <w:tcW w:w="537" w:type="dxa"/>
            <w:tcBorders>
              <w:top w:val="single" w:sz="4" w:space="0" w:color="auto"/>
              <w:bottom w:val="single" w:sz="4" w:space="0" w:color="F79646" w:themeColor="accent6"/>
            </w:tcBorders>
            <w:noWrap/>
            <w:vAlign w:val="center"/>
          </w:tcPr>
          <w:p w14:paraId="28AC9BEC"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90</w:t>
            </w:r>
          </w:p>
        </w:tc>
        <w:tc>
          <w:tcPr>
            <w:tcW w:w="537" w:type="dxa"/>
            <w:tcBorders>
              <w:top w:val="single" w:sz="4" w:space="0" w:color="auto"/>
              <w:bottom w:val="single" w:sz="4" w:space="0" w:color="F79646" w:themeColor="accent6"/>
            </w:tcBorders>
            <w:noWrap/>
            <w:vAlign w:val="center"/>
          </w:tcPr>
          <w:p w14:paraId="00E675DE"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82</w:t>
            </w:r>
          </w:p>
        </w:tc>
        <w:tc>
          <w:tcPr>
            <w:tcW w:w="425" w:type="dxa"/>
            <w:tcBorders>
              <w:top w:val="single" w:sz="4" w:space="0" w:color="auto"/>
              <w:bottom w:val="single" w:sz="4" w:space="0" w:color="F79646" w:themeColor="accent6"/>
            </w:tcBorders>
            <w:noWrap/>
            <w:vAlign w:val="center"/>
          </w:tcPr>
          <w:p w14:paraId="244483EA"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92</w:t>
            </w:r>
          </w:p>
        </w:tc>
        <w:tc>
          <w:tcPr>
            <w:tcW w:w="425" w:type="dxa"/>
            <w:tcBorders>
              <w:top w:val="single" w:sz="4" w:space="0" w:color="auto"/>
              <w:bottom w:val="single" w:sz="4" w:space="0" w:color="F79646" w:themeColor="accent6"/>
            </w:tcBorders>
            <w:noWrap/>
            <w:vAlign w:val="center"/>
          </w:tcPr>
          <w:p w14:paraId="73857FAC"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88</w:t>
            </w:r>
          </w:p>
        </w:tc>
        <w:tc>
          <w:tcPr>
            <w:tcW w:w="426" w:type="dxa"/>
            <w:tcBorders>
              <w:top w:val="single" w:sz="4" w:space="0" w:color="auto"/>
              <w:bottom w:val="single" w:sz="4" w:space="0" w:color="F79646" w:themeColor="accent6"/>
            </w:tcBorders>
            <w:noWrap/>
            <w:vAlign w:val="center"/>
          </w:tcPr>
          <w:p w14:paraId="637FE2C1"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85</w:t>
            </w:r>
          </w:p>
        </w:tc>
        <w:tc>
          <w:tcPr>
            <w:tcW w:w="425" w:type="dxa"/>
            <w:tcBorders>
              <w:top w:val="single" w:sz="4" w:space="0" w:color="auto"/>
              <w:bottom w:val="single" w:sz="4" w:space="0" w:color="F79646" w:themeColor="accent6"/>
            </w:tcBorders>
            <w:noWrap/>
            <w:vAlign w:val="center"/>
          </w:tcPr>
          <w:p w14:paraId="3C2AF2AF"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87</w:t>
            </w:r>
          </w:p>
        </w:tc>
        <w:tc>
          <w:tcPr>
            <w:tcW w:w="481" w:type="dxa"/>
            <w:tcBorders>
              <w:top w:val="single" w:sz="4" w:space="0" w:color="auto"/>
              <w:bottom w:val="single" w:sz="4" w:space="0" w:color="F79646" w:themeColor="accent6"/>
            </w:tcBorders>
            <w:noWrap/>
            <w:vAlign w:val="center"/>
          </w:tcPr>
          <w:p w14:paraId="56AD04FB"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93</w:t>
            </w:r>
          </w:p>
        </w:tc>
        <w:tc>
          <w:tcPr>
            <w:tcW w:w="537" w:type="dxa"/>
            <w:tcBorders>
              <w:top w:val="single" w:sz="4" w:space="0" w:color="auto"/>
              <w:bottom w:val="single" w:sz="4" w:space="0" w:color="F79646" w:themeColor="accent6"/>
            </w:tcBorders>
            <w:noWrap/>
            <w:vAlign w:val="center"/>
          </w:tcPr>
          <w:p w14:paraId="46A4F01E" w14:textId="77777777" w:rsidR="002208F3" w:rsidRPr="002208F3" w:rsidRDefault="002208F3" w:rsidP="00691DAC">
            <w:pPr>
              <w:spacing w:line="276" w:lineRule="auto"/>
              <w:ind w:left="-70" w:right="-8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85</w:t>
            </w:r>
          </w:p>
        </w:tc>
      </w:tr>
      <w:tr w:rsidR="002208F3" w:rsidRPr="002208F3" w14:paraId="71D347A5" w14:textId="77777777" w:rsidTr="002208F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tcBorders>
              <w:bottom w:val="single" w:sz="4" w:space="0" w:color="auto"/>
            </w:tcBorders>
            <w:vAlign w:val="center"/>
          </w:tcPr>
          <w:p w14:paraId="6D39D081" w14:textId="77777777" w:rsidR="002208F3" w:rsidRPr="002208F3" w:rsidRDefault="002208F3" w:rsidP="00691DAC">
            <w:pPr>
              <w:spacing w:line="276" w:lineRule="auto"/>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Desviación estándar</w:t>
            </w:r>
          </w:p>
        </w:tc>
        <w:tc>
          <w:tcPr>
            <w:tcW w:w="537" w:type="dxa"/>
            <w:tcBorders>
              <w:bottom w:val="single" w:sz="4" w:space="0" w:color="auto"/>
            </w:tcBorders>
            <w:noWrap/>
            <w:vAlign w:val="center"/>
          </w:tcPr>
          <w:p w14:paraId="5E00CDB0"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11.2</w:t>
            </w:r>
          </w:p>
        </w:tc>
        <w:tc>
          <w:tcPr>
            <w:tcW w:w="537" w:type="dxa"/>
            <w:tcBorders>
              <w:bottom w:val="single" w:sz="4" w:space="0" w:color="auto"/>
            </w:tcBorders>
            <w:noWrap/>
            <w:vAlign w:val="center"/>
          </w:tcPr>
          <w:p w14:paraId="5FDFB745"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11.9</w:t>
            </w:r>
          </w:p>
        </w:tc>
        <w:tc>
          <w:tcPr>
            <w:tcW w:w="425" w:type="dxa"/>
            <w:tcBorders>
              <w:bottom w:val="single" w:sz="4" w:space="0" w:color="auto"/>
            </w:tcBorders>
            <w:noWrap/>
            <w:vAlign w:val="center"/>
          </w:tcPr>
          <w:p w14:paraId="2486C635"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5.2</w:t>
            </w:r>
          </w:p>
        </w:tc>
        <w:tc>
          <w:tcPr>
            <w:tcW w:w="425" w:type="dxa"/>
            <w:tcBorders>
              <w:bottom w:val="single" w:sz="4" w:space="0" w:color="auto"/>
            </w:tcBorders>
            <w:noWrap/>
            <w:vAlign w:val="center"/>
          </w:tcPr>
          <w:p w14:paraId="616EA78F"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7.6</w:t>
            </w:r>
          </w:p>
        </w:tc>
        <w:tc>
          <w:tcPr>
            <w:tcW w:w="426" w:type="dxa"/>
            <w:tcBorders>
              <w:bottom w:val="single" w:sz="4" w:space="0" w:color="auto"/>
            </w:tcBorders>
            <w:noWrap/>
            <w:vAlign w:val="center"/>
          </w:tcPr>
          <w:p w14:paraId="6D1EFDA7"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9.0</w:t>
            </w:r>
          </w:p>
        </w:tc>
        <w:tc>
          <w:tcPr>
            <w:tcW w:w="425" w:type="dxa"/>
            <w:tcBorders>
              <w:bottom w:val="single" w:sz="4" w:space="0" w:color="auto"/>
            </w:tcBorders>
            <w:noWrap/>
            <w:vAlign w:val="center"/>
          </w:tcPr>
          <w:p w14:paraId="58F5CE4D"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6.0</w:t>
            </w:r>
          </w:p>
        </w:tc>
        <w:tc>
          <w:tcPr>
            <w:tcW w:w="481" w:type="dxa"/>
            <w:tcBorders>
              <w:bottom w:val="single" w:sz="4" w:space="0" w:color="auto"/>
            </w:tcBorders>
            <w:noWrap/>
            <w:vAlign w:val="center"/>
          </w:tcPr>
          <w:p w14:paraId="68F849B2"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7.0</w:t>
            </w:r>
          </w:p>
        </w:tc>
        <w:tc>
          <w:tcPr>
            <w:tcW w:w="537" w:type="dxa"/>
            <w:tcBorders>
              <w:bottom w:val="single" w:sz="4" w:space="0" w:color="auto"/>
            </w:tcBorders>
            <w:noWrap/>
            <w:vAlign w:val="center"/>
          </w:tcPr>
          <w:p w14:paraId="183016D2" w14:textId="77777777" w:rsidR="002208F3" w:rsidRPr="002208F3" w:rsidRDefault="002208F3" w:rsidP="00691DAC">
            <w:pPr>
              <w:spacing w:line="276" w:lineRule="auto"/>
              <w:ind w:left="-70" w:right="-8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2208F3">
              <w:rPr>
                <w:rFonts w:ascii="Times New Roman" w:hAnsi="Times New Roman" w:cs="Times New Roman"/>
                <w:color w:val="000000"/>
                <w:sz w:val="20"/>
                <w:szCs w:val="20"/>
              </w:rPr>
              <w:t>13.3</w:t>
            </w:r>
          </w:p>
        </w:tc>
      </w:tr>
    </w:tbl>
    <w:p w14:paraId="70E4607C" w14:textId="77777777" w:rsidR="00165FCF" w:rsidRDefault="00165FCF" w:rsidP="00165FCF">
      <w:pPr>
        <w:spacing w:line="360" w:lineRule="auto"/>
        <w:rPr>
          <w:rFonts w:ascii="Times New Roman" w:hAnsi="Times New Roman" w:cs="Times New Roman"/>
          <w:bCs/>
          <w:sz w:val="24"/>
          <w:szCs w:val="24"/>
        </w:rPr>
      </w:pPr>
    </w:p>
    <w:p w14:paraId="1A2F2DCB" w14:textId="4B9E61A2" w:rsidR="0040675E" w:rsidRDefault="00E87027"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El caso contrario al anterior es el resultado de la evaluación del desempeño docente de los profesores que impartieron la unidad de aprendizaje </w:t>
      </w:r>
      <w:r w:rsidRPr="00E87027">
        <w:rPr>
          <w:rFonts w:ascii="Times New Roman" w:hAnsi="Times New Roman" w:cs="Times New Roman"/>
          <w:bCs/>
          <w:i/>
          <w:sz w:val="24"/>
          <w:szCs w:val="24"/>
        </w:rPr>
        <w:t>Vanguardias del Siglo XIX</w:t>
      </w:r>
      <w:r>
        <w:rPr>
          <w:rFonts w:ascii="Times New Roman" w:hAnsi="Times New Roman" w:cs="Times New Roman"/>
          <w:bCs/>
          <w:sz w:val="24"/>
          <w:szCs w:val="24"/>
        </w:rPr>
        <w:t xml:space="preserve"> en donde la media aritmética queda por debajo del límite inferior del intervalo de confianza (80 &lt; 8</w:t>
      </w:r>
      <w:r w:rsidR="007D7F2D">
        <w:rPr>
          <w:rFonts w:ascii="Times New Roman" w:hAnsi="Times New Roman" w:cs="Times New Roman"/>
          <w:bCs/>
          <w:sz w:val="24"/>
          <w:szCs w:val="24"/>
        </w:rPr>
        <w:t>1</w:t>
      </w:r>
      <w:r>
        <w:rPr>
          <w:rFonts w:ascii="Times New Roman" w:hAnsi="Times New Roman" w:cs="Times New Roman"/>
          <w:bCs/>
          <w:sz w:val="24"/>
          <w:szCs w:val="24"/>
        </w:rPr>
        <w:t xml:space="preserve">), lo que indica que los profesores que impartieron las otras asignaturas del semestre implementaron, a juicio de los alumnos, mejores estrategias didácticas, mejores dinámicas </w:t>
      </w:r>
      <w:r>
        <w:rPr>
          <w:rFonts w:ascii="Times New Roman" w:hAnsi="Times New Roman" w:cs="Times New Roman"/>
          <w:bCs/>
          <w:sz w:val="24"/>
          <w:szCs w:val="24"/>
        </w:rPr>
        <w:lastRenderedPageBreak/>
        <w:t xml:space="preserve">grupales, mejores comportamientos y actitudes durante el desarrollo de las clases. El aprendizaje o experiencia de los profesores que impartieron esta unidad de aprendizaje, por el simple hecho de que obtiene la más baja valoración de los estudiantes, debe ser motivo de reflexión para innovar con nuevas estrategias y no aferrarse a repetir prácticas que </w:t>
      </w:r>
      <w:r w:rsidR="0099224A">
        <w:rPr>
          <w:rFonts w:ascii="Times New Roman" w:hAnsi="Times New Roman" w:cs="Times New Roman"/>
          <w:bCs/>
          <w:sz w:val="24"/>
          <w:szCs w:val="24"/>
        </w:rPr>
        <w:t>no están siendo bien recibidas por los alumnos.</w:t>
      </w:r>
    </w:p>
    <w:p w14:paraId="7A8EDC1D" w14:textId="3FE6A57C" w:rsidR="00165FCF" w:rsidRPr="0099224A" w:rsidRDefault="00165FCF" w:rsidP="002363C6">
      <w:pPr>
        <w:pStyle w:val="Prrafodelista"/>
        <w:numPr>
          <w:ilvl w:val="0"/>
          <w:numId w:val="6"/>
        </w:numPr>
        <w:spacing w:line="360" w:lineRule="auto"/>
        <w:jc w:val="both"/>
        <w:rPr>
          <w:rFonts w:ascii="Times New Roman" w:hAnsi="Times New Roman" w:cs="Times New Roman"/>
          <w:b/>
          <w:bCs/>
          <w:sz w:val="24"/>
          <w:szCs w:val="24"/>
        </w:rPr>
      </w:pPr>
      <w:r w:rsidRPr="0099224A">
        <w:rPr>
          <w:rFonts w:ascii="Times New Roman" w:hAnsi="Times New Roman" w:cs="Times New Roman"/>
          <w:b/>
          <w:bCs/>
          <w:sz w:val="24"/>
          <w:szCs w:val="24"/>
        </w:rPr>
        <w:t>Análisis por categorías</w:t>
      </w:r>
      <w:r w:rsidRPr="0099224A">
        <w:rPr>
          <w:rFonts w:ascii="Times New Roman" w:hAnsi="Times New Roman" w:cs="Times New Roman"/>
          <w:b/>
          <w:sz w:val="24"/>
          <w:szCs w:val="24"/>
        </w:rPr>
        <w:t xml:space="preserve"> cohorte DIA: Periodo </w:t>
      </w:r>
      <w:r w:rsidR="0099224A" w:rsidRPr="0099224A">
        <w:rPr>
          <w:rFonts w:ascii="Times New Roman" w:hAnsi="Times New Roman" w:cs="Times New Roman"/>
          <w:b/>
          <w:sz w:val="24"/>
          <w:szCs w:val="24"/>
        </w:rPr>
        <w:t>2</w:t>
      </w:r>
    </w:p>
    <w:p w14:paraId="4606D4E0" w14:textId="210AB5A9" w:rsidR="00357E9F" w:rsidRDefault="0099224A" w:rsidP="002363C6">
      <w:pPr>
        <w:spacing w:line="360" w:lineRule="auto"/>
        <w:jc w:val="both"/>
        <w:rPr>
          <w:rFonts w:ascii="Times New Roman" w:eastAsia="Times New Roman" w:hAnsi="Times New Roman" w:cs="Times New Roman"/>
          <w:color w:val="000000"/>
          <w:sz w:val="24"/>
          <w:szCs w:val="24"/>
          <w:lang w:eastAsia="es-MX"/>
        </w:rPr>
      </w:pPr>
      <w:r>
        <w:rPr>
          <w:rFonts w:ascii="Times New Roman" w:hAnsi="Times New Roman" w:cs="Times New Roman"/>
          <w:bCs/>
          <w:sz w:val="24"/>
          <w:szCs w:val="24"/>
        </w:rPr>
        <w:t>Utilizando la</w:t>
      </w:r>
      <w:r w:rsidR="00165FCF">
        <w:rPr>
          <w:rFonts w:ascii="Times New Roman" w:hAnsi="Times New Roman" w:cs="Times New Roman"/>
          <w:bCs/>
          <w:sz w:val="24"/>
          <w:szCs w:val="24"/>
        </w:rPr>
        <w:t xml:space="preserve"> media aritmética de cada categoría </w:t>
      </w:r>
      <w:r>
        <w:rPr>
          <w:rFonts w:ascii="Times New Roman" w:hAnsi="Times New Roman" w:cs="Times New Roman"/>
          <w:bCs/>
          <w:sz w:val="24"/>
          <w:szCs w:val="24"/>
        </w:rPr>
        <w:t xml:space="preserve">analítica </w:t>
      </w:r>
      <w:r w:rsidR="00165FCF">
        <w:rPr>
          <w:rFonts w:ascii="Times New Roman" w:hAnsi="Times New Roman" w:cs="Times New Roman"/>
          <w:bCs/>
          <w:sz w:val="24"/>
          <w:szCs w:val="24"/>
        </w:rPr>
        <w:t xml:space="preserve">de la Tabla </w:t>
      </w:r>
      <w:r>
        <w:rPr>
          <w:rFonts w:ascii="Times New Roman" w:hAnsi="Times New Roman" w:cs="Times New Roman"/>
          <w:bCs/>
          <w:sz w:val="24"/>
          <w:szCs w:val="24"/>
        </w:rPr>
        <w:t>9</w:t>
      </w:r>
      <w:r w:rsidR="00165FCF">
        <w:rPr>
          <w:rFonts w:ascii="Times New Roman" w:hAnsi="Times New Roman" w:cs="Times New Roman"/>
          <w:bCs/>
          <w:sz w:val="24"/>
          <w:szCs w:val="24"/>
        </w:rPr>
        <w:t xml:space="preserve">, se </w:t>
      </w:r>
      <w:r>
        <w:rPr>
          <w:rFonts w:ascii="Times New Roman" w:hAnsi="Times New Roman" w:cs="Times New Roman"/>
          <w:bCs/>
          <w:sz w:val="24"/>
          <w:szCs w:val="24"/>
        </w:rPr>
        <w:t xml:space="preserve">determina </w:t>
      </w:r>
      <w:r w:rsidR="00165FCF">
        <w:rPr>
          <w:rFonts w:ascii="Times New Roman" w:hAnsi="Times New Roman" w:cs="Times New Roman"/>
          <w:bCs/>
          <w:sz w:val="24"/>
          <w:szCs w:val="24"/>
        </w:rPr>
        <w:t>que el intervalo de confianza es [</w:t>
      </w:r>
      <w:r w:rsidR="00165FCF" w:rsidRPr="00261657">
        <w:rPr>
          <w:rFonts w:ascii="Arial" w:hAnsi="Arial" w:cs="Arial"/>
          <w:position w:val="-10"/>
        </w:rPr>
        <w:object w:dxaOrig="700" w:dyaOrig="320" w14:anchorId="4FCBF305">
          <v:shape id="_x0000_i1044" type="#_x0000_t75" style="width:34.5pt;height:15.75pt" o:ole="">
            <v:imagedata r:id="rId14" o:title=""/>
          </v:shape>
          <o:OLEObject Type="Embed" ProgID="Equation.3" ShapeID="_x0000_i1044" DrawAspect="Content" ObjectID="_1530953743" r:id="rId32"/>
        </w:object>
      </w:r>
      <w:r w:rsidR="00165FCF">
        <w:rPr>
          <w:rFonts w:ascii="Times New Roman" w:hAnsi="Times New Roman" w:cs="Times New Roman"/>
          <w:bCs/>
          <w:sz w:val="24"/>
          <w:szCs w:val="24"/>
        </w:rPr>
        <w:t>] = [</w:t>
      </w:r>
      <w:r>
        <w:rPr>
          <w:rFonts w:ascii="Times New Roman" w:hAnsi="Times New Roman" w:cs="Times New Roman"/>
          <w:bCs/>
          <w:sz w:val="24"/>
          <w:szCs w:val="24"/>
        </w:rPr>
        <w:t>84,</w:t>
      </w:r>
      <w:r w:rsidR="00165FCF">
        <w:rPr>
          <w:rFonts w:ascii="Arial" w:hAnsi="Arial" w:cs="Arial"/>
        </w:rPr>
        <w:t xml:space="preserve"> </w:t>
      </w:r>
      <w:r>
        <w:rPr>
          <w:rFonts w:ascii="Arial" w:hAnsi="Arial" w:cs="Arial"/>
        </w:rPr>
        <w:t>91</w:t>
      </w:r>
      <w:r w:rsidR="00165FCF">
        <w:rPr>
          <w:rFonts w:ascii="Times New Roman" w:hAnsi="Times New Roman" w:cs="Times New Roman"/>
          <w:bCs/>
          <w:sz w:val="24"/>
          <w:szCs w:val="24"/>
        </w:rPr>
        <w:t>]. De acuerdo con esto</w:t>
      </w:r>
      <w:r>
        <w:rPr>
          <w:rFonts w:ascii="Times New Roman" w:hAnsi="Times New Roman" w:cs="Times New Roman"/>
          <w:bCs/>
          <w:sz w:val="24"/>
          <w:szCs w:val="24"/>
        </w:rPr>
        <w:t xml:space="preserve">, </w:t>
      </w:r>
      <w:r w:rsidR="00165FCF">
        <w:rPr>
          <w:rFonts w:ascii="Times New Roman" w:hAnsi="Times New Roman" w:cs="Times New Roman"/>
          <w:bCs/>
          <w:sz w:val="24"/>
          <w:szCs w:val="24"/>
        </w:rPr>
        <w:t xml:space="preserve">la categoría que se encuentra por encima de este intervalo es </w:t>
      </w:r>
      <w:r w:rsidR="00165FCF" w:rsidRPr="00545274">
        <w:rPr>
          <w:rFonts w:ascii="Times New Roman" w:eastAsia="Times New Roman" w:hAnsi="Times New Roman" w:cs="Times New Roman"/>
          <w:i/>
          <w:color w:val="000000"/>
          <w:sz w:val="24"/>
          <w:szCs w:val="24"/>
          <w:lang w:eastAsia="es-MX"/>
        </w:rPr>
        <w:t>Manejo de contenidos</w:t>
      </w:r>
      <w:r w:rsidR="00165FCF" w:rsidRPr="001C6EBA">
        <w:rPr>
          <w:rFonts w:ascii="Times New Roman" w:eastAsia="Times New Roman" w:hAnsi="Times New Roman" w:cs="Times New Roman"/>
          <w:color w:val="000000"/>
          <w:sz w:val="24"/>
          <w:szCs w:val="24"/>
          <w:lang w:eastAsia="es-MX"/>
        </w:rPr>
        <w:t xml:space="preserve"> </w:t>
      </w:r>
      <w:r w:rsidR="00165FCF">
        <w:rPr>
          <w:rFonts w:ascii="Times New Roman" w:eastAsia="Times New Roman" w:hAnsi="Times New Roman" w:cs="Times New Roman"/>
          <w:color w:val="000000"/>
          <w:sz w:val="24"/>
          <w:szCs w:val="24"/>
          <w:lang w:eastAsia="es-MX"/>
        </w:rPr>
        <w:t xml:space="preserve">(C = </w:t>
      </w:r>
      <w:r w:rsidR="007D7F2D">
        <w:rPr>
          <w:rFonts w:ascii="Times New Roman" w:eastAsia="Times New Roman" w:hAnsi="Times New Roman" w:cs="Times New Roman"/>
          <w:color w:val="000000"/>
          <w:sz w:val="24"/>
          <w:szCs w:val="24"/>
          <w:lang w:eastAsia="es-MX"/>
        </w:rPr>
        <w:t>92</w:t>
      </w:r>
      <w:r w:rsidR="00165FCF">
        <w:rPr>
          <w:rFonts w:ascii="Times New Roman" w:eastAsia="Times New Roman" w:hAnsi="Times New Roman" w:cs="Times New Roman"/>
          <w:color w:val="000000"/>
          <w:sz w:val="24"/>
          <w:szCs w:val="24"/>
          <w:lang w:eastAsia="es-MX"/>
        </w:rPr>
        <w:t>)</w:t>
      </w:r>
      <w:r w:rsidR="007D7F2D">
        <w:rPr>
          <w:rFonts w:ascii="Times New Roman" w:eastAsia="Times New Roman" w:hAnsi="Times New Roman" w:cs="Times New Roman"/>
          <w:color w:val="000000"/>
          <w:sz w:val="24"/>
          <w:szCs w:val="24"/>
          <w:lang w:eastAsia="es-MX"/>
        </w:rPr>
        <w:t xml:space="preserve"> y </w:t>
      </w:r>
      <w:r w:rsidR="007D7F2D" w:rsidRPr="007D7F2D">
        <w:rPr>
          <w:rFonts w:ascii="Times New Roman" w:eastAsia="Times New Roman" w:hAnsi="Times New Roman" w:cs="Times New Roman"/>
          <w:i/>
          <w:color w:val="000000"/>
          <w:sz w:val="24"/>
          <w:szCs w:val="24"/>
          <w:lang w:eastAsia="es-MX"/>
        </w:rPr>
        <w:t>Evaluación del aprendizaje</w:t>
      </w:r>
      <w:r w:rsidR="007D7F2D">
        <w:rPr>
          <w:rFonts w:ascii="Times New Roman" w:eastAsia="Times New Roman" w:hAnsi="Times New Roman" w:cs="Times New Roman"/>
          <w:color w:val="000000"/>
          <w:sz w:val="24"/>
          <w:szCs w:val="24"/>
          <w:lang w:eastAsia="es-MX"/>
        </w:rPr>
        <w:t xml:space="preserve"> (G = 93)</w:t>
      </w:r>
      <w:r w:rsidR="00165FCF">
        <w:rPr>
          <w:rFonts w:ascii="Times New Roman" w:eastAsia="Times New Roman" w:hAnsi="Times New Roman" w:cs="Times New Roman"/>
          <w:color w:val="000000"/>
          <w:sz w:val="24"/>
          <w:szCs w:val="24"/>
          <w:lang w:eastAsia="es-MX"/>
        </w:rPr>
        <w:t>, lo que indica que los alumnos perciben a los profesores con elevado nivel de conocimiento</w:t>
      </w:r>
      <w:r w:rsidR="007D7F2D">
        <w:rPr>
          <w:rFonts w:ascii="Times New Roman" w:eastAsia="Times New Roman" w:hAnsi="Times New Roman" w:cs="Times New Roman"/>
          <w:color w:val="000000"/>
          <w:sz w:val="24"/>
          <w:szCs w:val="24"/>
          <w:lang w:eastAsia="es-MX"/>
        </w:rPr>
        <w:t xml:space="preserve"> y buenas estrategias de evaluación de aprendizajes</w:t>
      </w:r>
      <w:r w:rsidR="00165FCF">
        <w:rPr>
          <w:rFonts w:ascii="Times New Roman" w:eastAsia="Times New Roman" w:hAnsi="Times New Roman" w:cs="Times New Roman"/>
          <w:color w:val="000000"/>
          <w:sz w:val="24"/>
          <w:szCs w:val="24"/>
          <w:lang w:eastAsia="es-MX"/>
        </w:rPr>
        <w:t xml:space="preserve">. </w:t>
      </w:r>
      <w:r w:rsidR="001877EB">
        <w:rPr>
          <w:rFonts w:ascii="Times New Roman" w:eastAsia="Times New Roman" w:hAnsi="Times New Roman" w:cs="Times New Roman"/>
          <w:color w:val="000000"/>
          <w:sz w:val="24"/>
          <w:szCs w:val="24"/>
          <w:lang w:eastAsia="es-MX"/>
        </w:rPr>
        <w:t>Los alumnos de esta cohorte, siguen reconociendo e</w:t>
      </w:r>
      <w:r w:rsidR="00357E9F">
        <w:rPr>
          <w:rFonts w:ascii="Times New Roman" w:eastAsia="Times New Roman" w:hAnsi="Times New Roman" w:cs="Times New Roman"/>
          <w:color w:val="000000"/>
          <w:sz w:val="24"/>
          <w:szCs w:val="24"/>
          <w:lang w:eastAsia="es-MX"/>
        </w:rPr>
        <w:t xml:space="preserve">l manejo de contenidos de los profesores en este semestre </w:t>
      </w:r>
    </w:p>
    <w:p w14:paraId="290905A3" w14:textId="77777777" w:rsidR="00990ADE" w:rsidRDefault="00165FCF" w:rsidP="002363C6">
      <w:pPr>
        <w:spacing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Las categorías del desempeño docente cuya valoración se encuentra por debajo del intervalo </w:t>
      </w:r>
      <w:r w:rsidR="009D2422">
        <w:rPr>
          <w:rFonts w:ascii="Times New Roman" w:eastAsia="Times New Roman" w:hAnsi="Times New Roman" w:cs="Times New Roman"/>
          <w:color w:val="000000"/>
          <w:sz w:val="24"/>
          <w:szCs w:val="24"/>
          <w:lang w:eastAsia="es-MX"/>
        </w:rPr>
        <w:t xml:space="preserve">es </w:t>
      </w:r>
      <w:r w:rsidR="009D2422" w:rsidRPr="009D2422">
        <w:rPr>
          <w:rFonts w:ascii="Times New Roman" w:eastAsia="Times New Roman" w:hAnsi="Times New Roman" w:cs="Times New Roman"/>
          <w:i/>
          <w:color w:val="000000"/>
          <w:sz w:val="24"/>
          <w:szCs w:val="24"/>
          <w:lang w:eastAsia="es-MX"/>
        </w:rPr>
        <w:t>Uso del tiempo</w:t>
      </w:r>
      <w:r w:rsidR="009D2422">
        <w:rPr>
          <w:rFonts w:ascii="Times New Roman" w:eastAsia="Times New Roman" w:hAnsi="Times New Roman" w:cs="Times New Roman"/>
          <w:color w:val="000000"/>
          <w:sz w:val="24"/>
          <w:szCs w:val="24"/>
          <w:lang w:eastAsia="es-MX"/>
        </w:rPr>
        <w:t xml:space="preserve"> (B = 82)</w:t>
      </w:r>
      <w:r>
        <w:rPr>
          <w:rFonts w:ascii="Times New Roman" w:eastAsia="Times New Roman" w:hAnsi="Times New Roman" w:cs="Times New Roman"/>
          <w:color w:val="000000"/>
          <w:sz w:val="24"/>
          <w:szCs w:val="24"/>
          <w:lang w:eastAsia="es-MX"/>
        </w:rPr>
        <w:t xml:space="preserve">. </w:t>
      </w:r>
      <w:r w:rsidR="007C6FB0">
        <w:rPr>
          <w:rFonts w:ascii="Times New Roman" w:eastAsia="Times New Roman" w:hAnsi="Times New Roman" w:cs="Times New Roman"/>
          <w:color w:val="000000"/>
          <w:sz w:val="24"/>
          <w:szCs w:val="24"/>
          <w:lang w:eastAsia="es-MX"/>
        </w:rPr>
        <w:t>Uno de los retos que tenemos los maestros es que en el proceso de formación se tiene que luchar contra las malas costumbres sociales, que en ocasiones simplemente y con el ánimo de reflexionar sobre ellas o combatirlas, con cierto grado de resignación decimos –así es nuestra cultura-. En este caso, el uso del tiempo se valora a través de la asistencia regular a clases, a la puntualidad y al aprovechamiento del tiempo de la clase para la atención/exposición/discusión/reflexión de los temas contemplados de acuerdo al programa de la asignatura y la planeación de la misma</w:t>
      </w:r>
      <w:r>
        <w:rPr>
          <w:rFonts w:ascii="Times New Roman" w:eastAsia="Times New Roman" w:hAnsi="Times New Roman" w:cs="Times New Roman"/>
          <w:color w:val="000000"/>
          <w:sz w:val="24"/>
          <w:szCs w:val="24"/>
          <w:lang w:eastAsia="es-MX"/>
        </w:rPr>
        <w:t>.</w:t>
      </w:r>
      <w:r w:rsidR="00637161">
        <w:rPr>
          <w:rFonts w:ascii="Times New Roman" w:eastAsia="Times New Roman" w:hAnsi="Times New Roman" w:cs="Times New Roman"/>
          <w:color w:val="000000"/>
          <w:sz w:val="24"/>
          <w:szCs w:val="24"/>
          <w:lang w:eastAsia="es-MX"/>
        </w:rPr>
        <w:t xml:space="preserve"> </w:t>
      </w:r>
    </w:p>
    <w:p w14:paraId="59312303" w14:textId="5A2A0D56" w:rsidR="00165FCF" w:rsidRDefault="00637161" w:rsidP="002363C6">
      <w:pPr>
        <w:spacing w:line="360" w:lineRule="auto"/>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La puntualidad, la responsabilidad y el respeto son valores, como muchos otros, que se practican, que se ponen de manifiesto en las formas de cumplir nuestras tareas diarias y en el trato que establecemos con las personas que interactuamos. En otros estudios (Romero, Rodríguez y </w:t>
      </w:r>
      <w:r w:rsidR="00BD4546">
        <w:rPr>
          <w:rFonts w:ascii="Times New Roman" w:eastAsia="Times New Roman" w:hAnsi="Times New Roman" w:cs="Times New Roman"/>
          <w:color w:val="000000"/>
          <w:sz w:val="24"/>
          <w:szCs w:val="24"/>
          <w:lang w:eastAsia="es-MX"/>
        </w:rPr>
        <w:t xml:space="preserve">Ruelas, 2012) se encuentra que la puntualidad es uno de los valores que más se exige a los profesionistas en el mercado laboral. Si durante el proceso de formación profesional, la puntualidad se practica constantemente, esto se convertirá en un hábito y no generará ningún problema, al contrario, la puntualidad ayuda a elevar la autoestima y a reducir el estrés debido a la satisfacción de sentir que se cumple a tiempo con las </w:t>
      </w:r>
      <w:r w:rsidR="00BD4546">
        <w:rPr>
          <w:rFonts w:ascii="Times New Roman" w:eastAsia="Times New Roman" w:hAnsi="Times New Roman" w:cs="Times New Roman"/>
          <w:color w:val="000000"/>
          <w:sz w:val="24"/>
          <w:szCs w:val="24"/>
          <w:lang w:eastAsia="es-MX"/>
        </w:rPr>
        <w:lastRenderedPageBreak/>
        <w:t>responsabilidades, es decir, la puntualidad no solo es llegar a tiempo a una cita, es llegar en el momento acordado habiendo cumplido con las actividades previamente acordadas. Llegar a tiempo, sin hacer la tarea, sin la lectura previa del tema a tratar, desvelado y a dormir en clase, eso es falta de respeto y es como no llegar</w:t>
      </w:r>
      <w:r w:rsidR="00E773E7">
        <w:rPr>
          <w:rFonts w:ascii="Times New Roman" w:eastAsia="Times New Roman" w:hAnsi="Times New Roman" w:cs="Times New Roman"/>
          <w:color w:val="000000"/>
          <w:sz w:val="24"/>
          <w:szCs w:val="24"/>
          <w:lang w:eastAsia="es-MX"/>
        </w:rPr>
        <w:t>, es simulación académica, es tratar de manifestar interés cuando realmente no se tiene. Este tipo de cosas es con lo que los maestros tenemos que luchar para poder decir que estamos brindando una educación de calidad.</w:t>
      </w:r>
      <w:r>
        <w:rPr>
          <w:rFonts w:ascii="Times New Roman" w:eastAsia="Times New Roman" w:hAnsi="Times New Roman" w:cs="Times New Roman"/>
          <w:color w:val="000000"/>
          <w:sz w:val="24"/>
          <w:szCs w:val="24"/>
          <w:lang w:eastAsia="es-MX"/>
        </w:rPr>
        <w:t xml:space="preserve">  </w:t>
      </w:r>
    </w:p>
    <w:p w14:paraId="324258A4" w14:textId="77E558E6" w:rsidR="00F221BD" w:rsidRPr="00165FCF" w:rsidRDefault="00F221BD" w:rsidP="002363C6">
      <w:pPr>
        <w:pStyle w:val="Default"/>
        <w:numPr>
          <w:ilvl w:val="0"/>
          <w:numId w:val="6"/>
        </w:numPr>
        <w:spacing w:after="240" w:line="360" w:lineRule="auto"/>
        <w:jc w:val="both"/>
        <w:rPr>
          <w:rFonts w:ascii="Times New Roman" w:hAnsi="Times New Roman" w:cs="Times New Roman"/>
          <w:b/>
        </w:rPr>
      </w:pPr>
      <w:r w:rsidRPr="00165FCF">
        <w:rPr>
          <w:rFonts w:ascii="Times New Roman" w:hAnsi="Times New Roman" w:cs="Times New Roman"/>
          <w:b/>
        </w:rPr>
        <w:t>Análisis por unidades de aprendizaje</w:t>
      </w:r>
      <w:r w:rsidR="003B1236">
        <w:rPr>
          <w:rFonts w:ascii="Times New Roman" w:hAnsi="Times New Roman" w:cs="Times New Roman"/>
          <w:b/>
        </w:rPr>
        <w:t>,</w:t>
      </w:r>
      <w:r w:rsidRPr="00165FCF">
        <w:rPr>
          <w:rFonts w:ascii="Times New Roman" w:hAnsi="Times New Roman" w:cs="Times New Roman"/>
          <w:b/>
        </w:rPr>
        <w:t xml:space="preserve"> cohorte D</w:t>
      </w:r>
      <w:r>
        <w:rPr>
          <w:rFonts w:ascii="Times New Roman" w:hAnsi="Times New Roman" w:cs="Times New Roman"/>
          <w:b/>
        </w:rPr>
        <w:t>UP</w:t>
      </w:r>
      <w:r w:rsidRPr="00165FCF">
        <w:rPr>
          <w:rFonts w:ascii="Times New Roman" w:hAnsi="Times New Roman" w:cs="Times New Roman"/>
          <w:b/>
        </w:rPr>
        <w:t xml:space="preserve">: Periodo </w:t>
      </w:r>
      <w:r>
        <w:rPr>
          <w:rFonts w:ascii="Times New Roman" w:hAnsi="Times New Roman" w:cs="Times New Roman"/>
          <w:b/>
        </w:rPr>
        <w:t>1</w:t>
      </w:r>
    </w:p>
    <w:p w14:paraId="7D375C4A" w14:textId="5FAAD9D7" w:rsidR="00016EB5" w:rsidRDefault="00016EB5" w:rsidP="002363C6">
      <w:pPr>
        <w:pStyle w:val="Default"/>
        <w:spacing w:after="240" w:line="360" w:lineRule="auto"/>
        <w:jc w:val="both"/>
        <w:rPr>
          <w:rFonts w:ascii="Times New Roman" w:hAnsi="Times New Roman" w:cs="Times New Roman"/>
        </w:rPr>
      </w:pPr>
      <w:r>
        <w:rPr>
          <w:rFonts w:ascii="Times New Roman" w:hAnsi="Times New Roman" w:cs="Times New Roman"/>
        </w:rPr>
        <w:t>En este primer periodo de la licenciatura en DUP participan doce profesores de los cuales seis tiene</w:t>
      </w:r>
      <w:r w:rsidR="00B50F4E">
        <w:rPr>
          <w:rFonts w:ascii="Times New Roman" w:hAnsi="Times New Roman" w:cs="Times New Roman"/>
        </w:rPr>
        <w:t>n</w:t>
      </w:r>
      <w:r>
        <w:rPr>
          <w:rFonts w:ascii="Times New Roman" w:hAnsi="Times New Roman" w:cs="Times New Roman"/>
        </w:rPr>
        <w:t xml:space="preserve"> licenciatura, cuatro son maestros en ciencias y dos ostentan el grado de doctor. En cuanto a la experiencia docente, principalmente adquirida en la licenciatura en arquitectura, el rango de antigüedad docente de este grupo de profesores es de 6 meses a 25.21 años con una media de 5.17 años de experiencia docente.</w:t>
      </w:r>
    </w:p>
    <w:p w14:paraId="0E5F78B9" w14:textId="77777777" w:rsidR="00165FCF" w:rsidRDefault="00165FCF" w:rsidP="003B1236">
      <w:pPr>
        <w:pStyle w:val="Default"/>
        <w:spacing w:after="240" w:line="360" w:lineRule="auto"/>
        <w:rPr>
          <w:rFonts w:ascii="Times New Roman" w:hAnsi="Times New Roman" w:cs="Times New Roman"/>
        </w:rPr>
      </w:pPr>
    </w:p>
    <w:tbl>
      <w:tblPr>
        <w:tblStyle w:val="ListTable3Accent6"/>
        <w:tblW w:w="9153" w:type="dxa"/>
        <w:tblLook w:val="04A0" w:firstRow="1" w:lastRow="0" w:firstColumn="1" w:lastColumn="0" w:noHBand="0" w:noVBand="1"/>
      </w:tblPr>
      <w:tblGrid>
        <w:gridCol w:w="4957"/>
        <w:gridCol w:w="546"/>
        <w:gridCol w:w="546"/>
        <w:gridCol w:w="436"/>
        <w:gridCol w:w="436"/>
        <w:gridCol w:w="546"/>
        <w:gridCol w:w="546"/>
        <w:gridCol w:w="546"/>
        <w:gridCol w:w="594"/>
      </w:tblGrid>
      <w:tr w:rsidR="00F273FE" w:rsidRPr="00427A40" w14:paraId="78FF5516" w14:textId="77777777" w:rsidTr="003F2AF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153" w:type="dxa"/>
            <w:gridSpan w:val="9"/>
            <w:tcBorders>
              <w:top w:val="single" w:sz="4" w:space="0" w:color="F79646" w:themeColor="accent6"/>
              <w:bottom w:val="single" w:sz="4" w:space="0" w:color="auto"/>
            </w:tcBorders>
            <w:vAlign w:val="center"/>
            <w:hideMark/>
          </w:tcPr>
          <w:p w14:paraId="1B4900BD" w14:textId="3E234DC7" w:rsidR="00F273FE" w:rsidRPr="00427A40" w:rsidRDefault="00F273FE" w:rsidP="00F273FE">
            <w:pPr>
              <w:spacing w:line="360" w:lineRule="auto"/>
              <w:rPr>
                <w:rFonts w:ascii="Times New Roman" w:eastAsia="Times New Roman" w:hAnsi="Times New Roman" w:cs="Times New Roman"/>
                <w:color w:val="000000"/>
                <w:lang w:eastAsia="es-MX"/>
              </w:rPr>
            </w:pPr>
            <w:r w:rsidRPr="00427A40">
              <w:rPr>
                <w:rFonts w:ascii="Times New Roman" w:eastAsia="Times New Roman" w:hAnsi="Times New Roman" w:cs="Times New Roman"/>
                <w:color w:val="000000"/>
                <w:lang w:eastAsia="es-MX"/>
              </w:rPr>
              <w:t>Tabla 10:</w:t>
            </w:r>
          </w:p>
          <w:p w14:paraId="4E9659C9" w14:textId="74508668" w:rsidR="00F273FE" w:rsidRPr="00427A40" w:rsidRDefault="00F273FE" w:rsidP="00427A40">
            <w:pPr>
              <w:ind w:right="-164"/>
              <w:rPr>
                <w:rFonts w:ascii="Times New Roman" w:eastAsia="Times New Roman" w:hAnsi="Times New Roman" w:cs="Times New Roman"/>
                <w:color w:val="000000"/>
                <w:lang w:eastAsia="es-MX"/>
              </w:rPr>
            </w:pPr>
            <w:r w:rsidRPr="00427A40">
              <w:rPr>
                <w:rFonts w:ascii="Times New Roman" w:eastAsia="Times New Roman" w:hAnsi="Times New Roman" w:cs="Times New Roman"/>
                <w:color w:val="000000"/>
                <w:lang w:eastAsia="es-MX"/>
              </w:rPr>
              <w:t>Evaluación del desempeño docente por unidades de aprendizaje de la cohorte DUP, Periodo 1</w:t>
            </w:r>
          </w:p>
        </w:tc>
      </w:tr>
      <w:tr w:rsidR="00F273FE" w:rsidRPr="00427A40" w14:paraId="768AA42F" w14:textId="77777777" w:rsidTr="003F2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vMerge w:val="restart"/>
            <w:tcBorders>
              <w:top w:val="single" w:sz="4" w:space="0" w:color="auto"/>
            </w:tcBorders>
            <w:vAlign w:val="center"/>
            <w:hideMark/>
          </w:tcPr>
          <w:p w14:paraId="2D1576F5" w14:textId="7485273B" w:rsidR="00F273FE" w:rsidRPr="00427A40" w:rsidRDefault="00F273FE" w:rsidP="00F273FE">
            <w:pPr>
              <w:rPr>
                <w:rFonts w:ascii="Times New Roman" w:eastAsia="Times New Roman" w:hAnsi="Times New Roman" w:cs="Times New Roman"/>
                <w:color w:val="000000"/>
                <w:lang w:eastAsia="es-MX"/>
              </w:rPr>
            </w:pPr>
            <w:r w:rsidRPr="00427A40">
              <w:rPr>
                <w:rFonts w:ascii="Times New Roman" w:eastAsia="Times New Roman" w:hAnsi="Times New Roman" w:cs="Times New Roman"/>
                <w:color w:val="000000"/>
                <w:lang w:eastAsia="es-MX"/>
              </w:rPr>
              <w:t> Unidades de aprendizaje</w:t>
            </w:r>
          </w:p>
          <w:p w14:paraId="64EFCF05" w14:textId="2B816E52" w:rsidR="00F273FE" w:rsidRPr="00427A40" w:rsidRDefault="00F273FE" w:rsidP="00F273FE">
            <w:pPr>
              <w:rPr>
                <w:rFonts w:ascii="Times New Roman" w:eastAsia="Times New Roman" w:hAnsi="Times New Roman" w:cs="Times New Roman"/>
                <w:color w:val="000000"/>
                <w:lang w:eastAsia="es-MX"/>
              </w:rPr>
            </w:pPr>
            <w:r w:rsidRPr="00427A40">
              <w:rPr>
                <w:rFonts w:ascii="Times New Roman" w:eastAsia="Times New Roman" w:hAnsi="Times New Roman" w:cs="Times New Roman"/>
                <w:color w:val="000000"/>
                <w:lang w:eastAsia="es-MX"/>
              </w:rPr>
              <w:t> </w:t>
            </w:r>
          </w:p>
        </w:tc>
        <w:tc>
          <w:tcPr>
            <w:tcW w:w="4196" w:type="dxa"/>
            <w:gridSpan w:val="8"/>
            <w:tcBorders>
              <w:top w:val="single" w:sz="4" w:space="0" w:color="auto"/>
            </w:tcBorders>
            <w:noWrap/>
            <w:vAlign w:val="center"/>
            <w:hideMark/>
          </w:tcPr>
          <w:p w14:paraId="0FCE406F" w14:textId="47A64951"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eastAsia="Times New Roman" w:hAnsi="Times New Roman" w:cs="Times New Roman"/>
                <w:color w:val="000000"/>
                <w:lang w:eastAsia="es-MX"/>
              </w:rPr>
              <w:t>CATEGORÍAS ANALÍTICAS </w:t>
            </w:r>
          </w:p>
        </w:tc>
      </w:tr>
      <w:tr w:rsidR="00F273FE" w:rsidRPr="00427A40" w14:paraId="64072299" w14:textId="77777777" w:rsidTr="003F2AFD">
        <w:trPr>
          <w:trHeight w:val="300"/>
        </w:trPr>
        <w:tc>
          <w:tcPr>
            <w:cnfStyle w:val="001000000000" w:firstRow="0" w:lastRow="0" w:firstColumn="1" w:lastColumn="0" w:oddVBand="0" w:evenVBand="0" w:oddHBand="0" w:evenHBand="0" w:firstRowFirstColumn="0" w:firstRowLastColumn="0" w:lastRowFirstColumn="0" w:lastRowLastColumn="0"/>
            <w:tcW w:w="4957" w:type="dxa"/>
            <w:vMerge/>
            <w:tcBorders>
              <w:bottom w:val="single" w:sz="4" w:space="0" w:color="auto"/>
            </w:tcBorders>
            <w:noWrap/>
            <w:vAlign w:val="center"/>
            <w:hideMark/>
          </w:tcPr>
          <w:p w14:paraId="3FC99250" w14:textId="05F542EF" w:rsidR="00F273FE" w:rsidRPr="00427A40" w:rsidRDefault="00F273FE" w:rsidP="00F273FE">
            <w:pPr>
              <w:rPr>
                <w:rFonts w:ascii="Times New Roman" w:eastAsia="Times New Roman" w:hAnsi="Times New Roman" w:cs="Times New Roman"/>
                <w:color w:val="000000"/>
                <w:lang w:eastAsia="es-MX"/>
              </w:rPr>
            </w:pPr>
          </w:p>
        </w:tc>
        <w:tc>
          <w:tcPr>
            <w:tcW w:w="546" w:type="dxa"/>
            <w:tcBorders>
              <w:bottom w:val="single" w:sz="4" w:space="0" w:color="auto"/>
            </w:tcBorders>
            <w:noWrap/>
            <w:vAlign w:val="center"/>
          </w:tcPr>
          <w:p w14:paraId="32FEEEFD"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A</w:t>
            </w:r>
          </w:p>
        </w:tc>
        <w:tc>
          <w:tcPr>
            <w:tcW w:w="546" w:type="dxa"/>
            <w:tcBorders>
              <w:bottom w:val="single" w:sz="4" w:space="0" w:color="auto"/>
            </w:tcBorders>
            <w:noWrap/>
            <w:vAlign w:val="center"/>
          </w:tcPr>
          <w:p w14:paraId="79233746"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B</w:t>
            </w:r>
          </w:p>
        </w:tc>
        <w:tc>
          <w:tcPr>
            <w:tcW w:w="436" w:type="dxa"/>
            <w:tcBorders>
              <w:bottom w:val="single" w:sz="4" w:space="0" w:color="auto"/>
            </w:tcBorders>
            <w:noWrap/>
            <w:vAlign w:val="center"/>
          </w:tcPr>
          <w:p w14:paraId="570C70B0"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C</w:t>
            </w:r>
          </w:p>
        </w:tc>
        <w:tc>
          <w:tcPr>
            <w:tcW w:w="436" w:type="dxa"/>
            <w:tcBorders>
              <w:bottom w:val="single" w:sz="4" w:space="0" w:color="auto"/>
            </w:tcBorders>
            <w:noWrap/>
            <w:vAlign w:val="center"/>
          </w:tcPr>
          <w:p w14:paraId="134BFE4F"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D</w:t>
            </w:r>
          </w:p>
        </w:tc>
        <w:tc>
          <w:tcPr>
            <w:tcW w:w="546" w:type="dxa"/>
            <w:tcBorders>
              <w:bottom w:val="single" w:sz="4" w:space="0" w:color="auto"/>
            </w:tcBorders>
            <w:noWrap/>
            <w:vAlign w:val="center"/>
          </w:tcPr>
          <w:p w14:paraId="6567E587"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E</w:t>
            </w:r>
          </w:p>
        </w:tc>
        <w:tc>
          <w:tcPr>
            <w:tcW w:w="546" w:type="dxa"/>
            <w:tcBorders>
              <w:bottom w:val="single" w:sz="4" w:space="0" w:color="auto"/>
            </w:tcBorders>
            <w:noWrap/>
            <w:vAlign w:val="center"/>
          </w:tcPr>
          <w:p w14:paraId="5DDD5B29"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F</w:t>
            </w:r>
          </w:p>
        </w:tc>
        <w:tc>
          <w:tcPr>
            <w:tcW w:w="546" w:type="dxa"/>
            <w:tcBorders>
              <w:bottom w:val="single" w:sz="4" w:space="0" w:color="auto"/>
            </w:tcBorders>
            <w:noWrap/>
            <w:vAlign w:val="center"/>
          </w:tcPr>
          <w:p w14:paraId="0FFF1C0C"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G</w:t>
            </w:r>
          </w:p>
        </w:tc>
        <w:tc>
          <w:tcPr>
            <w:tcW w:w="594" w:type="dxa"/>
            <w:tcBorders>
              <w:bottom w:val="single" w:sz="4" w:space="0" w:color="auto"/>
            </w:tcBorders>
            <w:noWrap/>
            <w:vAlign w:val="center"/>
          </w:tcPr>
          <w:p w14:paraId="48E3BE44"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H</w:t>
            </w:r>
          </w:p>
        </w:tc>
      </w:tr>
      <w:tr w:rsidR="00427A40" w:rsidRPr="00427A40" w14:paraId="34AF0724" w14:textId="77777777" w:rsidTr="003F2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tcBorders>
            <w:vAlign w:val="center"/>
          </w:tcPr>
          <w:p w14:paraId="00C73701" w14:textId="77777777" w:rsidR="00F273FE" w:rsidRPr="00427A40" w:rsidRDefault="00F273FE" w:rsidP="00F273FE">
            <w:pPr>
              <w:rPr>
                <w:rFonts w:ascii="Times New Roman" w:eastAsia="Times New Roman" w:hAnsi="Times New Roman" w:cs="Times New Roman"/>
                <w:color w:val="000000"/>
                <w:lang w:eastAsia="es-MX"/>
              </w:rPr>
            </w:pPr>
            <w:r w:rsidRPr="00427A40">
              <w:rPr>
                <w:rFonts w:ascii="Times New Roman" w:hAnsi="Times New Roman" w:cs="Times New Roman"/>
                <w:color w:val="000000"/>
              </w:rPr>
              <w:t>Taller de Diseño Urbano y del Paisaje</w:t>
            </w:r>
          </w:p>
        </w:tc>
        <w:tc>
          <w:tcPr>
            <w:tcW w:w="546" w:type="dxa"/>
            <w:tcBorders>
              <w:top w:val="single" w:sz="4" w:space="0" w:color="auto"/>
            </w:tcBorders>
            <w:noWrap/>
            <w:vAlign w:val="center"/>
          </w:tcPr>
          <w:p w14:paraId="7595D8A8"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b/>
                <w:bCs/>
                <w:color w:val="000000"/>
              </w:rPr>
              <w:t>81</w:t>
            </w:r>
          </w:p>
        </w:tc>
        <w:tc>
          <w:tcPr>
            <w:tcW w:w="546" w:type="dxa"/>
            <w:tcBorders>
              <w:top w:val="single" w:sz="4" w:space="0" w:color="auto"/>
            </w:tcBorders>
            <w:noWrap/>
            <w:vAlign w:val="center"/>
          </w:tcPr>
          <w:p w14:paraId="10A5A730"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77</w:t>
            </w:r>
          </w:p>
        </w:tc>
        <w:tc>
          <w:tcPr>
            <w:tcW w:w="436" w:type="dxa"/>
            <w:tcBorders>
              <w:top w:val="single" w:sz="4" w:space="0" w:color="auto"/>
            </w:tcBorders>
            <w:noWrap/>
            <w:vAlign w:val="center"/>
          </w:tcPr>
          <w:p w14:paraId="3E0B88B8"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89</w:t>
            </w:r>
          </w:p>
        </w:tc>
        <w:tc>
          <w:tcPr>
            <w:tcW w:w="436" w:type="dxa"/>
            <w:tcBorders>
              <w:top w:val="single" w:sz="4" w:space="0" w:color="auto"/>
            </w:tcBorders>
            <w:noWrap/>
            <w:vAlign w:val="center"/>
          </w:tcPr>
          <w:p w14:paraId="5B88E218"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81</w:t>
            </w:r>
          </w:p>
        </w:tc>
        <w:tc>
          <w:tcPr>
            <w:tcW w:w="546" w:type="dxa"/>
            <w:tcBorders>
              <w:top w:val="single" w:sz="4" w:space="0" w:color="auto"/>
            </w:tcBorders>
            <w:noWrap/>
            <w:vAlign w:val="center"/>
          </w:tcPr>
          <w:p w14:paraId="2D569819"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74</w:t>
            </w:r>
          </w:p>
        </w:tc>
        <w:tc>
          <w:tcPr>
            <w:tcW w:w="546" w:type="dxa"/>
            <w:tcBorders>
              <w:top w:val="single" w:sz="4" w:space="0" w:color="auto"/>
            </w:tcBorders>
            <w:noWrap/>
            <w:vAlign w:val="center"/>
          </w:tcPr>
          <w:p w14:paraId="6E15C7B4"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79</w:t>
            </w:r>
          </w:p>
        </w:tc>
        <w:tc>
          <w:tcPr>
            <w:tcW w:w="546" w:type="dxa"/>
            <w:tcBorders>
              <w:top w:val="single" w:sz="4" w:space="0" w:color="auto"/>
            </w:tcBorders>
            <w:noWrap/>
            <w:vAlign w:val="center"/>
          </w:tcPr>
          <w:p w14:paraId="549B2F50"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b/>
                <w:bCs/>
                <w:color w:val="000000"/>
              </w:rPr>
              <w:t>70</w:t>
            </w:r>
          </w:p>
        </w:tc>
        <w:tc>
          <w:tcPr>
            <w:tcW w:w="594" w:type="dxa"/>
            <w:tcBorders>
              <w:top w:val="single" w:sz="4" w:space="0" w:color="auto"/>
            </w:tcBorders>
            <w:noWrap/>
            <w:vAlign w:val="center"/>
          </w:tcPr>
          <w:p w14:paraId="6072F1B1"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b/>
                <w:bCs/>
                <w:color w:val="000000"/>
              </w:rPr>
              <w:t>60</w:t>
            </w:r>
          </w:p>
        </w:tc>
      </w:tr>
      <w:tr w:rsidR="00427A40" w:rsidRPr="00427A40" w14:paraId="2A8A1FE4" w14:textId="77777777" w:rsidTr="00427A40">
        <w:trPr>
          <w:trHeight w:val="300"/>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39B1C2E0" w14:textId="77777777" w:rsidR="00F273FE" w:rsidRPr="00427A40" w:rsidRDefault="00F273FE" w:rsidP="00F273FE">
            <w:pPr>
              <w:rPr>
                <w:rFonts w:ascii="Times New Roman" w:eastAsia="Times New Roman" w:hAnsi="Times New Roman" w:cs="Times New Roman"/>
                <w:color w:val="000000"/>
                <w:lang w:eastAsia="es-MX"/>
              </w:rPr>
            </w:pPr>
            <w:r w:rsidRPr="00427A40">
              <w:rPr>
                <w:rFonts w:ascii="Times New Roman" w:hAnsi="Times New Roman" w:cs="Times New Roman"/>
                <w:color w:val="000000"/>
              </w:rPr>
              <w:t>Dibujo del Paisaje Urbano</w:t>
            </w:r>
          </w:p>
        </w:tc>
        <w:tc>
          <w:tcPr>
            <w:tcW w:w="546" w:type="dxa"/>
            <w:noWrap/>
            <w:vAlign w:val="center"/>
          </w:tcPr>
          <w:p w14:paraId="738DDA32"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b/>
                <w:bCs/>
                <w:color w:val="000000"/>
              </w:rPr>
              <w:t>83</w:t>
            </w:r>
          </w:p>
        </w:tc>
        <w:tc>
          <w:tcPr>
            <w:tcW w:w="546" w:type="dxa"/>
            <w:noWrap/>
            <w:vAlign w:val="center"/>
          </w:tcPr>
          <w:p w14:paraId="23F8B3AA"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b/>
                <w:bCs/>
                <w:color w:val="000000"/>
              </w:rPr>
              <w:t>75</w:t>
            </w:r>
          </w:p>
        </w:tc>
        <w:tc>
          <w:tcPr>
            <w:tcW w:w="436" w:type="dxa"/>
            <w:noWrap/>
            <w:vAlign w:val="center"/>
          </w:tcPr>
          <w:p w14:paraId="17115235"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b/>
                <w:bCs/>
                <w:color w:val="000000"/>
              </w:rPr>
              <w:t>74</w:t>
            </w:r>
          </w:p>
        </w:tc>
        <w:tc>
          <w:tcPr>
            <w:tcW w:w="436" w:type="dxa"/>
            <w:noWrap/>
            <w:vAlign w:val="center"/>
          </w:tcPr>
          <w:p w14:paraId="0E8B7FBE"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b/>
                <w:bCs/>
                <w:color w:val="000000"/>
              </w:rPr>
              <w:t>73</w:t>
            </w:r>
          </w:p>
        </w:tc>
        <w:tc>
          <w:tcPr>
            <w:tcW w:w="546" w:type="dxa"/>
            <w:noWrap/>
            <w:vAlign w:val="center"/>
          </w:tcPr>
          <w:p w14:paraId="18B05040"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b/>
                <w:bCs/>
                <w:color w:val="000000"/>
              </w:rPr>
              <w:t>66</w:t>
            </w:r>
          </w:p>
        </w:tc>
        <w:tc>
          <w:tcPr>
            <w:tcW w:w="546" w:type="dxa"/>
            <w:noWrap/>
            <w:vAlign w:val="center"/>
          </w:tcPr>
          <w:p w14:paraId="3F0371E1"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75</w:t>
            </w:r>
          </w:p>
        </w:tc>
        <w:tc>
          <w:tcPr>
            <w:tcW w:w="546" w:type="dxa"/>
            <w:noWrap/>
            <w:vAlign w:val="center"/>
          </w:tcPr>
          <w:p w14:paraId="02349B49"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77</w:t>
            </w:r>
          </w:p>
        </w:tc>
        <w:tc>
          <w:tcPr>
            <w:tcW w:w="594" w:type="dxa"/>
            <w:noWrap/>
            <w:vAlign w:val="center"/>
          </w:tcPr>
          <w:p w14:paraId="3735EB21"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69</w:t>
            </w:r>
          </w:p>
        </w:tc>
      </w:tr>
      <w:tr w:rsidR="00427A40" w:rsidRPr="00427A40" w14:paraId="10384B00" w14:textId="77777777" w:rsidTr="00427A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0FF64293" w14:textId="77777777" w:rsidR="00F273FE" w:rsidRPr="00427A40" w:rsidRDefault="00F273FE" w:rsidP="00F273FE">
            <w:pPr>
              <w:rPr>
                <w:rFonts w:ascii="Times New Roman" w:eastAsia="Times New Roman" w:hAnsi="Times New Roman" w:cs="Times New Roman"/>
                <w:color w:val="000000"/>
                <w:lang w:eastAsia="es-MX"/>
              </w:rPr>
            </w:pPr>
            <w:r w:rsidRPr="00427A40">
              <w:rPr>
                <w:rFonts w:ascii="Times New Roman" w:hAnsi="Times New Roman" w:cs="Times New Roman"/>
                <w:color w:val="000000"/>
              </w:rPr>
              <w:t>Introducción al Estudio del Medio Ambiente</w:t>
            </w:r>
          </w:p>
        </w:tc>
        <w:tc>
          <w:tcPr>
            <w:tcW w:w="546" w:type="dxa"/>
            <w:noWrap/>
            <w:vAlign w:val="center"/>
          </w:tcPr>
          <w:p w14:paraId="7564C596"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MX"/>
              </w:rPr>
            </w:pPr>
            <w:r w:rsidRPr="00427A40">
              <w:rPr>
                <w:rFonts w:ascii="Times New Roman" w:hAnsi="Times New Roman" w:cs="Times New Roman"/>
                <w:color w:val="000000"/>
              </w:rPr>
              <w:t>92</w:t>
            </w:r>
          </w:p>
        </w:tc>
        <w:tc>
          <w:tcPr>
            <w:tcW w:w="546" w:type="dxa"/>
            <w:noWrap/>
            <w:vAlign w:val="center"/>
          </w:tcPr>
          <w:p w14:paraId="35FCF092"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88</w:t>
            </w:r>
          </w:p>
        </w:tc>
        <w:tc>
          <w:tcPr>
            <w:tcW w:w="436" w:type="dxa"/>
            <w:noWrap/>
            <w:vAlign w:val="center"/>
          </w:tcPr>
          <w:p w14:paraId="43A5EC3A"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MX"/>
              </w:rPr>
            </w:pPr>
            <w:r w:rsidRPr="00427A40">
              <w:rPr>
                <w:rFonts w:ascii="Times New Roman" w:hAnsi="Times New Roman" w:cs="Times New Roman"/>
                <w:color w:val="000000"/>
              </w:rPr>
              <w:t>94</w:t>
            </w:r>
          </w:p>
        </w:tc>
        <w:tc>
          <w:tcPr>
            <w:tcW w:w="436" w:type="dxa"/>
            <w:noWrap/>
            <w:vAlign w:val="center"/>
          </w:tcPr>
          <w:p w14:paraId="4F644915"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MX"/>
              </w:rPr>
            </w:pPr>
            <w:r w:rsidRPr="00427A40">
              <w:rPr>
                <w:rFonts w:ascii="Times New Roman" w:hAnsi="Times New Roman" w:cs="Times New Roman"/>
                <w:color w:val="000000"/>
              </w:rPr>
              <w:t>92</w:t>
            </w:r>
          </w:p>
        </w:tc>
        <w:tc>
          <w:tcPr>
            <w:tcW w:w="546" w:type="dxa"/>
            <w:noWrap/>
            <w:vAlign w:val="center"/>
          </w:tcPr>
          <w:p w14:paraId="55548691"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MX"/>
              </w:rPr>
            </w:pPr>
            <w:r w:rsidRPr="00427A40">
              <w:rPr>
                <w:rFonts w:ascii="Times New Roman" w:hAnsi="Times New Roman" w:cs="Times New Roman"/>
                <w:color w:val="000000"/>
              </w:rPr>
              <w:t>86</w:t>
            </w:r>
          </w:p>
        </w:tc>
        <w:tc>
          <w:tcPr>
            <w:tcW w:w="546" w:type="dxa"/>
            <w:noWrap/>
            <w:vAlign w:val="center"/>
          </w:tcPr>
          <w:p w14:paraId="26BB3DA5"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MX"/>
              </w:rPr>
            </w:pPr>
            <w:r w:rsidRPr="00427A40">
              <w:rPr>
                <w:rFonts w:ascii="Times New Roman" w:hAnsi="Times New Roman" w:cs="Times New Roman"/>
                <w:color w:val="000000"/>
              </w:rPr>
              <w:t>79</w:t>
            </w:r>
          </w:p>
        </w:tc>
        <w:tc>
          <w:tcPr>
            <w:tcW w:w="546" w:type="dxa"/>
            <w:noWrap/>
            <w:vAlign w:val="center"/>
          </w:tcPr>
          <w:p w14:paraId="7838BC07"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MX"/>
              </w:rPr>
            </w:pPr>
            <w:r w:rsidRPr="00427A40">
              <w:rPr>
                <w:rFonts w:ascii="Times New Roman" w:hAnsi="Times New Roman" w:cs="Times New Roman"/>
                <w:color w:val="000000"/>
              </w:rPr>
              <w:t>82</w:t>
            </w:r>
          </w:p>
        </w:tc>
        <w:tc>
          <w:tcPr>
            <w:tcW w:w="594" w:type="dxa"/>
            <w:noWrap/>
            <w:vAlign w:val="center"/>
          </w:tcPr>
          <w:p w14:paraId="3392579F"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MX"/>
              </w:rPr>
            </w:pPr>
            <w:r w:rsidRPr="00427A40">
              <w:rPr>
                <w:rFonts w:ascii="Times New Roman" w:hAnsi="Times New Roman" w:cs="Times New Roman"/>
                <w:color w:val="000000"/>
              </w:rPr>
              <w:t>61</w:t>
            </w:r>
          </w:p>
        </w:tc>
      </w:tr>
      <w:tr w:rsidR="00427A40" w:rsidRPr="00427A40" w14:paraId="087E6033" w14:textId="77777777" w:rsidTr="00427A40">
        <w:trPr>
          <w:trHeight w:val="300"/>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5AA2097A" w14:textId="77777777" w:rsidR="00F273FE" w:rsidRPr="00427A40" w:rsidRDefault="00F273FE" w:rsidP="00F273FE">
            <w:pPr>
              <w:rPr>
                <w:rFonts w:ascii="Times New Roman" w:eastAsia="Times New Roman" w:hAnsi="Times New Roman" w:cs="Times New Roman"/>
                <w:color w:val="000000"/>
                <w:lang w:eastAsia="es-MX"/>
              </w:rPr>
            </w:pPr>
            <w:r w:rsidRPr="00427A40">
              <w:rPr>
                <w:rFonts w:ascii="Times New Roman" w:hAnsi="Times New Roman" w:cs="Times New Roman"/>
                <w:color w:val="000000"/>
              </w:rPr>
              <w:t>Estructuras y Funcionamiento de  Ecosistemas</w:t>
            </w:r>
          </w:p>
        </w:tc>
        <w:tc>
          <w:tcPr>
            <w:tcW w:w="546" w:type="dxa"/>
            <w:noWrap/>
            <w:vAlign w:val="center"/>
          </w:tcPr>
          <w:p w14:paraId="15527C4B"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b/>
                <w:bCs/>
                <w:color w:val="000000"/>
              </w:rPr>
              <w:t>100</w:t>
            </w:r>
          </w:p>
        </w:tc>
        <w:tc>
          <w:tcPr>
            <w:tcW w:w="546" w:type="dxa"/>
            <w:noWrap/>
            <w:vAlign w:val="center"/>
          </w:tcPr>
          <w:p w14:paraId="1876FD19"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s-MX"/>
              </w:rPr>
            </w:pPr>
            <w:r w:rsidRPr="00427A40">
              <w:rPr>
                <w:rFonts w:ascii="Times New Roman" w:hAnsi="Times New Roman" w:cs="Times New Roman"/>
                <w:b/>
                <w:bCs/>
                <w:color w:val="000000"/>
              </w:rPr>
              <w:t>100</w:t>
            </w:r>
          </w:p>
        </w:tc>
        <w:tc>
          <w:tcPr>
            <w:tcW w:w="436" w:type="dxa"/>
            <w:noWrap/>
            <w:vAlign w:val="center"/>
          </w:tcPr>
          <w:p w14:paraId="27D8763C"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b/>
                <w:bCs/>
                <w:color w:val="000000"/>
              </w:rPr>
              <w:t>78</w:t>
            </w:r>
          </w:p>
        </w:tc>
        <w:tc>
          <w:tcPr>
            <w:tcW w:w="436" w:type="dxa"/>
            <w:noWrap/>
            <w:vAlign w:val="center"/>
          </w:tcPr>
          <w:p w14:paraId="363CA095"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95</w:t>
            </w:r>
          </w:p>
        </w:tc>
        <w:tc>
          <w:tcPr>
            <w:tcW w:w="546" w:type="dxa"/>
            <w:noWrap/>
            <w:vAlign w:val="center"/>
          </w:tcPr>
          <w:p w14:paraId="4EE9443A"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b/>
                <w:bCs/>
                <w:color w:val="000000"/>
              </w:rPr>
              <w:t>100</w:t>
            </w:r>
          </w:p>
        </w:tc>
        <w:tc>
          <w:tcPr>
            <w:tcW w:w="546" w:type="dxa"/>
            <w:noWrap/>
            <w:vAlign w:val="center"/>
          </w:tcPr>
          <w:p w14:paraId="65EB4593"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b/>
                <w:bCs/>
                <w:color w:val="000000"/>
              </w:rPr>
              <w:t>100</w:t>
            </w:r>
          </w:p>
        </w:tc>
        <w:tc>
          <w:tcPr>
            <w:tcW w:w="546" w:type="dxa"/>
            <w:noWrap/>
            <w:vAlign w:val="center"/>
          </w:tcPr>
          <w:p w14:paraId="0DD916CF"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b/>
                <w:bCs/>
                <w:color w:val="000000"/>
              </w:rPr>
              <w:t>100</w:t>
            </w:r>
          </w:p>
        </w:tc>
        <w:tc>
          <w:tcPr>
            <w:tcW w:w="594" w:type="dxa"/>
            <w:noWrap/>
            <w:vAlign w:val="center"/>
          </w:tcPr>
          <w:p w14:paraId="5C4CC715"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b/>
                <w:bCs/>
                <w:color w:val="000000"/>
              </w:rPr>
              <w:t>100</w:t>
            </w:r>
          </w:p>
        </w:tc>
      </w:tr>
      <w:tr w:rsidR="00427A40" w:rsidRPr="00427A40" w14:paraId="53AF8808" w14:textId="77777777" w:rsidTr="00427A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733D49C2" w14:textId="77777777" w:rsidR="00F273FE" w:rsidRPr="00427A40" w:rsidRDefault="00F273FE" w:rsidP="00F273FE">
            <w:pPr>
              <w:rPr>
                <w:rFonts w:ascii="Times New Roman" w:eastAsia="Times New Roman" w:hAnsi="Times New Roman" w:cs="Times New Roman"/>
                <w:color w:val="000000"/>
                <w:lang w:eastAsia="es-MX"/>
              </w:rPr>
            </w:pPr>
            <w:r w:rsidRPr="00427A40">
              <w:rPr>
                <w:rFonts w:ascii="Times New Roman" w:hAnsi="Times New Roman" w:cs="Times New Roman"/>
                <w:color w:val="000000"/>
              </w:rPr>
              <w:t>Sustentabilidad</w:t>
            </w:r>
          </w:p>
        </w:tc>
        <w:tc>
          <w:tcPr>
            <w:tcW w:w="546" w:type="dxa"/>
            <w:noWrap/>
            <w:vAlign w:val="center"/>
          </w:tcPr>
          <w:p w14:paraId="11439163"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95</w:t>
            </w:r>
          </w:p>
        </w:tc>
        <w:tc>
          <w:tcPr>
            <w:tcW w:w="546" w:type="dxa"/>
            <w:noWrap/>
            <w:vAlign w:val="center"/>
          </w:tcPr>
          <w:p w14:paraId="682D4AD2"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92</w:t>
            </w:r>
          </w:p>
        </w:tc>
        <w:tc>
          <w:tcPr>
            <w:tcW w:w="436" w:type="dxa"/>
            <w:noWrap/>
            <w:vAlign w:val="center"/>
          </w:tcPr>
          <w:p w14:paraId="2C9C3B8C"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97</w:t>
            </w:r>
          </w:p>
        </w:tc>
        <w:tc>
          <w:tcPr>
            <w:tcW w:w="436" w:type="dxa"/>
            <w:noWrap/>
            <w:vAlign w:val="center"/>
          </w:tcPr>
          <w:p w14:paraId="00A53ADC"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b/>
                <w:bCs/>
                <w:color w:val="000000"/>
              </w:rPr>
              <w:t>96</w:t>
            </w:r>
          </w:p>
        </w:tc>
        <w:tc>
          <w:tcPr>
            <w:tcW w:w="546" w:type="dxa"/>
            <w:noWrap/>
            <w:vAlign w:val="center"/>
          </w:tcPr>
          <w:p w14:paraId="5DCFCAF5"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95</w:t>
            </w:r>
          </w:p>
        </w:tc>
        <w:tc>
          <w:tcPr>
            <w:tcW w:w="546" w:type="dxa"/>
            <w:noWrap/>
            <w:vAlign w:val="center"/>
          </w:tcPr>
          <w:p w14:paraId="07AA0C53"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97</w:t>
            </w:r>
          </w:p>
        </w:tc>
        <w:tc>
          <w:tcPr>
            <w:tcW w:w="546" w:type="dxa"/>
            <w:noWrap/>
            <w:vAlign w:val="center"/>
          </w:tcPr>
          <w:p w14:paraId="21A779A3"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93</w:t>
            </w:r>
          </w:p>
        </w:tc>
        <w:tc>
          <w:tcPr>
            <w:tcW w:w="594" w:type="dxa"/>
            <w:noWrap/>
            <w:vAlign w:val="center"/>
          </w:tcPr>
          <w:p w14:paraId="30F21F82"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81</w:t>
            </w:r>
          </w:p>
        </w:tc>
      </w:tr>
      <w:tr w:rsidR="00427A40" w:rsidRPr="00427A40" w14:paraId="0C78B5B3" w14:textId="77777777" w:rsidTr="00427A40">
        <w:trPr>
          <w:trHeight w:val="300"/>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10027187" w14:textId="77777777" w:rsidR="00F273FE" w:rsidRPr="00427A40" w:rsidRDefault="00F273FE" w:rsidP="00F273FE">
            <w:pPr>
              <w:rPr>
                <w:rFonts w:ascii="Times New Roman" w:eastAsia="Times New Roman" w:hAnsi="Times New Roman" w:cs="Times New Roman"/>
                <w:color w:val="000000"/>
                <w:lang w:eastAsia="es-MX"/>
              </w:rPr>
            </w:pPr>
            <w:r w:rsidRPr="00427A40">
              <w:rPr>
                <w:rFonts w:ascii="Times New Roman" w:hAnsi="Times New Roman" w:cs="Times New Roman"/>
                <w:color w:val="000000"/>
              </w:rPr>
              <w:t>Matemáticas Aplicadas</w:t>
            </w:r>
          </w:p>
        </w:tc>
        <w:tc>
          <w:tcPr>
            <w:tcW w:w="546" w:type="dxa"/>
            <w:noWrap/>
            <w:vAlign w:val="center"/>
          </w:tcPr>
          <w:p w14:paraId="48C9FA9F"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90</w:t>
            </w:r>
          </w:p>
        </w:tc>
        <w:tc>
          <w:tcPr>
            <w:tcW w:w="546" w:type="dxa"/>
            <w:noWrap/>
            <w:vAlign w:val="center"/>
          </w:tcPr>
          <w:p w14:paraId="07A0708B"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82</w:t>
            </w:r>
          </w:p>
        </w:tc>
        <w:tc>
          <w:tcPr>
            <w:tcW w:w="436" w:type="dxa"/>
            <w:noWrap/>
            <w:vAlign w:val="center"/>
          </w:tcPr>
          <w:p w14:paraId="310A429D"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83</w:t>
            </w:r>
          </w:p>
        </w:tc>
        <w:tc>
          <w:tcPr>
            <w:tcW w:w="436" w:type="dxa"/>
            <w:noWrap/>
            <w:vAlign w:val="center"/>
          </w:tcPr>
          <w:p w14:paraId="71AA4AC3"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88</w:t>
            </w:r>
          </w:p>
        </w:tc>
        <w:tc>
          <w:tcPr>
            <w:tcW w:w="546" w:type="dxa"/>
            <w:noWrap/>
            <w:vAlign w:val="center"/>
          </w:tcPr>
          <w:p w14:paraId="2D0310DA"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76</w:t>
            </w:r>
          </w:p>
        </w:tc>
        <w:tc>
          <w:tcPr>
            <w:tcW w:w="546" w:type="dxa"/>
            <w:noWrap/>
            <w:vAlign w:val="center"/>
          </w:tcPr>
          <w:p w14:paraId="69AA5854"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b/>
                <w:bCs/>
                <w:color w:val="000000"/>
              </w:rPr>
              <w:t>62</w:t>
            </w:r>
          </w:p>
        </w:tc>
        <w:tc>
          <w:tcPr>
            <w:tcW w:w="546" w:type="dxa"/>
            <w:noWrap/>
            <w:vAlign w:val="center"/>
          </w:tcPr>
          <w:p w14:paraId="470B8640"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91</w:t>
            </w:r>
          </w:p>
        </w:tc>
        <w:tc>
          <w:tcPr>
            <w:tcW w:w="594" w:type="dxa"/>
            <w:noWrap/>
            <w:vAlign w:val="center"/>
          </w:tcPr>
          <w:p w14:paraId="202A2922"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72</w:t>
            </w:r>
          </w:p>
        </w:tc>
      </w:tr>
      <w:tr w:rsidR="00427A40" w:rsidRPr="00427A40" w14:paraId="1545EB0C" w14:textId="77777777" w:rsidTr="003F2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0DDF5E49" w14:textId="77777777" w:rsidR="00F273FE" w:rsidRPr="00427A40" w:rsidRDefault="00F273FE" w:rsidP="00F273FE">
            <w:pPr>
              <w:rPr>
                <w:rFonts w:ascii="Times New Roman" w:eastAsia="Times New Roman" w:hAnsi="Times New Roman" w:cs="Times New Roman"/>
                <w:color w:val="000000"/>
                <w:lang w:eastAsia="es-MX"/>
              </w:rPr>
            </w:pPr>
            <w:r w:rsidRPr="00427A40">
              <w:rPr>
                <w:rFonts w:ascii="Times New Roman" w:hAnsi="Times New Roman" w:cs="Times New Roman"/>
                <w:color w:val="000000"/>
              </w:rPr>
              <w:t>Topografía</w:t>
            </w:r>
          </w:p>
        </w:tc>
        <w:tc>
          <w:tcPr>
            <w:tcW w:w="546" w:type="dxa"/>
            <w:noWrap/>
            <w:vAlign w:val="center"/>
          </w:tcPr>
          <w:p w14:paraId="4D30CA38"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97</w:t>
            </w:r>
          </w:p>
        </w:tc>
        <w:tc>
          <w:tcPr>
            <w:tcW w:w="546" w:type="dxa"/>
            <w:noWrap/>
            <w:vAlign w:val="center"/>
          </w:tcPr>
          <w:p w14:paraId="63CAACEB"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89</w:t>
            </w:r>
          </w:p>
        </w:tc>
        <w:tc>
          <w:tcPr>
            <w:tcW w:w="436" w:type="dxa"/>
            <w:noWrap/>
            <w:vAlign w:val="center"/>
          </w:tcPr>
          <w:p w14:paraId="7158A6C2"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96</w:t>
            </w:r>
          </w:p>
        </w:tc>
        <w:tc>
          <w:tcPr>
            <w:tcW w:w="436" w:type="dxa"/>
            <w:noWrap/>
            <w:vAlign w:val="center"/>
          </w:tcPr>
          <w:p w14:paraId="71025630"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89</w:t>
            </w:r>
          </w:p>
        </w:tc>
        <w:tc>
          <w:tcPr>
            <w:tcW w:w="546" w:type="dxa"/>
            <w:noWrap/>
            <w:vAlign w:val="center"/>
          </w:tcPr>
          <w:p w14:paraId="01B15711"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89</w:t>
            </w:r>
          </w:p>
        </w:tc>
        <w:tc>
          <w:tcPr>
            <w:tcW w:w="546" w:type="dxa"/>
            <w:noWrap/>
            <w:vAlign w:val="center"/>
          </w:tcPr>
          <w:p w14:paraId="0B65E2BF"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74</w:t>
            </w:r>
          </w:p>
        </w:tc>
        <w:tc>
          <w:tcPr>
            <w:tcW w:w="546" w:type="dxa"/>
            <w:noWrap/>
            <w:vAlign w:val="center"/>
          </w:tcPr>
          <w:p w14:paraId="5EB87C60"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98</w:t>
            </w:r>
          </w:p>
        </w:tc>
        <w:tc>
          <w:tcPr>
            <w:tcW w:w="594" w:type="dxa"/>
            <w:noWrap/>
            <w:vAlign w:val="center"/>
          </w:tcPr>
          <w:p w14:paraId="6688482E"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78</w:t>
            </w:r>
          </w:p>
        </w:tc>
      </w:tr>
      <w:tr w:rsidR="00427A40" w:rsidRPr="00427A40" w14:paraId="5C293CC6" w14:textId="77777777" w:rsidTr="003F2AFD">
        <w:trPr>
          <w:trHeight w:val="30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F79646" w:themeColor="accent6"/>
              <w:bottom w:val="single" w:sz="4" w:space="0" w:color="auto"/>
            </w:tcBorders>
            <w:vAlign w:val="center"/>
          </w:tcPr>
          <w:p w14:paraId="3656F923" w14:textId="77777777" w:rsidR="00F273FE" w:rsidRPr="00427A40" w:rsidRDefault="00F273FE" w:rsidP="00F273FE">
            <w:pPr>
              <w:rPr>
                <w:rFonts w:ascii="Times New Roman" w:eastAsia="Times New Roman" w:hAnsi="Times New Roman" w:cs="Times New Roman"/>
                <w:color w:val="000000"/>
                <w:lang w:eastAsia="es-MX"/>
              </w:rPr>
            </w:pPr>
            <w:r w:rsidRPr="00427A40">
              <w:rPr>
                <w:rFonts w:ascii="Times New Roman" w:hAnsi="Times New Roman" w:cs="Times New Roman"/>
                <w:color w:val="000000"/>
              </w:rPr>
              <w:t>Técnicas del Pensamiento</w:t>
            </w:r>
          </w:p>
        </w:tc>
        <w:tc>
          <w:tcPr>
            <w:tcW w:w="546" w:type="dxa"/>
            <w:tcBorders>
              <w:top w:val="single" w:sz="4" w:space="0" w:color="F79646" w:themeColor="accent6"/>
              <w:bottom w:val="single" w:sz="4" w:space="0" w:color="auto"/>
            </w:tcBorders>
            <w:noWrap/>
            <w:vAlign w:val="center"/>
          </w:tcPr>
          <w:p w14:paraId="41A07C05"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93</w:t>
            </w:r>
          </w:p>
        </w:tc>
        <w:tc>
          <w:tcPr>
            <w:tcW w:w="546" w:type="dxa"/>
            <w:tcBorders>
              <w:top w:val="single" w:sz="4" w:space="0" w:color="F79646" w:themeColor="accent6"/>
              <w:bottom w:val="single" w:sz="4" w:space="0" w:color="auto"/>
            </w:tcBorders>
            <w:noWrap/>
            <w:vAlign w:val="center"/>
          </w:tcPr>
          <w:p w14:paraId="44C2B085"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b/>
                <w:bCs/>
                <w:color w:val="000000"/>
              </w:rPr>
              <w:t>75</w:t>
            </w:r>
          </w:p>
        </w:tc>
        <w:tc>
          <w:tcPr>
            <w:tcW w:w="436" w:type="dxa"/>
            <w:tcBorders>
              <w:top w:val="single" w:sz="4" w:space="0" w:color="F79646" w:themeColor="accent6"/>
              <w:bottom w:val="single" w:sz="4" w:space="0" w:color="auto"/>
            </w:tcBorders>
            <w:noWrap/>
            <w:vAlign w:val="center"/>
          </w:tcPr>
          <w:p w14:paraId="7BFABCF3"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92</w:t>
            </w:r>
          </w:p>
        </w:tc>
        <w:tc>
          <w:tcPr>
            <w:tcW w:w="436" w:type="dxa"/>
            <w:tcBorders>
              <w:top w:val="single" w:sz="4" w:space="0" w:color="F79646" w:themeColor="accent6"/>
              <w:bottom w:val="single" w:sz="4" w:space="0" w:color="auto"/>
            </w:tcBorders>
            <w:noWrap/>
            <w:vAlign w:val="center"/>
          </w:tcPr>
          <w:p w14:paraId="5D2F9FED"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86</w:t>
            </w:r>
          </w:p>
        </w:tc>
        <w:tc>
          <w:tcPr>
            <w:tcW w:w="546" w:type="dxa"/>
            <w:tcBorders>
              <w:top w:val="single" w:sz="4" w:space="0" w:color="F79646" w:themeColor="accent6"/>
              <w:bottom w:val="single" w:sz="4" w:space="0" w:color="auto"/>
            </w:tcBorders>
            <w:noWrap/>
            <w:vAlign w:val="center"/>
          </w:tcPr>
          <w:p w14:paraId="07172570"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84</w:t>
            </w:r>
          </w:p>
        </w:tc>
        <w:tc>
          <w:tcPr>
            <w:tcW w:w="546" w:type="dxa"/>
            <w:tcBorders>
              <w:top w:val="single" w:sz="4" w:space="0" w:color="F79646" w:themeColor="accent6"/>
              <w:bottom w:val="single" w:sz="4" w:space="0" w:color="auto"/>
            </w:tcBorders>
            <w:noWrap/>
            <w:vAlign w:val="center"/>
          </w:tcPr>
          <w:p w14:paraId="1E03E11A"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85</w:t>
            </w:r>
          </w:p>
        </w:tc>
        <w:tc>
          <w:tcPr>
            <w:tcW w:w="546" w:type="dxa"/>
            <w:tcBorders>
              <w:top w:val="single" w:sz="4" w:space="0" w:color="F79646" w:themeColor="accent6"/>
              <w:bottom w:val="single" w:sz="4" w:space="0" w:color="auto"/>
            </w:tcBorders>
            <w:noWrap/>
            <w:vAlign w:val="center"/>
          </w:tcPr>
          <w:p w14:paraId="15DF6AC1"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88</w:t>
            </w:r>
          </w:p>
        </w:tc>
        <w:tc>
          <w:tcPr>
            <w:tcW w:w="594" w:type="dxa"/>
            <w:tcBorders>
              <w:top w:val="single" w:sz="4" w:space="0" w:color="F79646" w:themeColor="accent6"/>
              <w:bottom w:val="single" w:sz="4" w:space="0" w:color="auto"/>
            </w:tcBorders>
            <w:noWrap/>
            <w:vAlign w:val="center"/>
          </w:tcPr>
          <w:p w14:paraId="370F2C74"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73</w:t>
            </w:r>
          </w:p>
        </w:tc>
      </w:tr>
      <w:tr w:rsidR="00427A40" w:rsidRPr="00427A40" w14:paraId="408CC22E" w14:textId="77777777" w:rsidTr="003F2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auto"/>
            </w:tcBorders>
            <w:vAlign w:val="center"/>
          </w:tcPr>
          <w:p w14:paraId="350D6194" w14:textId="77777777" w:rsidR="00F273FE" w:rsidRPr="00427A40" w:rsidRDefault="00F273FE" w:rsidP="00F273FE">
            <w:pPr>
              <w:rPr>
                <w:rFonts w:ascii="Times New Roman" w:eastAsia="Times New Roman" w:hAnsi="Times New Roman" w:cs="Times New Roman"/>
                <w:color w:val="000000"/>
                <w:lang w:eastAsia="es-MX"/>
              </w:rPr>
            </w:pPr>
            <w:r w:rsidRPr="00427A40">
              <w:rPr>
                <w:rFonts w:ascii="Times New Roman" w:hAnsi="Times New Roman" w:cs="Times New Roman"/>
                <w:color w:val="000000"/>
              </w:rPr>
              <w:t>Media aritmética</w:t>
            </w:r>
          </w:p>
        </w:tc>
        <w:tc>
          <w:tcPr>
            <w:tcW w:w="546" w:type="dxa"/>
            <w:tcBorders>
              <w:top w:val="single" w:sz="4" w:space="0" w:color="auto"/>
            </w:tcBorders>
            <w:noWrap/>
            <w:vAlign w:val="center"/>
          </w:tcPr>
          <w:p w14:paraId="5D6548F3"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91</w:t>
            </w:r>
          </w:p>
        </w:tc>
        <w:tc>
          <w:tcPr>
            <w:tcW w:w="546" w:type="dxa"/>
            <w:tcBorders>
              <w:top w:val="single" w:sz="4" w:space="0" w:color="auto"/>
            </w:tcBorders>
            <w:noWrap/>
            <w:vAlign w:val="center"/>
          </w:tcPr>
          <w:p w14:paraId="11AC787C"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85</w:t>
            </w:r>
          </w:p>
        </w:tc>
        <w:tc>
          <w:tcPr>
            <w:tcW w:w="436" w:type="dxa"/>
            <w:tcBorders>
              <w:top w:val="single" w:sz="4" w:space="0" w:color="auto"/>
            </w:tcBorders>
            <w:noWrap/>
            <w:vAlign w:val="center"/>
          </w:tcPr>
          <w:p w14:paraId="2096D73C"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88</w:t>
            </w:r>
          </w:p>
        </w:tc>
        <w:tc>
          <w:tcPr>
            <w:tcW w:w="436" w:type="dxa"/>
            <w:tcBorders>
              <w:top w:val="single" w:sz="4" w:space="0" w:color="auto"/>
            </w:tcBorders>
            <w:noWrap/>
            <w:vAlign w:val="center"/>
          </w:tcPr>
          <w:p w14:paraId="55CBD663"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87</w:t>
            </w:r>
          </w:p>
        </w:tc>
        <w:tc>
          <w:tcPr>
            <w:tcW w:w="546" w:type="dxa"/>
            <w:tcBorders>
              <w:top w:val="single" w:sz="4" w:space="0" w:color="auto"/>
            </w:tcBorders>
            <w:noWrap/>
            <w:vAlign w:val="center"/>
          </w:tcPr>
          <w:p w14:paraId="07EC79A5"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84</w:t>
            </w:r>
          </w:p>
        </w:tc>
        <w:tc>
          <w:tcPr>
            <w:tcW w:w="546" w:type="dxa"/>
            <w:tcBorders>
              <w:top w:val="single" w:sz="4" w:space="0" w:color="auto"/>
            </w:tcBorders>
            <w:noWrap/>
            <w:vAlign w:val="center"/>
          </w:tcPr>
          <w:p w14:paraId="16037514"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81</w:t>
            </w:r>
          </w:p>
        </w:tc>
        <w:tc>
          <w:tcPr>
            <w:tcW w:w="546" w:type="dxa"/>
            <w:tcBorders>
              <w:top w:val="single" w:sz="4" w:space="0" w:color="auto"/>
            </w:tcBorders>
            <w:noWrap/>
            <w:vAlign w:val="center"/>
          </w:tcPr>
          <w:p w14:paraId="1DAF3458"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87</w:t>
            </w:r>
          </w:p>
        </w:tc>
        <w:tc>
          <w:tcPr>
            <w:tcW w:w="594" w:type="dxa"/>
            <w:tcBorders>
              <w:top w:val="single" w:sz="4" w:space="0" w:color="auto"/>
            </w:tcBorders>
            <w:noWrap/>
            <w:vAlign w:val="center"/>
          </w:tcPr>
          <w:p w14:paraId="6577D0A9" w14:textId="77777777" w:rsidR="00F273FE" w:rsidRPr="00427A40" w:rsidRDefault="00F273FE" w:rsidP="00F273FE">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74</w:t>
            </w:r>
          </w:p>
        </w:tc>
      </w:tr>
      <w:tr w:rsidR="00427A40" w:rsidRPr="00427A40" w14:paraId="13E97BC7" w14:textId="77777777" w:rsidTr="003F2AFD">
        <w:trPr>
          <w:trHeight w:val="30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F79646" w:themeColor="accent6"/>
              <w:bottom w:val="single" w:sz="4" w:space="0" w:color="auto"/>
            </w:tcBorders>
            <w:vAlign w:val="center"/>
          </w:tcPr>
          <w:p w14:paraId="73022FEE" w14:textId="77777777" w:rsidR="00F273FE" w:rsidRPr="00427A40" w:rsidRDefault="00F273FE" w:rsidP="00F273FE">
            <w:pPr>
              <w:rPr>
                <w:rFonts w:ascii="Times New Roman" w:eastAsia="Times New Roman" w:hAnsi="Times New Roman" w:cs="Times New Roman"/>
                <w:color w:val="000000"/>
                <w:lang w:eastAsia="es-MX"/>
              </w:rPr>
            </w:pPr>
            <w:r w:rsidRPr="00427A40">
              <w:rPr>
                <w:rFonts w:ascii="Times New Roman" w:hAnsi="Times New Roman" w:cs="Times New Roman"/>
                <w:color w:val="000000"/>
              </w:rPr>
              <w:t>Desviación estándar</w:t>
            </w:r>
          </w:p>
        </w:tc>
        <w:tc>
          <w:tcPr>
            <w:tcW w:w="546" w:type="dxa"/>
            <w:tcBorders>
              <w:top w:val="single" w:sz="4" w:space="0" w:color="F79646" w:themeColor="accent6"/>
              <w:bottom w:val="single" w:sz="4" w:space="0" w:color="auto"/>
            </w:tcBorders>
            <w:noWrap/>
            <w:vAlign w:val="center"/>
          </w:tcPr>
          <w:p w14:paraId="35F5B9C5"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7</w:t>
            </w:r>
          </w:p>
        </w:tc>
        <w:tc>
          <w:tcPr>
            <w:tcW w:w="546" w:type="dxa"/>
            <w:tcBorders>
              <w:top w:val="single" w:sz="4" w:space="0" w:color="F79646" w:themeColor="accent6"/>
              <w:bottom w:val="single" w:sz="4" w:space="0" w:color="auto"/>
            </w:tcBorders>
            <w:noWrap/>
            <w:vAlign w:val="center"/>
          </w:tcPr>
          <w:p w14:paraId="2EE47B3B"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9</w:t>
            </w:r>
          </w:p>
        </w:tc>
        <w:tc>
          <w:tcPr>
            <w:tcW w:w="436" w:type="dxa"/>
            <w:tcBorders>
              <w:top w:val="single" w:sz="4" w:space="0" w:color="F79646" w:themeColor="accent6"/>
              <w:bottom w:val="single" w:sz="4" w:space="0" w:color="auto"/>
            </w:tcBorders>
            <w:noWrap/>
            <w:vAlign w:val="center"/>
          </w:tcPr>
          <w:p w14:paraId="0E5856E9"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9</w:t>
            </w:r>
          </w:p>
        </w:tc>
        <w:tc>
          <w:tcPr>
            <w:tcW w:w="436" w:type="dxa"/>
            <w:tcBorders>
              <w:top w:val="single" w:sz="4" w:space="0" w:color="F79646" w:themeColor="accent6"/>
              <w:bottom w:val="single" w:sz="4" w:space="0" w:color="auto"/>
            </w:tcBorders>
            <w:noWrap/>
            <w:vAlign w:val="center"/>
          </w:tcPr>
          <w:p w14:paraId="6E0ADF44"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8</w:t>
            </w:r>
          </w:p>
        </w:tc>
        <w:tc>
          <w:tcPr>
            <w:tcW w:w="546" w:type="dxa"/>
            <w:tcBorders>
              <w:top w:val="single" w:sz="4" w:space="0" w:color="F79646" w:themeColor="accent6"/>
              <w:bottom w:val="single" w:sz="4" w:space="0" w:color="auto"/>
            </w:tcBorders>
            <w:noWrap/>
            <w:vAlign w:val="center"/>
          </w:tcPr>
          <w:p w14:paraId="32241D81"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11</w:t>
            </w:r>
          </w:p>
        </w:tc>
        <w:tc>
          <w:tcPr>
            <w:tcW w:w="546" w:type="dxa"/>
            <w:tcBorders>
              <w:top w:val="single" w:sz="4" w:space="0" w:color="F79646" w:themeColor="accent6"/>
              <w:bottom w:val="single" w:sz="4" w:space="0" w:color="auto"/>
            </w:tcBorders>
            <w:noWrap/>
            <w:vAlign w:val="center"/>
          </w:tcPr>
          <w:p w14:paraId="2E8CA39F"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12</w:t>
            </w:r>
          </w:p>
        </w:tc>
        <w:tc>
          <w:tcPr>
            <w:tcW w:w="546" w:type="dxa"/>
            <w:tcBorders>
              <w:top w:val="single" w:sz="4" w:space="0" w:color="F79646" w:themeColor="accent6"/>
              <w:bottom w:val="single" w:sz="4" w:space="0" w:color="auto"/>
            </w:tcBorders>
            <w:noWrap/>
            <w:vAlign w:val="center"/>
          </w:tcPr>
          <w:p w14:paraId="646DE8B8"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10</w:t>
            </w:r>
          </w:p>
        </w:tc>
        <w:tc>
          <w:tcPr>
            <w:tcW w:w="594" w:type="dxa"/>
            <w:tcBorders>
              <w:top w:val="single" w:sz="4" w:space="0" w:color="F79646" w:themeColor="accent6"/>
              <w:bottom w:val="single" w:sz="4" w:space="0" w:color="auto"/>
            </w:tcBorders>
            <w:noWrap/>
            <w:vAlign w:val="center"/>
          </w:tcPr>
          <w:p w14:paraId="6785D281" w14:textId="77777777" w:rsidR="00F273FE" w:rsidRPr="00427A40" w:rsidRDefault="00F273FE" w:rsidP="00F273FE">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427A40">
              <w:rPr>
                <w:rFonts w:ascii="Times New Roman" w:hAnsi="Times New Roman" w:cs="Times New Roman"/>
                <w:color w:val="000000"/>
              </w:rPr>
              <w:t>13</w:t>
            </w:r>
          </w:p>
        </w:tc>
      </w:tr>
    </w:tbl>
    <w:p w14:paraId="3DD050ED" w14:textId="77777777" w:rsidR="003B1236" w:rsidRDefault="003B1236" w:rsidP="003B1236">
      <w:pPr>
        <w:pStyle w:val="Default"/>
        <w:spacing w:after="240" w:line="360" w:lineRule="auto"/>
        <w:rPr>
          <w:rFonts w:ascii="Times New Roman" w:hAnsi="Times New Roman" w:cs="Times New Roman"/>
        </w:rPr>
      </w:pPr>
    </w:p>
    <w:p w14:paraId="21B13CA6" w14:textId="77777777" w:rsidR="004C1356" w:rsidRPr="00C258C5" w:rsidRDefault="004C1356" w:rsidP="002363C6">
      <w:pPr>
        <w:spacing w:line="360" w:lineRule="auto"/>
        <w:jc w:val="both"/>
        <w:rPr>
          <w:rFonts w:ascii="Times New Roman" w:hAnsi="Times New Roman" w:cs="Times New Roman"/>
          <w:bCs/>
          <w:sz w:val="24"/>
          <w:szCs w:val="24"/>
        </w:rPr>
      </w:pPr>
      <w:r w:rsidRPr="00C258C5">
        <w:rPr>
          <w:rFonts w:ascii="Times New Roman" w:hAnsi="Times New Roman" w:cs="Times New Roman"/>
          <w:bCs/>
          <w:sz w:val="24"/>
          <w:szCs w:val="24"/>
        </w:rPr>
        <w:t xml:space="preserve">En la Tabla </w:t>
      </w:r>
      <w:r>
        <w:rPr>
          <w:rFonts w:ascii="Times New Roman" w:hAnsi="Times New Roman" w:cs="Times New Roman"/>
          <w:bCs/>
          <w:sz w:val="24"/>
          <w:szCs w:val="24"/>
        </w:rPr>
        <w:t>10</w:t>
      </w:r>
      <w:r w:rsidRPr="00C258C5">
        <w:rPr>
          <w:rFonts w:ascii="Times New Roman" w:hAnsi="Times New Roman" w:cs="Times New Roman"/>
          <w:bCs/>
          <w:sz w:val="24"/>
          <w:szCs w:val="24"/>
        </w:rPr>
        <w:t xml:space="preserve">, se muestran los datos de la evaluación que hacen los alumnos del desempeño docente de los profesores que impartieron las siete unidades de aprendizaje correspondientes al Periodo </w:t>
      </w:r>
      <w:r>
        <w:rPr>
          <w:rFonts w:ascii="Times New Roman" w:hAnsi="Times New Roman" w:cs="Times New Roman"/>
          <w:bCs/>
          <w:sz w:val="24"/>
          <w:szCs w:val="24"/>
        </w:rPr>
        <w:t>1</w:t>
      </w:r>
      <w:r w:rsidRPr="00C258C5">
        <w:rPr>
          <w:rFonts w:ascii="Times New Roman" w:hAnsi="Times New Roman" w:cs="Times New Roman"/>
          <w:bCs/>
          <w:sz w:val="24"/>
          <w:szCs w:val="24"/>
        </w:rPr>
        <w:t xml:space="preserve"> del plan de estudios de la licenciatura en D</w:t>
      </w:r>
      <w:r>
        <w:rPr>
          <w:rFonts w:ascii="Times New Roman" w:hAnsi="Times New Roman" w:cs="Times New Roman"/>
          <w:bCs/>
          <w:sz w:val="24"/>
          <w:szCs w:val="24"/>
        </w:rPr>
        <w:t>UP</w:t>
      </w:r>
      <w:r w:rsidRPr="00C258C5">
        <w:rPr>
          <w:rFonts w:ascii="Times New Roman" w:hAnsi="Times New Roman" w:cs="Times New Roman"/>
          <w:bCs/>
          <w:sz w:val="24"/>
          <w:szCs w:val="24"/>
        </w:rPr>
        <w:t xml:space="preserve">. Con los datos </w:t>
      </w:r>
      <w:r w:rsidRPr="00C258C5">
        <w:rPr>
          <w:rFonts w:ascii="Times New Roman" w:hAnsi="Times New Roman" w:cs="Times New Roman"/>
          <w:bCs/>
          <w:sz w:val="24"/>
          <w:szCs w:val="24"/>
        </w:rPr>
        <w:lastRenderedPageBreak/>
        <w:t xml:space="preserve">que se muestran se encuentra la media aritmética y desviación estándar de las </w:t>
      </w:r>
      <w:r>
        <w:rPr>
          <w:rFonts w:ascii="Times New Roman" w:hAnsi="Times New Roman" w:cs="Times New Roman"/>
          <w:bCs/>
          <w:sz w:val="24"/>
          <w:szCs w:val="24"/>
        </w:rPr>
        <w:t>ocho</w:t>
      </w:r>
      <w:r w:rsidRPr="00C258C5">
        <w:rPr>
          <w:rFonts w:ascii="Times New Roman" w:hAnsi="Times New Roman" w:cs="Times New Roman"/>
          <w:bCs/>
          <w:sz w:val="24"/>
          <w:szCs w:val="24"/>
        </w:rPr>
        <w:t xml:space="preserve"> categorías para cada unidad de aprendizaje y posteriormente se encuentra la media aritmética (8</w:t>
      </w:r>
      <w:r>
        <w:rPr>
          <w:rFonts w:ascii="Times New Roman" w:hAnsi="Times New Roman" w:cs="Times New Roman"/>
          <w:bCs/>
          <w:sz w:val="24"/>
          <w:szCs w:val="24"/>
        </w:rPr>
        <w:t>5</w:t>
      </w:r>
      <w:r w:rsidRPr="00C258C5">
        <w:rPr>
          <w:rFonts w:ascii="Times New Roman" w:hAnsi="Times New Roman" w:cs="Times New Roman"/>
          <w:bCs/>
          <w:sz w:val="24"/>
          <w:szCs w:val="24"/>
        </w:rPr>
        <w:t>) y desviación estándar (</w:t>
      </w:r>
      <w:r>
        <w:rPr>
          <w:rFonts w:ascii="Times New Roman" w:hAnsi="Times New Roman" w:cs="Times New Roman"/>
          <w:bCs/>
          <w:sz w:val="24"/>
          <w:szCs w:val="24"/>
        </w:rPr>
        <w:t>10</w:t>
      </w:r>
      <w:r w:rsidRPr="00C258C5">
        <w:rPr>
          <w:rFonts w:ascii="Times New Roman" w:hAnsi="Times New Roman" w:cs="Times New Roman"/>
          <w:bCs/>
          <w:sz w:val="24"/>
          <w:szCs w:val="24"/>
        </w:rPr>
        <w:t>) de la media aritmética de las siete unidades de aprendizaje con lo cual se establece el intervalo de confianza [</w:t>
      </w:r>
      <w:r w:rsidRPr="00261657">
        <w:rPr>
          <w:rFonts w:ascii="Arial" w:hAnsi="Arial" w:cs="Arial"/>
          <w:position w:val="-10"/>
        </w:rPr>
        <w:object w:dxaOrig="700" w:dyaOrig="320" w14:anchorId="44DB073B">
          <v:shape id="_x0000_i1045" type="#_x0000_t75" style="width:34.5pt;height:15.75pt" o:ole="">
            <v:imagedata r:id="rId14" o:title=""/>
          </v:shape>
          <o:OLEObject Type="Embed" ProgID="Equation.3" ShapeID="_x0000_i1045" DrawAspect="Content" ObjectID="_1530953744" r:id="rId33"/>
        </w:object>
      </w:r>
      <w:r w:rsidRPr="00C258C5">
        <w:rPr>
          <w:rFonts w:ascii="Times New Roman" w:hAnsi="Times New Roman" w:cs="Times New Roman"/>
          <w:bCs/>
          <w:sz w:val="24"/>
          <w:szCs w:val="24"/>
        </w:rPr>
        <w:t>] = [</w:t>
      </w:r>
      <w:r>
        <w:rPr>
          <w:rFonts w:ascii="Times New Roman" w:hAnsi="Times New Roman" w:cs="Times New Roman"/>
          <w:bCs/>
          <w:sz w:val="24"/>
          <w:szCs w:val="24"/>
        </w:rPr>
        <w:t>77</w:t>
      </w:r>
      <w:r w:rsidRPr="00C258C5">
        <w:rPr>
          <w:rFonts w:ascii="Times New Roman" w:hAnsi="Times New Roman" w:cs="Times New Roman"/>
          <w:bCs/>
          <w:sz w:val="24"/>
          <w:szCs w:val="24"/>
        </w:rPr>
        <w:t>,</w:t>
      </w:r>
      <w:r w:rsidRPr="00C258C5">
        <w:rPr>
          <w:rFonts w:ascii="Arial" w:hAnsi="Arial" w:cs="Arial"/>
        </w:rPr>
        <w:t xml:space="preserve"> 9</w:t>
      </w:r>
      <w:r>
        <w:rPr>
          <w:rFonts w:ascii="Arial" w:hAnsi="Arial" w:cs="Arial"/>
        </w:rPr>
        <w:t>3</w:t>
      </w:r>
      <w:r w:rsidRPr="00C258C5">
        <w:rPr>
          <w:rFonts w:ascii="Times New Roman" w:hAnsi="Times New Roman" w:cs="Times New Roman"/>
          <w:bCs/>
          <w:sz w:val="24"/>
          <w:szCs w:val="24"/>
        </w:rPr>
        <w:t>] y poder definir las unidades de aprendizaje que tiene resultados similares y aquellas cuyas diferencias son estadísticamente significativas.</w:t>
      </w:r>
    </w:p>
    <w:p w14:paraId="27707A75" w14:textId="77777777" w:rsidR="004C1356" w:rsidRDefault="004C1356"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De acuerdo con los datos de la Tabla 10, el mejor desempeño docente lo tuvieron los profesores que impartieron </w:t>
      </w:r>
      <w:r w:rsidRPr="004035A8">
        <w:rPr>
          <w:rFonts w:ascii="Times New Roman" w:hAnsi="Times New Roman" w:cs="Times New Roman"/>
          <w:bCs/>
          <w:i/>
          <w:sz w:val="24"/>
          <w:szCs w:val="24"/>
        </w:rPr>
        <w:t>Estructuras y Funcionamiento de Ecosistemas</w:t>
      </w:r>
      <w:r>
        <w:rPr>
          <w:rFonts w:ascii="Times New Roman" w:hAnsi="Times New Roman" w:cs="Times New Roman"/>
          <w:bCs/>
          <w:sz w:val="24"/>
          <w:szCs w:val="24"/>
        </w:rPr>
        <w:t xml:space="preserve"> (97). Contrasta este dato con el hecho de que también se les considere como los que menos dominio de contenidos tienen (78), factor de deberán considerar para la impartición de cursos futuros.</w:t>
      </w:r>
    </w:p>
    <w:p w14:paraId="0172892E" w14:textId="77777777" w:rsidR="0046532D" w:rsidRDefault="0046532D"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Los profesores que reciben la más baja valoración de su desempeño docente son los que impartieron </w:t>
      </w:r>
      <w:r w:rsidRPr="004035A8">
        <w:rPr>
          <w:rFonts w:ascii="Times New Roman" w:hAnsi="Times New Roman" w:cs="Times New Roman"/>
          <w:bCs/>
          <w:i/>
          <w:sz w:val="24"/>
          <w:szCs w:val="24"/>
        </w:rPr>
        <w:t>Taller de Diseño Urbano y del Paisaje</w:t>
      </w:r>
      <w:r>
        <w:rPr>
          <w:rFonts w:ascii="Times New Roman" w:hAnsi="Times New Roman" w:cs="Times New Roman"/>
          <w:bCs/>
          <w:sz w:val="24"/>
          <w:szCs w:val="24"/>
        </w:rPr>
        <w:t xml:space="preserve"> (76), y </w:t>
      </w:r>
      <w:r w:rsidRPr="004035A8">
        <w:rPr>
          <w:rFonts w:ascii="Times New Roman" w:hAnsi="Times New Roman" w:cs="Times New Roman"/>
          <w:bCs/>
          <w:i/>
          <w:sz w:val="24"/>
          <w:szCs w:val="24"/>
        </w:rPr>
        <w:t>Dibujo del Paisaje Urbano</w:t>
      </w:r>
      <w:r>
        <w:rPr>
          <w:rFonts w:ascii="Times New Roman" w:hAnsi="Times New Roman" w:cs="Times New Roman"/>
          <w:bCs/>
          <w:sz w:val="24"/>
          <w:szCs w:val="24"/>
        </w:rPr>
        <w:t xml:space="preserve"> (74), valoración que se encuentra por debajo del límite inferior del intervalo de confianza.</w:t>
      </w:r>
    </w:p>
    <w:p w14:paraId="69CA3BA8" w14:textId="35966D79" w:rsidR="00165FCF" w:rsidRPr="003B1236" w:rsidRDefault="00165FCF" w:rsidP="002363C6">
      <w:pPr>
        <w:pStyle w:val="Prrafodelista"/>
        <w:numPr>
          <w:ilvl w:val="0"/>
          <w:numId w:val="6"/>
        </w:numPr>
        <w:spacing w:line="360" w:lineRule="auto"/>
        <w:jc w:val="both"/>
        <w:rPr>
          <w:rFonts w:ascii="Times New Roman" w:hAnsi="Times New Roman" w:cs="Times New Roman"/>
          <w:b/>
          <w:bCs/>
          <w:sz w:val="24"/>
          <w:szCs w:val="24"/>
        </w:rPr>
      </w:pPr>
      <w:r w:rsidRPr="003B1236">
        <w:rPr>
          <w:rFonts w:ascii="Times New Roman" w:hAnsi="Times New Roman" w:cs="Times New Roman"/>
          <w:b/>
          <w:bCs/>
          <w:sz w:val="24"/>
          <w:szCs w:val="24"/>
        </w:rPr>
        <w:t>Análisis por categorías</w:t>
      </w:r>
      <w:r w:rsidR="003B1236" w:rsidRPr="003B1236">
        <w:rPr>
          <w:rFonts w:ascii="Times New Roman" w:hAnsi="Times New Roman" w:cs="Times New Roman"/>
          <w:b/>
          <w:bCs/>
          <w:sz w:val="24"/>
          <w:szCs w:val="24"/>
        </w:rPr>
        <w:t>,</w:t>
      </w:r>
      <w:r w:rsidRPr="003B1236">
        <w:rPr>
          <w:rFonts w:ascii="Times New Roman" w:hAnsi="Times New Roman" w:cs="Times New Roman"/>
          <w:b/>
          <w:sz w:val="24"/>
          <w:szCs w:val="24"/>
        </w:rPr>
        <w:t xml:space="preserve"> cohorte D</w:t>
      </w:r>
      <w:r w:rsidR="00F221BD" w:rsidRPr="003B1236">
        <w:rPr>
          <w:rFonts w:ascii="Times New Roman" w:hAnsi="Times New Roman" w:cs="Times New Roman"/>
          <w:b/>
          <w:sz w:val="24"/>
          <w:szCs w:val="24"/>
        </w:rPr>
        <w:t>UP</w:t>
      </w:r>
      <w:r w:rsidRPr="003B1236">
        <w:rPr>
          <w:rFonts w:ascii="Times New Roman" w:hAnsi="Times New Roman" w:cs="Times New Roman"/>
          <w:b/>
          <w:sz w:val="24"/>
          <w:szCs w:val="24"/>
        </w:rPr>
        <w:t xml:space="preserve">: Periodo </w:t>
      </w:r>
      <w:r w:rsidR="00F221BD" w:rsidRPr="003B1236">
        <w:rPr>
          <w:rFonts w:ascii="Times New Roman" w:hAnsi="Times New Roman" w:cs="Times New Roman"/>
          <w:b/>
          <w:sz w:val="24"/>
          <w:szCs w:val="24"/>
        </w:rPr>
        <w:t>1</w:t>
      </w:r>
    </w:p>
    <w:p w14:paraId="1DBA0788" w14:textId="5E187937" w:rsidR="006712EE" w:rsidRDefault="00AE649D"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 media aritmética (85) de la media aritmética de las ocho categorías analíticas y la respectiva desviación estándar (5) permite determinar el intervalo de confianza </w:t>
      </w:r>
      <w:r w:rsidRPr="00C258C5">
        <w:rPr>
          <w:rFonts w:ascii="Times New Roman" w:hAnsi="Times New Roman" w:cs="Times New Roman"/>
          <w:bCs/>
          <w:sz w:val="24"/>
          <w:szCs w:val="24"/>
        </w:rPr>
        <w:t>[</w:t>
      </w:r>
      <w:r w:rsidRPr="00261657">
        <w:rPr>
          <w:rFonts w:ascii="Arial" w:hAnsi="Arial" w:cs="Arial"/>
          <w:position w:val="-10"/>
        </w:rPr>
        <w:object w:dxaOrig="700" w:dyaOrig="320" w14:anchorId="1AC68F15">
          <v:shape id="_x0000_i1046" type="#_x0000_t75" style="width:34.5pt;height:15.75pt" o:ole="">
            <v:imagedata r:id="rId14" o:title=""/>
          </v:shape>
          <o:OLEObject Type="Embed" ProgID="Equation.3" ShapeID="_x0000_i1046" DrawAspect="Content" ObjectID="_1530953745" r:id="rId34"/>
        </w:object>
      </w:r>
      <w:r w:rsidRPr="00C258C5">
        <w:rPr>
          <w:rFonts w:ascii="Times New Roman" w:hAnsi="Times New Roman" w:cs="Times New Roman"/>
          <w:bCs/>
          <w:sz w:val="24"/>
          <w:szCs w:val="24"/>
        </w:rPr>
        <w:t>] = [</w:t>
      </w:r>
      <w:r>
        <w:rPr>
          <w:rFonts w:ascii="Times New Roman" w:hAnsi="Times New Roman" w:cs="Times New Roman"/>
          <w:bCs/>
          <w:sz w:val="24"/>
          <w:szCs w:val="24"/>
        </w:rPr>
        <w:t>79</w:t>
      </w:r>
      <w:r w:rsidRPr="00C258C5">
        <w:rPr>
          <w:rFonts w:ascii="Times New Roman" w:hAnsi="Times New Roman" w:cs="Times New Roman"/>
          <w:bCs/>
          <w:sz w:val="24"/>
          <w:szCs w:val="24"/>
        </w:rPr>
        <w:t>,</w:t>
      </w:r>
      <w:r w:rsidRPr="00C258C5">
        <w:rPr>
          <w:rFonts w:ascii="Arial" w:hAnsi="Arial" w:cs="Arial"/>
        </w:rPr>
        <w:t xml:space="preserve"> 9</w:t>
      </w:r>
      <w:r>
        <w:rPr>
          <w:rFonts w:ascii="Arial" w:hAnsi="Arial" w:cs="Arial"/>
        </w:rPr>
        <w:t>0</w:t>
      </w:r>
      <w:r w:rsidRPr="00C258C5">
        <w:rPr>
          <w:rFonts w:ascii="Times New Roman" w:hAnsi="Times New Roman" w:cs="Times New Roman"/>
          <w:bCs/>
          <w:sz w:val="24"/>
          <w:szCs w:val="24"/>
        </w:rPr>
        <w:t>]</w:t>
      </w:r>
      <w:r>
        <w:rPr>
          <w:rFonts w:ascii="Times New Roman" w:hAnsi="Times New Roman" w:cs="Times New Roman"/>
          <w:bCs/>
          <w:sz w:val="24"/>
          <w:szCs w:val="24"/>
        </w:rPr>
        <w:t xml:space="preserve"> en el que se ubican todas las categorías analíticas cuya distancia a la media aritmética es menor o igual a una desviación estándar. Las categorías analíticas que se encuentran por encima de este intervalo </w:t>
      </w:r>
      <w:r w:rsidR="006D624A">
        <w:rPr>
          <w:rFonts w:ascii="Times New Roman" w:hAnsi="Times New Roman" w:cs="Times New Roman"/>
          <w:bCs/>
          <w:sz w:val="24"/>
          <w:szCs w:val="24"/>
        </w:rPr>
        <w:t xml:space="preserve">es </w:t>
      </w:r>
      <w:r w:rsidR="006D624A" w:rsidRPr="006D624A">
        <w:rPr>
          <w:rFonts w:ascii="Times New Roman" w:hAnsi="Times New Roman" w:cs="Times New Roman"/>
          <w:bCs/>
          <w:i/>
          <w:sz w:val="24"/>
          <w:szCs w:val="24"/>
        </w:rPr>
        <w:t>Planeación para el proceso de aprendizaje</w:t>
      </w:r>
      <w:r w:rsidR="006D624A">
        <w:rPr>
          <w:rFonts w:ascii="Times New Roman" w:hAnsi="Times New Roman" w:cs="Times New Roman"/>
          <w:bCs/>
          <w:sz w:val="24"/>
          <w:szCs w:val="24"/>
        </w:rPr>
        <w:t xml:space="preserve"> (91). La creación de la licenciatura en DUP fue producto de un proceso de diseño curricular colectivo y los cursos de las asignaturas del primer semestre fueron cuidadosamente planeados, así que es de esperarse esta valoración que hacen los estudiantes.</w:t>
      </w:r>
    </w:p>
    <w:p w14:paraId="30644D09" w14:textId="0E73E04F" w:rsidR="006D624A" w:rsidRDefault="006D624A"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La categoría de menor valoración es la recomendación que se hace de los profesores para cursos futuros (74). </w:t>
      </w:r>
      <w:r w:rsidR="002932A2">
        <w:rPr>
          <w:rFonts w:ascii="Times New Roman" w:hAnsi="Times New Roman" w:cs="Times New Roman"/>
          <w:bCs/>
          <w:sz w:val="24"/>
          <w:szCs w:val="24"/>
        </w:rPr>
        <w:t xml:space="preserve">El promedio de antigüedad de los profesores que impartieron clases en este periodo es </w:t>
      </w:r>
      <w:r w:rsidR="00503A42">
        <w:rPr>
          <w:rFonts w:ascii="Times New Roman" w:hAnsi="Times New Roman" w:cs="Times New Roman"/>
          <w:bCs/>
          <w:sz w:val="24"/>
          <w:szCs w:val="24"/>
        </w:rPr>
        <w:t>4.23 años. Esto quiere decir que están en un intenso proceso de formación pues son relativamente jóvenes.</w:t>
      </w:r>
      <w:r w:rsidR="002932A2">
        <w:rPr>
          <w:rFonts w:ascii="Times New Roman" w:hAnsi="Times New Roman" w:cs="Times New Roman"/>
          <w:bCs/>
          <w:sz w:val="24"/>
          <w:szCs w:val="24"/>
        </w:rPr>
        <w:t xml:space="preserve"> </w:t>
      </w:r>
    </w:p>
    <w:p w14:paraId="00692FA2" w14:textId="77777777" w:rsidR="002363C6" w:rsidRDefault="002363C6" w:rsidP="002363C6">
      <w:pPr>
        <w:spacing w:line="360" w:lineRule="auto"/>
        <w:jc w:val="both"/>
        <w:rPr>
          <w:rFonts w:ascii="Times New Roman" w:hAnsi="Times New Roman" w:cs="Times New Roman"/>
          <w:bCs/>
          <w:sz w:val="24"/>
          <w:szCs w:val="24"/>
        </w:rPr>
      </w:pPr>
    </w:p>
    <w:p w14:paraId="5E54F892" w14:textId="77777777" w:rsidR="002363C6" w:rsidRDefault="002363C6" w:rsidP="002363C6">
      <w:pPr>
        <w:spacing w:line="360" w:lineRule="auto"/>
        <w:jc w:val="both"/>
        <w:rPr>
          <w:rFonts w:ascii="Times New Roman" w:hAnsi="Times New Roman" w:cs="Times New Roman"/>
          <w:bCs/>
          <w:sz w:val="24"/>
          <w:szCs w:val="24"/>
        </w:rPr>
      </w:pPr>
    </w:p>
    <w:p w14:paraId="431A7910" w14:textId="372EAED5" w:rsidR="003B1236" w:rsidRPr="00165FCF" w:rsidRDefault="003B1236" w:rsidP="002363C6">
      <w:pPr>
        <w:pStyle w:val="Default"/>
        <w:numPr>
          <w:ilvl w:val="0"/>
          <w:numId w:val="6"/>
        </w:numPr>
        <w:spacing w:after="240" w:line="360" w:lineRule="auto"/>
        <w:jc w:val="both"/>
        <w:rPr>
          <w:rFonts w:ascii="Times New Roman" w:hAnsi="Times New Roman" w:cs="Times New Roman"/>
          <w:b/>
        </w:rPr>
      </w:pPr>
      <w:r w:rsidRPr="00165FCF">
        <w:rPr>
          <w:rFonts w:ascii="Times New Roman" w:hAnsi="Times New Roman" w:cs="Times New Roman"/>
          <w:b/>
        </w:rPr>
        <w:lastRenderedPageBreak/>
        <w:t>Análisis por unidades de aprendizaje</w:t>
      </w:r>
      <w:r>
        <w:rPr>
          <w:rFonts w:ascii="Times New Roman" w:hAnsi="Times New Roman" w:cs="Times New Roman"/>
          <w:b/>
        </w:rPr>
        <w:t>,</w:t>
      </w:r>
      <w:r w:rsidRPr="00165FCF">
        <w:rPr>
          <w:rFonts w:ascii="Times New Roman" w:hAnsi="Times New Roman" w:cs="Times New Roman"/>
          <w:b/>
        </w:rPr>
        <w:t xml:space="preserve"> cohorte D</w:t>
      </w:r>
      <w:r>
        <w:rPr>
          <w:rFonts w:ascii="Times New Roman" w:hAnsi="Times New Roman" w:cs="Times New Roman"/>
          <w:b/>
        </w:rPr>
        <w:t>UP</w:t>
      </w:r>
      <w:r w:rsidRPr="00165FCF">
        <w:rPr>
          <w:rFonts w:ascii="Times New Roman" w:hAnsi="Times New Roman" w:cs="Times New Roman"/>
          <w:b/>
        </w:rPr>
        <w:t xml:space="preserve">: Periodo </w:t>
      </w:r>
      <w:r>
        <w:rPr>
          <w:rFonts w:ascii="Times New Roman" w:hAnsi="Times New Roman" w:cs="Times New Roman"/>
          <w:b/>
        </w:rPr>
        <w:t>2</w:t>
      </w:r>
    </w:p>
    <w:p w14:paraId="69A32E0E" w14:textId="571EB494" w:rsidR="003B1236" w:rsidRDefault="00ED1B99" w:rsidP="002363C6">
      <w:pPr>
        <w:pStyle w:val="Default"/>
        <w:spacing w:after="240" w:line="360" w:lineRule="auto"/>
        <w:jc w:val="both"/>
        <w:rPr>
          <w:rFonts w:ascii="Times New Roman" w:hAnsi="Times New Roman" w:cs="Times New Roman"/>
        </w:rPr>
      </w:pPr>
      <w:r>
        <w:rPr>
          <w:rFonts w:ascii="Times New Roman" w:hAnsi="Times New Roman" w:cs="Times New Roman"/>
        </w:rPr>
        <w:t>En este caso la valoración los alumnos hacen una valoración del desempeño docente de nueve profesores de los cuales solo uno tiene el grado de maestría y el resto de licenciatura. El rango de antigüedad docente de este grupo de profesores es de 11 meses a 16.71 años con una media de 6.97 años de experiencia docente.</w:t>
      </w:r>
    </w:p>
    <w:p w14:paraId="5E477857" w14:textId="12198256" w:rsidR="004C1356" w:rsidRDefault="004C1356" w:rsidP="002363C6">
      <w:pPr>
        <w:pStyle w:val="Default"/>
        <w:spacing w:after="240" w:line="360" w:lineRule="auto"/>
        <w:jc w:val="both"/>
        <w:rPr>
          <w:rFonts w:ascii="Times New Roman" w:hAnsi="Times New Roman" w:cs="Times New Roman"/>
          <w:bCs/>
        </w:rPr>
      </w:pPr>
      <w:r w:rsidRPr="00C258C5">
        <w:rPr>
          <w:rFonts w:ascii="Times New Roman" w:hAnsi="Times New Roman" w:cs="Times New Roman"/>
          <w:bCs/>
        </w:rPr>
        <w:t xml:space="preserve">En la Tabla </w:t>
      </w:r>
      <w:r>
        <w:rPr>
          <w:rFonts w:ascii="Times New Roman" w:hAnsi="Times New Roman" w:cs="Times New Roman"/>
          <w:bCs/>
        </w:rPr>
        <w:t>11</w:t>
      </w:r>
      <w:r w:rsidRPr="00C258C5">
        <w:rPr>
          <w:rFonts w:ascii="Times New Roman" w:hAnsi="Times New Roman" w:cs="Times New Roman"/>
          <w:bCs/>
        </w:rPr>
        <w:t xml:space="preserve">, se muestran los datos de la evaluación que hacen los alumnos del desempeño docente de los profesores que impartieron las siete unidades de aprendizaje correspondientes al Periodo </w:t>
      </w:r>
      <w:r>
        <w:rPr>
          <w:rFonts w:ascii="Times New Roman" w:hAnsi="Times New Roman" w:cs="Times New Roman"/>
          <w:bCs/>
        </w:rPr>
        <w:t>2</w:t>
      </w:r>
      <w:r w:rsidRPr="00C258C5">
        <w:rPr>
          <w:rFonts w:ascii="Times New Roman" w:hAnsi="Times New Roman" w:cs="Times New Roman"/>
          <w:bCs/>
        </w:rPr>
        <w:t xml:space="preserve"> del plan de estudios de la licenciatura en D</w:t>
      </w:r>
      <w:r>
        <w:rPr>
          <w:rFonts w:ascii="Times New Roman" w:hAnsi="Times New Roman" w:cs="Times New Roman"/>
          <w:bCs/>
        </w:rPr>
        <w:t>UP</w:t>
      </w:r>
      <w:r w:rsidRPr="00C258C5">
        <w:rPr>
          <w:rFonts w:ascii="Times New Roman" w:hAnsi="Times New Roman" w:cs="Times New Roman"/>
          <w:bCs/>
        </w:rPr>
        <w:t xml:space="preserve">. </w:t>
      </w:r>
      <w:r>
        <w:rPr>
          <w:rFonts w:ascii="Times New Roman" w:hAnsi="Times New Roman" w:cs="Times New Roman"/>
          <w:bCs/>
        </w:rPr>
        <w:t>Con los promedio de la evaluación que se obtiene para cada unidad de aprendizaje se calcula la</w:t>
      </w:r>
      <w:r w:rsidRPr="00C258C5">
        <w:rPr>
          <w:rFonts w:ascii="Times New Roman" w:hAnsi="Times New Roman" w:cs="Times New Roman"/>
          <w:bCs/>
        </w:rPr>
        <w:t xml:space="preserve"> media aritmética (8</w:t>
      </w:r>
      <w:r>
        <w:rPr>
          <w:rFonts w:ascii="Times New Roman" w:hAnsi="Times New Roman" w:cs="Times New Roman"/>
          <w:bCs/>
        </w:rPr>
        <w:t>4</w:t>
      </w:r>
      <w:r w:rsidRPr="00C258C5">
        <w:rPr>
          <w:rFonts w:ascii="Times New Roman" w:hAnsi="Times New Roman" w:cs="Times New Roman"/>
          <w:bCs/>
        </w:rPr>
        <w:t>) y desviación estándar (</w:t>
      </w:r>
      <w:r>
        <w:rPr>
          <w:rFonts w:ascii="Times New Roman" w:hAnsi="Times New Roman" w:cs="Times New Roman"/>
          <w:bCs/>
        </w:rPr>
        <w:t>12</w:t>
      </w:r>
      <w:r w:rsidRPr="00C258C5">
        <w:rPr>
          <w:rFonts w:ascii="Times New Roman" w:hAnsi="Times New Roman" w:cs="Times New Roman"/>
          <w:bCs/>
        </w:rPr>
        <w:t>) con lo cual se establece el intervalo de confianza [</w:t>
      </w:r>
      <w:r w:rsidRPr="00261657">
        <w:rPr>
          <w:rFonts w:ascii="Arial" w:hAnsi="Arial" w:cs="Arial"/>
          <w:position w:val="-10"/>
        </w:rPr>
        <w:object w:dxaOrig="700" w:dyaOrig="320" w14:anchorId="76E08BDA">
          <v:shape id="_x0000_i1047" type="#_x0000_t75" style="width:34.5pt;height:15.75pt" o:ole="">
            <v:imagedata r:id="rId14" o:title=""/>
          </v:shape>
          <o:OLEObject Type="Embed" ProgID="Equation.3" ShapeID="_x0000_i1047" DrawAspect="Content" ObjectID="_1530953746" r:id="rId35"/>
        </w:object>
      </w:r>
      <w:r w:rsidRPr="00C258C5">
        <w:rPr>
          <w:rFonts w:ascii="Times New Roman" w:hAnsi="Times New Roman" w:cs="Times New Roman"/>
          <w:bCs/>
        </w:rPr>
        <w:t>] = [</w:t>
      </w:r>
      <w:r>
        <w:rPr>
          <w:rFonts w:ascii="Times New Roman" w:hAnsi="Times New Roman" w:cs="Times New Roman"/>
          <w:bCs/>
        </w:rPr>
        <w:t>72</w:t>
      </w:r>
      <w:r w:rsidRPr="00C258C5">
        <w:rPr>
          <w:rFonts w:ascii="Times New Roman" w:hAnsi="Times New Roman" w:cs="Times New Roman"/>
          <w:bCs/>
        </w:rPr>
        <w:t>,</w:t>
      </w:r>
      <w:r w:rsidRPr="00C258C5">
        <w:rPr>
          <w:rFonts w:ascii="Arial" w:hAnsi="Arial" w:cs="Arial"/>
        </w:rPr>
        <w:t xml:space="preserve"> 9</w:t>
      </w:r>
      <w:r>
        <w:rPr>
          <w:rFonts w:ascii="Arial" w:hAnsi="Arial" w:cs="Arial"/>
        </w:rPr>
        <w:t>6</w:t>
      </w:r>
      <w:r w:rsidRPr="00C258C5">
        <w:rPr>
          <w:rFonts w:ascii="Times New Roman" w:hAnsi="Times New Roman" w:cs="Times New Roman"/>
          <w:bCs/>
        </w:rPr>
        <w:t>]</w:t>
      </w:r>
      <w:r>
        <w:rPr>
          <w:rFonts w:ascii="Times New Roman" w:hAnsi="Times New Roman" w:cs="Times New Roman"/>
          <w:bCs/>
        </w:rPr>
        <w:t>.</w:t>
      </w:r>
    </w:p>
    <w:p w14:paraId="70629C77" w14:textId="77777777" w:rsidR="004C1356" w:rsidRDefault="004C1356" w:rsidP="003B1236">
      <w:pPr>
        <w:pStyle w:val="Default"/>
        <w:spacing w:after="240" w:line="360" w:lineRule="auto"/>
        <w:rPr>
          <w:rFonts w:ascii="Times New Roman" w:hAnsi="Times New Roman" w:cs="Times New Roman"/>
        </w:rPr>
      </w:pPr>
    </w:p>
    <w:tbl>
      <w:tblPr>
        <w:tblStyle w:val="ListTable3Accent6"/>
        <w:tblW w:w="9105" w:type="dxa"/>
        <w:tblLook w:val="04A0" w:firstRow="1" w:lastRow="0" w:firstColumn="1" w:lastColumn="0" w:noHBand="0" w:noVBand="1"/>
      </w:tblPr>
      <w:tblGrid>
        <w:gridCol w:w="5098"/>
        <w:gridCol w:w="551"/>
        <w:gridCol w:w="440"/>
        <w:gridCol w:w="440"/>
        <w:gridCol w:w="551"/>
        <w:gridCol w:w="440"/>
        <w:gridCol w:w="440"/>
        <w:gridCol w:w="551"/>
        <w:gridCol w:w="594"/>
      </w:tblGrid>
      <w:tr w:rsidR="00F273FE" w:rsidRPr="003F2AFD" w14:paraId="0B0ADAF4" w14:textId="77777777" w:rsidTr="003F2AFD">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105" w:type="dxa"/>
            <w:gridSpan w:val="9"/>
            <w:tcBorders>
              <w:top w:val="single" w:sz="4" w:space="0" w:color="F79646" w:themeColor="accent6"/>
              <w:bottom w:val="single" w:sz="4" w:space="0" w:color="auto"/>
            </w:tcBorders>
            <w:hideMark/>
          </w:tcPr>
          <w:p w14:paraId="77779B4D" w14:textId="08C40FC0" w:rsidR="00F273FE" w:rsidRPr="003F2AFD" w:rsidRDefault="00F273FE" w:rsidP="003F2AFD">
            <w:pPr>
              <w:spacing w:line="360" w:lineRule="auto"/>
              <w:rPr>
                <w:rFonts w:ascii="Times New Roman" w:eastAsia="Times New Roman" w:hAnsi="Times New Roman" w:cs="Times New Roman"/>
                <w:color w:val="000000"/>
                <w:lang w:eastAsia="es-MX"/>
              </w:rPr>
            </w:pPr>
            <w:r w:rsidRPr="003F2AFD">
              <w:rPr>
                <w:rFonts w:ascii="Times New Roman" w:eastAsia="Times New Roman" w:hAnsi="Times New Roman" w:cs="Times New Roman"/>
                <w:color w:val="000000"/>
                <w:lang w:eastAsia="es-MX"/>
              </w:rPr>
              <w:t>Tabla 11:</w:t>
            </w:r>
          </w:p>
          <w:p w14:paraId="052F84EB" w14:textId="1BFF72D7" w:rsidR="00F273FE" w:rsidRPr="003F2AFD" w:rsidRDefault="00F273FE" w:rsidP="003F2AFD">
            <w:pPr>
              <w:spacing w:line="360" w:lineRule="auto"/>
              <w:rPr>
                <w:rFonts w:ascii="Times New Roman" w:eastAsia="Times New Roman" w:hAnsi="Times New Roman" w:cs="Times New Roman"/>
                <w:color w:val="000000"/>
                <w:lang w:eastAsia="es-MX"/>
              </w:rPr>
            </w:pPr>
            <w:r w:rsidRPr="003F2AFD">
              <w:rPr>
                <w:rFonts w:ascii="Times New Roman" w:eastAsia="Times New Roman" w:hAnsi="Times New Roman" w:cs="Times New Roman"/>
                <w:color w:val="000000"/>
                <w:lang w:eastAsia="es-MX"/>
              </w:rPr>
              <w:t>Evaluación del desempeño docente por unidades de aprendizaje de la cohorte DUP, Periodo 2</w:t>
            </w:r>
          </w:p>
        </w:tc>
      </w:tr>
      <w:tr w:rsidR="00F273FE" w:rsidRPr="003F2AFD" w14:paraId="1A8F31BA" w14:textId="77777777" w:rsidTr="003F2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vMerge w:val="restart"/>
            <w:tcBorders>
              <w:top w:val="single" w:sz="4" w:space="0" w:color="auto"/>
            </w:tcBorders>
            <w:hideMark/>
          </w:tcPr>
          <w:p w14:paraId="66D1EB61" w14:textId="79AACDE0" w:rsidR="00F273FE" w:rsidRPr="003F2AFD" w:rsidRDefault="00F273FE" w:rsidP="003F2AFD">
            <w:pPr>
              <w:spacing w:line="276" w:lineRule="auto"/>
              <w:rPr>
                <w:rFonts w:ascii="Times New Roman" w:eastAsia="Times New Roman" w:hAnsi="Times New Roman" w:cs="Times New Roman"/>
                <w:color w:val="000000"/>
                <w:lang w:eastAsia="es-MX"/>
              </w:rPr>
            </w:pPr>
            <w:r w:rsidRPr="003F2AFD">
              <w:rPr>
                <w:rFonts w:ascii="Times New Roman" w:eastAsia="Times New Roman" w:hAnsi="Times New Roman" w:cs="Times New Roman"/>
                <w:color w:val="000000"/>
                <w:lang w:eastAsia="es-MX"/>
              </w:rPr>
              <w:t>Unidades de aprendizaje</w:t>
            </w:r>
          </w:p>
        </w:tc>
        <w:tc>
          <w:tcPr>
            <w:tcW w:w="4007" w:type="dxa"/>
            <w:gridSpan w:val="8"/>
            <w:tcBorders>
              <w:top w:val="single" w:sz="4" w:space="0" w:color="auto"/>
            </w:tcBorders>
            <w:noWrap/>
            <w:hideMark/>
          </w:tcPr>
          <w:p w14:paraId="5D2CCBB1" w14:textId="25EAA3FE"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eastAsia="Times New Roman" w:hAnsi="Times New Roman" w:cs="Times New Roman"/>
                <w:color w:val="000000"/>
                <w:lang w:eastAsia="es-MX"/>
              </w:rPr>
              <w:t> CATEGORÍAS ANALÍTICAS </w:t>
            </w:r>
          </w:p>
        </w:tc>
      </w:tr>
      <w:tr w:rsidR="00F273FE" w:rsidRPr="003F2AFD" w14:paraId="68E6E58B" w14:textId="77777777" w:rsidTr="003F2AFD">
        <w:trPr>
          <w:trHeight w:val="300"/>
        </w:trPr>
        <w:tc>
          <w:tcPr>
            <w:cnfStyle w:val="001000000000" w:firstRow="0" w:lastRow="0" w:firstColumn="1" w:lastColumn="0" w:oddVBand="0" w:evenVBand="0" w:oddHBand="0" w:evenHBand="0" w:firstRowFirstColumn="0" w:firstRowLastColumn="0" w:lastRowFirstColumn="0" w:lastRowLastColumn="0"/>
            <w:tcW w:w="5098" w:type="dxa"/>
            <w:vMerge/>
            <w:tcBorders>
              <w:bottom w:val="single" w:sz="4" w:space="0" w:color="auto"/>
            </w:tcBorders>
            <w:noWrap/>
            <w:hideMark/>
          </w:tcPr>
          <w:p w14:paraId="027359AE" w14:textId="2B1885D1" w:rsidR="00F273FE" w:rsidRPr="003F2AFD" w:rsidRDefault="00F273FE" w:rsidP="003F2AFD">
            <w:pPr>
              <w:spacing w:line="276" w:lineRule="auto"/>
              <w:rPr>
                <w:rFonts w:ascii="Times New Roman" w:eastAsia="Times New Roman" w:hAnsi="Times New Roman" w:cs="Times New Roman"/>
                <w:color w:val="000000"/>
                <w:lang w:eastAsia="es-MX"/>
              </w:rPr>
            </w:pPr>
          </w:p>
        </w:tc>
        <w:tc>
          <w:tcPr>
            <w:tcW w:w="551" w:type="dxa"/>
            <w:tcBorders>
              <w:bottom w:val="single" w:sz="4" w:space="0" w:color="auto"/>
            </w:tcBorders>
            <w:noWrap/>
            <w:hideMark/>
          </w:tcPr>
          <w:p w14:paraId="1E442907"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A</w:t>
            </w:r>
          </w:p>
        </w:tc>
        <w:tc>
          <w:tcPr>
            <w:tcW w:w="440" w:type="dxa"/>
            <w:tcBorders>
              <w:bottom w:val="single" w:sz="4" w:space="0" w:color="auto"/>
            </w:tcBorders>
            <w:noWrap/>
            <w:hideMark/>
          </w:tcPr>
          <w:p w14:paraId="37E6A998"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B</w:t>
            </w:r>
          </w:p>
        </w:tc>
        <w:tc>
          <w:tcPr>
            <w:tcW w:w="440" w:type="dxa"/>
            <w:tcBorders>
              <w:bottom w:val="single" w:sz="4" w:space="0" w:color="auto"/>
            </w:tcBorders>
            <w:noWrap/>
            <w:hideMark/>
          </w:tcPr>
          <w:p w14:paraId="2704F19B"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C</w:t>
            </w:r>
          </w:p>
        </w:tc>
        <w:tc>
          <w:tcPr>
            <w:tcW w:w="551" w:type="dxa"/>
            <w:tcBorders>
              <w:bottom w:val="single" w:sz="4" w:space="0" w:color="auto"/>
            </w:tcBorders>
            <w:noWrap/>
            <w:hideMark/>
          </w:tcPr>
          <w:p w14:paraId="03B5826E"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D</w:t>
            </w:r>
          </w:p>
        </w:tc>
        <w:tc>
          <w:tcPr>
            <w:tcW w:w="440" w:type="dxa"/>
            <w:tcBorders>
              <w:bottom w:val="single" w:sz="4" w:space="0" w:color="auto"/>
            </w:tcBorders>
            <w:noWrap/>
            <w:hideMark/>
          </w:tcPr>
          <w:p w14:paraId="65597580"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E</w:t>
            </w:r>
          </w:p>
        </w:tc>
        <w:tc>
          <w:tcPr>
            <w:tcW w:w="440" w:type="dxa"/>
            <w:tcBorders>
              <w:bottom w:val="single" w:sz="4" w:space="0" w:color="auto"/>
            </w:tcBorders>
            <w:noWrap/>
            <w:hideMark/>
          </w:tcPr>
          <w:p w14:paraId="33FD8A8A"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F</w:t>
            </w:r>
          </w:p>
        </w:tc>
        <w:tc>
          <w:tcPr>
            <w:tcW w:w="551" w:type="dxa"/>
            <w:tcBorders>
              <w:bottom w:val="single" w:sz="4" w:space="0" w:color="auto"/>
            </w:tcBorders>
            <w:noWrap/>
            <w:hideMark/>
          </w:tcPr>
          <w:p w14:paraId="20B89E36"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G</w:t>
            </w:r>
          </w:p>
        </w:tc>
        <w:tc>
          <w:tcPr>
            <w:tcW w:w="594" w:type="dxa"/>
            <w:tcBorders>
              <w:bottom w:val="single" w:sz="4" w:space="0" w:color="auto"/>
            </w:tcBorders>
            <w:noWrap/>
            <w:hideMark/>
          </w:tcPr>
          <w:p w14:paraId="659A3B6E"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H</w:t>
            </w:r>
          </w:p>
        </w:tc>
      </w:tr>
      <w:tr w:rsidR="00427A40" w:rsidRPr="003F2AFD" w14:paraId="5596E373" w14:textId="77777777" w:rsidTr="003F2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tcBorders>
              <w:top w:val="single" w:sz="4" w:space="0" w:color="auto"/>
            </w:tcBorders>
          </w:tcPr>
          <w:p w14:paraId="7D00E5A0" w14:textId="77777777" w:rsidR="00F273FE" w:rsidRPr="003F2AFD" w:rsidRDefault="00F273FE" w:rsidP="003F2AFD">
            <w:pPr>
              <w:spacing w:line="276" w:lineRule="auto"/>
              <w:rPr>
                <w:rFonts w:ascii="Times New Roman" w:eastAsia="Times New Roman" w:hAnsi="Times New Roman" w:cs="Times New Roman"/>
                <w:color w:val="000000"/>
                <w:lang w:eastAsia="es-MX"/>
              </w:rPr>
            </w:pPr>
            <w:r w:rsidRPr="003F2AFD">
              <w:rPr>
                <w:rFonts w:ascii="Times New Roman" w:hAnsi="Times New Roman" w:cs="Times New Roman"/>
                <w:color w:val="000000"/>
              </w:rPr>
              <w:t>Taller de Diseño Urbano y del Paisaje II</w:t>
            </w:r>
          </w:p>
        </w:tc>
        <w:tc>
          <w:tcPr>
            <w:tcW w:w="551" w:type="dxa"/>
            <w:tcBorders>
              <w:top w:val="single" w:sz="4" w:space="0" w:color="auto"/>
            </w:tcBorders>
            <w:noWrap/>
          </w:tcPr>
          <w:p w14:paraId="26762D0D"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92</w:t>
            </w:r>
          </w:p>
        </w:tc>
        <w:tc>
          <w:tcPr>
            <w:tcW w:w="440" w:type="dxa"/>
            <w:tcBorders>
              <w:top w:val="single" w:sz="4" w:space="0" w:color="auto"/>
            </w:tcBorders>
            <w:noWrap/>
          </w:tcPr>
          <w:p w14:paraId="1EAB245D"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83</w:t>
            </w:r>
          </w:p>
        </w:tc>
        <w:tc>
          <w:tcPr>
            <w:tcW w:w="440" w:type="dxa"/>
            <w:tcBorders>
              <w:top w:val="single" w:sz="4" w:space="0" w:color="auto"/>
            </w:tcBorders>
            <w:noWrap/>
          </w:tcPr>
          <w:p w14:paraId="269ED90E"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90</w:t>
            </w:r>
          </w:p>
        </w:tc>
        <w:tc>
          <w:tcPr>
            <w:tcW w:w="551" w:type="dxa"/>
            <w:tcBorders>
              <w:top w:val="single" w:sz="4" w:space="0" w:color="auto"/>
            </w:tcBorders>
            <w:noWrap/>
          </w:tcPr>
          <w:p w14:paraId="36F9BCB0"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88</w:t>
            </w:r>
          </w:p>
        </w:tc>
        <w:tc>
          <w:tcPr>
            <w:tcW w:w="440" w:type="dxa"/>
            <w:tcBorders>
              <w:top w:val="single" w:sz="4" w:space="0" w:color="auto"/>
            </w:tcBorders>
            <w:noWrap/>
          </w:tcPr>
          <w:p w14:paraId="25C8742C"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82</w:t>
            </w:r>
          </w:p>
        </w:tc>
        <w:tc>
          <w:tcPr>
            <w:tcW w:w="440" w:type="dxa"/>
            <w:tcBorders>
              <w:top w:val="single" w:sz="4" w:space="0" w:color="auto"/>
            </w:tcBorders>
            <w:noWrap/>
          </w:tcPr>
          <w:p w14:paraId="161D735C"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81</w:t>
            </w:r>
          </w:p>
        </w:tc>
        <w:tc>
          <w:tcPr>
            <w:tcW w:w="551" w:type="dxa"/>
            <w:tcBorders>
              <w:top w:val="single" w:sz="4" w:space="0" w:color="auto"/>
            </w:tcBorders>
            <w:noWrap/>
          </w:tcPr>
          <w:p w14:paraId="02DF4CD1"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83</w:t>
            </w:r>
          </w:p>
        </w:tc>
        <w:tc>
          <w:tcPr>
            <w:tcW w:w="594" w:type="dxa"/>
            <w:tcBorders>
              <w:top w:val="single" w:sz="4" w:space="0" w:color="auto"/>
            </w:tcBorders>
            <w:noWrap/>
          </w:tcPr>
          <w:p w14:paraId="4B92B0D6"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69</w:t>
            </w:r>
          </w:p>
        </w:tc>
      </w:tr>
      <w:tr w:rsidR="00427A40" w:rsidRPr="003F2AFD" w14:paraId="6A75C486" w14:textId="77777777" w:rsidTr="003F2AFD">
        <w:trPr>
          <w:trHeight w:val="300"/>
        </w:trPr>
        <w:tc>
          <w:tcPr>
            <w:cnfStyle w:val="001000000000" w:firstRow="0" w:lastRow="0" w:firstColumn="1" w:lastColumn="0" w:oddVBand="0" w:evenVBand="0" w:oddHBand="0" w:evenHBand="0" w:firstRowFirstColumn="0" w:firstRowLastColumn="0" w:lastRowFirstColumn="0" w:lastRowLastColumn="0"/>
            <w:tcW w:w="5098" w:type="dxa"/>
          </w:tcPr>
          <w:p w14:paraId="18A09E3A" w14:textId="77777777" w:rsidR="00F273FE" w:rsidRPr="003F2AFD" w:rsidRDefault="00F273FE" w:rsidP="003F2AFD">
            <w:pPr>
              <w:spacing w:line="276" w:lineRule="auto"/>
              <w:rPr>
                <w:rFonts w:ascii="Times New Roman" w:eastAsia="Times New Roman" w:hAnsi="Times New Roman" w:cs="Times New Roman"/>
                <w:color w:val="000000"/>
                <w:lang w:eastAsia="es-MX"/>
              </w:rPr>
            </w:pPr>
            <w:r w:rsidRPr="003F2AFD">
              <w:rPr>
                <w:rFonts w:ascii="Times New Roman" w:hAnsi="Times New Roman" w:cs="Times New Roman"/>
                <w:color w:val="000000"/>
              </w:rPr>
              <w:t>Geometría Descriptiva</w:t>
            </w:r>
          </w:p>
        </w:tc>
        <w:tc>
          <w:tcPr>
            <w:tcW w:w="551" w:type="dxa"/>
            <w:noWrap/>
          </w:tcPr>
          <w:p w14:paraId="64E2DCAD"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92</w:t>
            </w:r>
          </w:p>
        </w:tc>
        <w:tc>
          <w:tcPr>
            <w:tcW w:w="440" w:type="dxa"/>
            <w:noWrap/>
          </w:tcPr>
          <w:p w14:paraId="6E38CF3B"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76</w:t>
            </w:r>
          </w:p>
        </w:tc>
        <w:tc>
          <w:tcPr>
            <w:tcW w:w="440" w:type="dxa"/>
            <w:noWrap/>
          </w:tcPr>
          <w:p w14:paraId="14730A57"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93</w:t>
            </w:r>
          </w:p>
        </w:tc>
        <w:tc>
          <w:tcPr>
            <w:tcW w:w="551" w:type="dxa"/>
            <w:noWrap/>
          </w:tcPr>
          <w:p w14:paraId="1C60617B"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81</w:t>
            </w:r>
          </w:p>
        </w:tc>
        <w:tc>
          <w:tcPr>
            <w:tcW w:w="440" w:type="dxa"/>
            <w:noWrap/>
          </w:tcPr>
          <w:p w14:paraId="3888762A"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b/>
                <w:bCs/>
                <w:color w:val="000000"/>
              </w:rPr>
              <w:t>72</w:t>
            </w:r>
          </w:p>
        </w:tc>
        <w:tc>
          <w:tcPr>
            <w:tcW w:w="440" w:type="dxa"/>
            <w:noWrap/>
          </w:tcPr>
          <w:p w14:paraId="6629F1DC"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b/>
                <w:bCs/>
                <w:color w:val="000000"/>
              </w:rPr>
              <w:t>23</w:t>
            </w:r>
          </w:p>
        </w:tc>
        <w:tc>
          <w:tcPr>
            <w:tcW w:w="551" w:type="dxa"/>
            <w:noWrap/>
          </w:tcPr>
          <w:p w14:paraId="7230857F"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b/>
                <w:bCs/>
                <w:color w:val="000000"/>
              </w:rPr>
              <w:t>65</w:t>
            </w:r>
          </w:p>
        </w:tc>
        <w:tc>
          <w:tcPr>
            <w:tcW w:w="594" w:type="dxa"/>
            <w:noWrap/>
          </w:tcPr>
          <w:p w14:paraId="4A7E4DA6"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b/>
                <w:bCs/>
                <w:color w:val="000000"/>
              </w:rPr>
              <w:t>24</w:t>
            </w:r>
          </w:p>
        </w:tc>
      </w:tr>
      <w:tr w:rsidR="00427A40" w:rsidRPr="003F2AFD" w14:paraId="17796D50" w14:textId="77777777" w:rsidTr="003F2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tcPr>
          <w:p w14:paraId="4301461C" w14:textId="77777777" w:rsidR="00F273FE" w:rsidRPr="003F2AFD" w:rsidRDefault="00F273FE" w:rsidP="003F2AFD">
            <w:pPr>
              <w:spacing w:line="276" w:lineRule="auto"/>
              <w:rPr>
                <w:rFonts w:ascii="Times New Roman" w:eastAsia="Times New Roman" w:hAnsi="Times New Roman" w:cs="Times New Roman"/>
                <w:color w:val="000000"/>
                <w:lang w:eastAsia="es-MX"/>
              </w:rPr>
            </w:pPr>
            <w:r w:rsidRPr="003F2AFD">
              <w:rPr>
                <w:rFonts w:ascii="Times New Roman" w:hAnsi="Times New Roman" w:cs="Times New Roman"/>
                <w:color w:val="000000"/>
              </w:rPr>
              <w:t>Recursos Naturales</w:t>
            </w:r>
          </w:p>
        </w:tc>
        <w:tc>
          <w:tcPr>
            <w:tcW w:w="551" w:type="dxa"/>
            <w:noWrap/>
          </w:tcPr>
          <w:p w14:paraId="22EB7C90"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MX"/>
              </w:rPr>
            </w:pPr>
            <w:r w:rsidRPr="003F2AFD">
              <w:rPr>
                <w:rFonts w:ascii="Times New Roman" w:hAnsi="Times New Roman" w:cs="Times New Roman"/>
                <w:color w:val="000000"/>
              </w:rPr>
              <w:t>89</w:t>
            </w:r>
          </w:p>
        </w:tc>
        <w:tc>
          <w:tcPr>
            <w:tcW w:w="440" w:type="dxa"/>
            <w:noWrap/>
          </w:tcPr>
          <w:p w14:paraId="3F16525D"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73</w:t>
            </w:r>
          </w:p>
        </w:tc>
        <w:tc>
          <w:tcPr>
            <w:tcW w:w="440" w:type="dxa"/>
            <w:noWrap/>
          </w:tcPr>
          <w:p w14:paraId="5662A083"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MX"/>
              </w:rPr>
            </w:pPr>
            <w:r w:rsidRPr="003F2AFD">
              <w:rPr>
                <w:rFonts w:ascii="Times New Roman" w:hAnsi="Times New Roman" w:cs="Times New Roman"/>
                <w:b/>
                <w:bCs/>
                <w:color w:val="000000"/>
              </w:rPr>
              <w:t>86</w:t>
            </w:r>
          </w:p>
        </w:tc>
        <w:tc>
          <w:tcPr>
            <w:tcW w:w="551" w:type="dxa"/>
            <w:noWrap/>
          </w:tcPr>
          <w:p w14:paraId="20B49C8E"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MX"/>
              </w:rPr>
            </w:pPr>
            <w:r w:rsidRPr="003F2AFD">
              <w:rPr>
                <w:rFonts w:ascii="Times New Roman" w:hAnsi="Times New Roman" w:cs="Times New Roman"/>
                <w:color w:val="000000"/>
              </w:rPr>
              <w:t>82</w:t>
            </w:r>
          </w:p>
        </w:tc>
        <w:tc>
          <w:tcPr>
            <w:tcW w:w="440" w:type="dxa"/>
            <w:noWrap/>
          </w:tcPr>
          <w:p w14:paraId="4BE6BAB1"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MX"/>
              </w:rPr>
            </w:pPr>
            <w:r w:rsidRPr="003F2AFD">
              <w:rPr>
                <w:rFonts w:ascii="Times New Roman" w:hAnsi="Times New Roman" w:cs="Times New Roman"/>
                <w:color w:val="000000"/>
              </w:rPr>
              <w:t>79</w:t>
            </w:r>
          </w:p>
        </w:tc>
        <w:tc>
          <w:tcPr>
            <w:tcW w:w="440" w:type="dxa"/>
            <w:noWrap/>
          </w:tcPr>
          <w:p w14:paraId="6D950099"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MX"/>
              </w:rPr>
            </w:pPr>
            <w:r w:rsidRPr="003F2AFD">
              <w:rPr>
                <w:rFonts w:ascii="Times New Roman" w:hAnsi="Times New Roman" w:cs="Times New Roman"/>
                <w:color w:val="000000"/>
              </w:rPr>
              <w:t>86</w:t>
            </w:r>
          </w:p>
        </w:tc>
        <w:tc>
          <w:tcPr>
            <w:tcW w:w="551" w:type="dxa"/>
            <w:noWrap/>
          </w:tcPr>
          <w:p w14:paraId="0844E7CB"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MX"/>
              </w:rPr>
            </w:pPr>
            <w:r w:rsidRPr="003F2AFD">
              <w:rPr>
                <w:rFonts w:ascii="Times New Roman" w:hAnsi="Times New Roman" w:cs="Times New Roman"/>
                <w:color w:val="000000"/>
              </w:rPr>
              <w:t>89</w:t>
            </w:r>
          </w:p>
        </w:tc>
        <w:tc>
          <w:tcPr>
            <w:tcW w:w="594" w:type="dxa"/>
            <w:noWrap/>
          </w:tcPr>
          <w:p w14:paraId="567D141C"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lang w:eastAsia="es-MX"/>
              </w:rPr>
            </w:pPr>
            <w:r w:rsidRPr="003F2AFD">
              <w:rPr>
                <w:rFonts w:ascii="Times New Roman" w:hAnsi="Times New Roman" w:cs="Times New Roman"/>
                <w:color w:val="000000"/>
              </w:rPr>
              <w:t>72</w:t>
            </w:r>
          </w:p>
        </w:tc>
      </w:tr>
      <w:tr w:rsidR="00427A40" w:rsidRPr="003F2AFD" w14:paraId="5FF9BAE2" w14:textId="77777777" w:rsidTr="003F2AFD">
        <w:trPr>
          <w:trHeight w:val="300"/>
        </w:trPr>
        <w:tc>
          <w:tcPr>
            <w:cnfStyle w:val="001000000000" w:firstRow="0" w:lastRow="0" w:firstColumn="1" w:lastColumn="0" w:oddVBand="0" w:evenVBand="0" w:oddHBand="0" w:evenHBand="0" w:firstRowFirstColumn="0" w:firstRowLastColumn="0" w:lastRowFirstColumn="0" w:lastRowLastColumn="0"/>
            <w:tcW w:w="5098" w:type="dxa"/>
          </w:tcPr>
          <w:p w14:paraId="28634232" w14:textId="77777777" w:rsidR="00F273FE" w:rsidRPr="003F2AFD" w:rsidRDefault="00F273FE" w:rsidP="003F2AFD">
            <w:pPr>
              <w:spacing w:line="276" w:lineRule="auto"/>
              <w:rPr>
                <w:rFonts w:ascii="Times New Roman" w:eastAsia="Times New Roman" w:hAnsi="Times New Roman" w:cs="Times New Roman"/>
                <w:color w:val="000000"/>
                <w:lang w:eastAsia="es-MX"/>
              </w:rPr>
            </w:pPr>
            <w:r w:rsidRPr="003F2AFD">
              <w:rPr>
                <w:rFonts w:ascii="Times New Roman" w:hAnsi="Times New Roman" w:cs="Times New Roman"/>
                <w:color w:val="000000"/>
              </w:rPr>
              <w:t>Teoría de Espacios Exteriores</w:t>
            </w:r>
          </w:p>
        </w:tc>
        <w:tc>
          <w:tcPr>
            <w:tcW w:w="551" w:type="dxa"/>
            <w:noWrap/>
          </w:tcPr>
          <w:p w14:paraId="02EF517C"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97</w:t>
            </w:r>
          </w:p>
        </w:tc>
        <w:tc>
          <w:tcPr>
            <w:tcW w:w="440" w:type="dxa"/>
            <w:noWrap/>
          </w:tcPr>
          <w:p w14:paraId="3215A2F1"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lang w:eastAsia="es-MX"/>
              </w:rPr>
            </w:pPr>
            <w:r w:rsidRPr="003F2AFD">
              <w:rPr>
                <w:rFonts w:ascii="Times New Roman" w:hAnsi="Times New Roman" w:cs="Times New Roman"/>
                <w:color w:val="000000"/>
              </w:rPr>
              <w:t>91</w:t>
            </w:r>
          </w:p>
        </w:tc>
        <w:tc>
          <w:tcPr>
            <w:tcW w:w="440" w:type="dxa"/>
            <w:noWrap/>
          </w:tcPr>
          <w:p w14:paraId="0318C76E"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b/>
                <w:bCs/>
                <w:color w:val="000000"/>
              </w:rPr>
              <w:t>97</w:t>
            </w:r>
          </w:p>
        </w:tc>
        <w:tc>
          <w:tcPr>
            <w:tcW w:w="551" w:type="dxa"/>
            <w:noWrap/>
          </w:tcPr>
          <w:p w14:paraId="68A78333"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95</w:t>
            </w:r>
          </w:p>
        </w:tc>
        <w:tc>
          <w:tcPr>
            <w:tcW w:w="440" w:type="dxa"/>
            <w:noWrap/>
          </w:tcPr>
          <w:p w14:paraId="7D613D3A"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90</w:t>
            </w:r>
          </w:p>
        </w:tc>
        <w:tc>
          <w:tcPr>
            <w:tcW w:w="440" w:type="dxa"/>
            <w:noWrap/>
          </w:tcPr>
          <w:p w14:paraId="1676DB06"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92</w:t>
            </w:r>
          </w:p>
        </w:tc>
        <w:tc>
          <w:tcPr>
            <w:tcW w:w="551" w:type="dxa"/>
            <w:noWrap/>
          </w:tcPr>
          <w:p w14:paraId="68BD3FE2"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95</w:t>
            </w:r>
          </w:p>
        </w:tc>
        <w:tc>
          <w:tcPr>
            <w:tcW w:w="594" w:type="dxa"/>
            <w:noWrap/>
          </w:tcPr>
          <w:p w14:paraId="3F489E9D"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83</w:t>
            </w:r>
          </w:p>
        </w:tc>
      </w:tr>
      <w:tr w:rsidR="00427A40" w:rsidRPr="003F2AFD" w14:paraId="0A112BEF" w14:textId="77777777" w:rsidTr="003F2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tcPr>
          <w:p w14:paraId="0A8365BE" w14:textId="77777777" w:rsidR="00F273FE" w:rsidRPr="003F2AFD" w:rsidRDefault="00F273FE" w:rsidP="003F2AFD">
            <w:pPr>
              <w:spacing w:line="276" w:lineRule="auto"/>
              <w:rPr>
                <w:rFonts w:ascii="Times New Roman" w:eastAsia="Times New Roman" w:hAnsi="Times New Roman" w:cs="Times New Roman"/>
                <w:color w:val="000000"/>
                <w:lang w:eastAsia="es-MX"/>
              </w:rPr>
            </w:pPr>
            <w:r w:rsidRPr="003F2AFD">
              <w:rPr>
                <w:rFonts w:ascii="Times New Roman" w:hAnsi="Times New Roman" w:cs="Times New Roman"/>
                <w:color w:val="000000"/>
              </w:rPr>
              <w:t>Estadística</w:t>
            </w:r>
          </w:p>
        </w:tc>
        <w:tc>
          <w:tcPr>
            <w:tcW w:w="551" w:type="dxa"/>
            <w:noWrap/>
          </w:tcPr>
          <w:p w14:paraId="6DE2E43E"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86</w:t>
            </w:r>
          </w:p>
        </w:tc>
        <w:tc>
          <w:tcPr>
            <w:tcW w:w="440" w:type="dxa"/>
            <w:noWrap/>
          </w:tcPr>
          <w:p w14:paraId="345AFD89"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74</w:t>
            </w:r>
          </w:p>
        </w:tc>
        <w:tc>
          <w:tcPr>
            <w:tcW w:w="440" w:type="dxa"/>
            <w:noWrap/>
          </w:tcPr>
          <w:p w14:paraId="21BD3089"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90</w:t>
            </w:r>
          </w:p>
        </w:tc>
        <w:tc>
          <w:tcPr>
            <w:tcW w:w="551" w:type="dxa"/>
            <w:noWrap/>
          </w:tcPr>
          <w:p w14:paraId="71FBC159"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87</w:t>
            </w:r>
          </w:p>
        </w:tc>
        <w:tc>
          <w:tcPr>
            <w:tcW w:w="440" w:type="dxa"/>
            <w:noWrap/>
          </w:tcPr>
          <w:p w14:paraId="62355B68"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83</w:t>
            </w:r>
          </w:p>
        </w:tc>
        <w:tc>
          <w:tcPr>
            <w:tcW w:w="440" w:type="dxa"/>
            <w:noWrap/>
          </w:tcPr>
          <w:p w14:paraId="34008A29"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81</w:t>
            </w:r>
          </w:p>
        </w:tc>
        <w:tc>
          <w:tcPr>
            <w:tcW w:w="551" w:type="dxa"/>
            <w:noWrap/>
          </w:tcPr>
          <w:p w14:paraId="13C11785"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96</w:t>
            </w:r>
          </w:p>
        </w:tc>
        <w:tc>
          <w:tcPr>
            <w:tcW w:w="594" w:type="dxa"/>
            <w:noWrap/>
          </w:tcPr>
          <w:p w14:paraId="71B00DE0"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78</w:t>
            </w:r>
          </w:p>
        </w:tc>
      </w:tr>
      <w:tr w:rsidR="00427A40" w:rsidRPr="003F2AFD" w14:paraId="2213C2FB" w14:textId="77777777" w:rsidTr="003F2AFD">
        <w:trPr>
          <w:trHeight w:val="300"/>
        </w:trPr>
        <w:tc>
          <w:tcPr>
            <w:cnfStyle w:val="001000000000" w:firstRow="0" w:lastRow="0" w:firstColumn="1" w:lastColumn="0" w:oddVBand="0" w:evenVBand="0" w:oddHBand="0" w:evenHBand="0" w:firstRowFirstColumn="0" w:firstRowLastColumn="0" w:lastRowFirstColumn="0" w:lastRowLastColumn="0"/>
            <w:tcW w:w="5098" w:type="dxa"/>
            <w:tcBorders>
              <w:top w:val="single" w:sz="4" w:space="0" w:color="F79646" w:themeColor="accent6"/>
              <w:bottom w:val="single" w:sz="4" w:space="0" w:color="auto"/>
            </w:tcBorders>
          </w:tcPr>
          <w:p w14:paraId="4FCF367B" w14:textId="77777777" w:rsidR="00F273FE" w:rsidRPr="003F2AFD" w:rsidRDefault="00F273FE" w:rsidP="003F2AFD">
            <w:pPr>
              <w:spacing w:line="276" w:lineRule="auto"/>
              <w:rPr>
                <w:rFonts w:ascii="Times New Roman" w:eastAsia="Times New Roman" w:hAnsi="Times New Roman" w:cs="Times New Roman"/>
                <w:color w:val="000000"/>
                <w:lang w:eastAsia="es-MX"/>
              </w:rPr>
            </w:pPr>
            <w:r w:rsidRPr="003F2AFD">
              <w:rPr>
                <w:rFonts w:ascii="Times New Roman" w:hAnsi="Times New Roman" w:cs="Times New Roman"/>
                <w:color w:val="000000"/>
              </w:rPr>
              <w:t>Comunidades de Aprendizaje</w:t>
            </w:r>
          </w:p>
        </w:tc>
        <w:tc>
          <w:tcPr>
            <w:tcW w:w="551" w:type="dxa"/>
            <w:tcBorders>
              <w:top w:val="single" w:sz="4" w:space="0" w:color="F79646" w:themeColor="accent6"/>
              <w:bottom w:val="single" w:sz="4" w:space="0" w:color="auto"/>
            </w:tcBorders>
            <w:noWrap/>
          </w:tcPr>
          <w:p w14:paraId="5B69F189"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b/>
                <w:bCs/>
                <w:color w:val="000000"/>
              </w:rPr>
              <w:t>100</w:t>
            </w:r>
          </w:p>
        </w:tc>
        <w:tc>
          <w:tcPr>
            <w:tcW w:w="440" w:type="dxa"/>
            <w:tcBorders>
              <w:top w:val="single" w:sz="4" w:space="0" w:color="F79646" w:themeColor="accent6"/>
              <w:bottom w:val="single" w:sz="4" w:space="0" w:color="auto"/>
            </w:tcBorders>
            <w:noWrap/>
          </w:tcPr>
          <w:p w14:paraId="0A640158"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b/>
                <w:bCs/>
                <w:color w:val="000000"/>
              </w:rPr>
              <w:t>95</w:t>
            </w:r>
          </w:p>
        </w:tc>
        <w:tc>
          <w:tcPr>
            <w:tcW w:w="440" w:type="dxa"/>
            <w:tcBorders>
              <w:top w:val="single" w:sz="4" w:space="0" w:color="F79646" w:themeColor="accent6"/>
              <w:bottom w:val="single" w:sz="4" w:space="0" w:color="auto"/>
            </w:tcBorders>
            <w:noWrap/>
          </w:tcPr>
          <w:p w14:paraId="39944803"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96</w:t>
            </w:r>
          </w:p>
        </w:tc>
        <w:tc>
          <w:tcPr>
            <w:tcW w:w="551" w:type="dxa"/>
            <w:tcBorders>
              <w:top w:val="single" w:sz="4" w:space="0" w:color="F79646" w:themeColor="accent6"/>
              <w:bottom w:val="single" w:sz="4" w:space="0" w:color="auto"/>
            </w:tcBorders>
            <w:noWrap/>
          </w:tcPr>
          <w:p w14:paraId="089B7A07"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b/>
                <w:bCs/>
                <w:color w:val="000000"/>
              </w:rPr>
              <w:t>100</w:t>
            </w:r>
          </w:p>
        </w:tc>
        <w:tc>
          <w:tcPr>
            <w:tcW w:w="440" w:type="dxa"/>
            <w:tcBorders>
              <w:top w:val="single" w:sz="4" w:space="0" w:color="F79646" w:themeColor="accent6"/>
              <w:bottom w:val="single" w:sz="4" w:space="0" w:color="auto"/>
            </w:tcBorders>
            <w:noWrap/>
          </w:tcPr>
          <w:p w14:paraId="4FA51757"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b/>
                <w:bCs/>
                <w:color w:val="000000"/>
              </w:rPr>
              <w:t>93</w:t>
            </w:r>
          </w:p>
        </w:tc>
        <w:tc>
          <w:tcPr>
            <w:tcW w:w="440" w:type="dxa"/>
            <w:tcBorders>
              <w:top w:val="single" w:sz="4" w:space="0" w:color="F79646" w:themeColor="accent6"/>
              <w:bottom w:val="single" w:sz="4" w:space="0" w:color="auto"/>
            </w:tcBorders>
            <w:noWrap/>
          </w:tcPr>
          <w:p w14:paraId="0B7D324F"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93</w:t>
            </w:r>
          </w:p>
        </w:tc>
        <w:tc>
          <w:tcPr>
            <w:tcW w:w="551" w:type="dxa"/>
            <w:tcBorders>
              <w:top w:val="single" w:sz="4" w:space="0" w:color="F79646" w:themeColor="accent6"/>
              <w:bottom w:val="single" w:sz="4" w:space="0" w:color="auto"/>
            </w:tcBorders>
            <w:noWrap/>
          </w:tcPr>
          <w:p w14:paraId="5CFFC209"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100</w:t>
            </w:r>
          </w:p>
        </w:tc>
        <w:tc>
          <w:tcPr>
            <w:tcW w:w="594" w:type="dxa"/>
            <w:tcBorders>
              <w:top w:val="single" w:sz="4" w:space="0" w:color="F79646" w:themeColor="accent6"/>
              <w:bottom w:val="single" w:sz="4" w:space="0" w:color="auto"/>
            </w:tcBorders>
            <w:noWrap/>
          </w:tcPr>
          <w:p w14:paraId="5AC3BC18"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83</w:t>
            </w:r>
          </w:p>
        </w:tc>
      </w:tr>
      <w:tr w:rsidR="00427A40" w:rsidRPr="003F2AFD" w14:paraId="1615613D" w14:textId="77777777" w:rsidTr="003F2AF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98" w:type="dxa"/>
            <w:tcBorders>
              <w:top w:val="single" w:sz="4" w:space="0" w:color="auto"/>
            </w:tcBorders>
          </w:tcPr>
          <w:p w14:paraId="6B2BDDFD" w14:textId="77777777" w:rsidR="00F273FE" w:rsidRPr="003F2AFD" w:rsidRDefault="00F273FE" w:rsidP="003F2AFD">
            <w:pPr>
              <w:spacing w:line="276" w:lineRule="auto"/>
              <w:rPr>
                <w:rFonts w:ascii="Times New Roman" w:eastAsia="Times New Roman" w:hAnsi="Times New Roman" w:cs="Times New Roman"/>
                <w:color w:val="000000"/>
                <w:lang w:eastAsia="es-MX"/>
              </w:rPr>
            </w:pPr>
            <w:r w:rsidRPr="003F2AFD">
              <w:rPr>
                <w:rFonts w:ascii="Times New Roman" w:hAnsi="Times New Roman" w:cs="Times New Roman"/>
                <w:color w:val="000000"/>
              </w:rPr>
              <w:t>Media aritmética</w:t>
            </w:r>
          </w:p>
        </w:tc>
        <w:tc>
          <w:tcPr>
            <w:tcW w:w="551" w:type="dxa"/>
            <w:tcBorders>
              <w:top w:val="single" w:sz="4" w:space="0" w:color="auto"/>
            </w:tcBorders>
            <w:noWrap/>
          </w:tcPr>
          <w:p w14:paraId="0CF025B4"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93</w:t>
            </w:r>
          </w:p>
        </w:tc>
        <w:tc>
          <w:tcPr>
            <w:tcW w:w="440" w:type="dxa"/>
            <w:tcBorders>
              <w:top w:val="single" w:sz="4" w:space="0" w:color="auto"/>
            </w:tcBorders>
            <w:noWrap/>
          </w:tcPr>
          <w:p w14:paraId="73E3285A"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82</w:t>
            </w:r>
          </w:p>
        </w:tc>
        <w:tc>
          <w:tcPr>
            <w:tcW w:w="440" w:type="dxa"/>
            <w:tcBorders>
              <w:top w:val="single" w:sz="4" w:space="0" w:color="auto"/>
            </w:tcBorders>
            <w:noWrap/>
          </w:tcPr>
          <w:p w14:paraId="6C900D36"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92</w:t>
            </w:r>
          </w:p>
        </w:tc>
        <w:tc>
          <w:tcPr>
            <w:tcW w:w="551" w:type="dxa"/>
            <w:tcBorders>
              <w:top w:val="single" w:sz="4" w:space="0" w:color="auto"/>
            </w:tcBorders>
            <w:noWrap/>
          </w:tcPr>
          <w:p w14:paraId="6D57CF05"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89</w:t>
            </w:r>
          </w:p>
        </w:tc>
        <w:tc>
          <w:tcPr>
            <w:tcW w:w="440" w:type="dxa"/>
            <w:tcBorders>
              <w:top w:val="single" w:sz="4" w:space="0" w:color="auto"/>
            </w:tcBorders>
            <w:noWrap/>
          </w:tcPr>
          <w:p w14:paraId="5CADDD23"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83</w:t>
            </w:r>
          </w:p>
        </w:tc>
        <w:tc>
          <w:tcPr>
            <w:tcW w:w="440" w:type="dxa"/>
            <w:tcBorders>
              <w:top w:val="single" w:sz="4" w:space="0" w:color="auto"/>
            </w:tcBorders>
            <w:noWrap/>
          </w:tcPr>
          <w:p w14:paraId="15097E54"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76</w:t>
            </w:r>
          </w:p>
        </w:tc>
        <w:tc>
          <w:tcPr>
            <w:tcW w:w="551" w:type="dxa"/>
            <w:tcBorders>
              <w:top w:val="single" w:sz="4" w:space="0" w:color="auto"/>
            </w:tcBorders>
            <w:noWrap/>
          </w:tcPr>
          <w:p w14:paraId="28402499"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88</w:t>
            </w:r>
          </w:p>
        </w:tc>
        <w:tc>
          <w:tcPr>
            <w:tcW w:w="594" w:type="dxa"/>
            <w:tcBorders>
              <w:top w:val="single" w:sz="4" w:space="0" w:color="auto"/>
            </w:tcBorders>
            <w:noWrap/>
          </w:tcPr>
          <w:p w14:paraId="3FC8D162" w14:textId="77777777" w:rsidR="00F273FE" w:rsidRPr="003F2AFD" w:rsidRDefault="00F273FE" w:rsidP="003F2AFD">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68</w:t>
            </w:r>
          </w:p>
        </w:tc>
      </w:tr>
      <w:tr w:rsidR="00427A40" w:rsidRPr="003F2AFD" w14:paraId="0F32BD73" w14:textId="77777777" w:rsidTr="003F2AFD">
        <w:trPr>
          <w:trHeight w:val="300"/>
        </w:trPr>
        <w:tc>
          <w:tcPr>
            <w:cnfStyle w:val="001000000000" w:firstRow="0" w:lastRow="0" w:firstColumn="1" w:lastColumn="0" w:oddVBand="0" w:evenVBand="0" w:oddHBand="0" w:evenHBand="0" w:firstRowFirstColumn="0" w:firstRowLastColumn="0" w:lastRowFirstColumn="0" w:lastRowLastColumn="0"/>
            <w:tcW w:w="5098" w:type="dxa"/>
            <w:tcBorders>
              <w:top w:val="single" w:sz="4" w:space="0" w:color="F79646" w:themeColor="accent6"/>
              <w:bottom w:val="single" w:sz="4" w:space="0" w:color="auto"/>
            </w:tcBorders>
          </w:tcPr>
          <w:p w14:paraId="4D402352" w14:textId="77777777" w:rsidR="00F273FE" w:rsidRPr="003F2AFD" w:rsidRDefault="00F273FE" w:rsidP="003F2AFD">
            <w:pPr>
              <w:spacing w:line="276" w:lineRule="auto"/>
              <w:rPr>
                <w:rFonts w:ascii="Times New Roman" w:eastAsia="Times New Roman" w:hAnsi="Times New Roman" w:cs="Times New Roman"/>
                <w:color w:val="000000"/>
                <w:lang w:eastAsia="es-MX"/>
              </w:rPr>
            </w:pPr>
            <w:r w:rsidRPr="003F2AFD">
              <w:rPr>
                <w:rFonts w:ascii="Times New Roman" w:hAnsi="Times New Roman" w:cs="Times New Roman"/>
                <w:color w:val="000000"/>
              </w:rPr>
              <w:t>Desviación estándar</w:t>
            </w:r>
          </w:p>
        </w:tc>
        <w:tc>
          <w:tcPr>
            <w:tcW w:w="551" w:type="dxa"/>
            <w:tcBorders>
              <w:top w:val="single" w:sz="4" w:space="0" w:color="F79646" w:themeColor="accent6"/>
              <w:bottom w:val="single" w:sz="4" w:space="0" w:color="auto"/>
            </w:tcBorders>
            <w:noWrap/>
          </w:tcPr>
          <w:p w14:paraId="3097E98A"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5</w:t>
            </w:r>
          </w:p>
        </w:tc>
        <w:tc>
          <w:tcPr>
            <w:tcW w:w="440" w:type="dxa"/>
            <w:tcBorders>
              <w:top w:val="single" w:sz="4" w:space="0" w:color="F79646" w:themeColor="accent6"/>
              <w:bottom w:val="single" w:sz="4" w:space="0" w:color="auto"/>
            </w:tcBorders>
            <w:noWrap/>
          </w:tcPr>
          <w:p w14:paraId="4EE72A6C"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9</w:t>
            </w:r>
          </w:p>
        </w:tc>
        <w:tc>
          <w:tcPr>
            <w:tcW w:w="440" w:type="dxa"/>
            <w:tcBorders>
              <w:top w:val="single" w:sz="4" w:space="0" w:color="F79646" w:themeColor="accent6"/>
              <w:bottom w:val="single" w:sz="4" w:space="0" w:color="auto"/>
            </w:tcBorders>
            <w:noWrap/>
          </w:tcPr>
          <w:p w14:paraId="15536287"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4</w:t>
            </w:r>
          </w:p>
        </w:tc>
        <w:tc>
          <w:tcPr>
            <w:tcW w:w="551" w:type="dxa"/>
            <w:tcBorders>
              <w:top w:val="single" w:sz="4" w:space="0" w:color="F79646" w:themeColor="accent6"/>
              <w:bottom w:val="single" w:sz="4" w:space="0" w:color="auto"/>
            </w:tcBorders>
            <w:noWrap/>
          </w:tcPr>
          <w:p w14:paraId="3AF7A119"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7</w:t>
            </w:r>
          </w:p>
        </w:tc>
        <w:tc>
          <w:tcPr>
            <w:tcW w:w="440" w:type="dxa"/>
            <w:tcBorders>
              <w:top w:val="single" w:sz="4" w:space="0" w:color="F79646" w:themeColor="accent6"/>
              <w:bottom w:val="single" w:sz="4" w:space="0" w:color="auto"/>
            </w:tcBorders>
            <w:noWrap/>
          </w:tcPr>
          <w:p w14:paraId="48EBFD92"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8</w:t>
            </w:r>
          </w:p>
        </w:tc>
        <w:tc>
          <w:tcPr>
            <w:tcW w:w="440" w:type="dxa"/>
            <w:tcBorders>
              <w:top w:val="single" w:sz="4" w:space="0" w:color="F79646" w:themeColor="accent6"/>
              <w:bottom w:val="single" w:sz="4" w:space="0" w:color="auto"/>
            </w:tcBorders>
            <w:noWrap/>
          </w:tcPr>
          <w:p w14:paraId="206B9A70"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27</w:t>
            </w:r>
          </w:p>
        </w:tc>
        <w:tc>
          <w:tcPr>
            <w:tcW w:w="551" w:type="dxa"/>
            <w:tcBorders>
              <w:top w:val="single" w:sz="4" w:space="0" w:color="F79646" w:themeColor="accent6"/>
              <w:bottom w:val="single" w:sz="4" w:space="0" w:color="auto"/>
            </w:tcBorders>
            <w:noWrap/>
          </w:tcPr>
          <w:p w14:paraId="5B1090B4"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13</w:t>
            </w:r>
          </w:p>
        </w:tc>
        <w:tc>
          <w:tcPr>
            <w:tcW w:w="594" w:type="dxa"/>
            <w:tcBorders>
              <w:top w:val="single" w:sz="4" w:space="0" w:color="F79646" w:themeColor="accent6"/>
              <w:bottom w:val="single" w:sz="4" w:space="0" w:color="auto"/>
            </w:tcBorders>
            <w:noWrap/>
          </w:tcPr>
          <w:p w14:paraId="258C3750" w14:textId="77777777" w:rsidR="00F273FE" w:rsidRPr="003F2AFD" w:rsidRDefault="00F273FE" w:rsidP="003F2AFD">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F2AFD">
              <w:rPr>
                <w:rFonts w:ascii="Times New Roman" w:hAnsi="Times New Roman" w:cs="Times New Roman"/>
                <w:color w:val="000000"/>
              </w:rPr>
              <w:t>23</w:t>
            </w:r>
          </w:p>
        </w:tc>
      </w:tr>
    </w:tbl>
    <w:p w14:paraId="64FA0656" w14:textId="77777777" w:rsidR="00F273FE" w:rsidRDefault="00F273FE" w:rsidP="003B1236">
      <w:pPr>
        <w:pStyle w:val="Default"/>
        <w:spacing w:after="240" w:line="360" w:lineRule="auto"/>
        <w:rPr>
          <w:rFonts w:ascii="Times New Roman" w:hAnsi="Times New Roman" w:cs="Times New Roman"/>
        </w:rPr>
      </w:pPr>
    </w:p>
    <w:p w14:paraId="38AC5ADD" w14:textId="4E2AE2B1" w:rsidR="007B6F5D" w:rsidRDefault="00342E93"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La unidad de aprendizaje que se ubica por debajo de este intervalo es Geometría descriptiva (66), esto implica que los profesores que la impartieron deben de reflexionar sobre las estrategias didácticas, comportamientos</w:t>
      </w:r>
      <w:r w:rsidR="007B6F5D">
        <w:rPr>
          <w:rFonts w:ascii="Times New Roman" w:hAnsi="Times New Roman" w:cs="Times New Roman"/>
          <w:bCs/>
          <w:sz w:val="24"/>
          <w:szCs w:val="24"/>
        </w:rPr>
        <w:t xml:space="preserve"> y actitudes puestas en práctica durante el desarrollo del curso con el propósito de ubicar con mayor precisión las cosas que definitivamente tendría que desechar, las que está en posibilidad de mejorar e innovar con nuevas estrategias en cursos futuros.</w:t>
      </w:r>
    </w:p>
    <w:p w14:paraId="7EE92904" w14:textId="3C881B72" w:rsidR="003B1236" w:rsidRPr="003B1236" w:rsidRDefault="003B1236" w:rsidP="002363C6">
      <w:pPr>
        <w:pStyle w:val="Prrafodelista"/>
        <w:numPr>
          <w:ilvl w:val="0"/>
          <w:numId w:val="6"/>
        </w:numPr>
        <w:spacing w:line="360" w:lineRule="auto"/>
        <w:jc w:val="both"/>
        <w:rPr>
          <w:rFonts w:ascii="Times New Roman" w:hAnsi="Times New Roman" w:cs="Times New Roman"/>
          <w:b/>
          <w:bCs/>
          <w:sz w:val="24"/>
          <w:szCs w:val="24"/>
        </w:rPr>
      </w:pPr>
      <w:r w:rsidRPr="003B1236">
        <w:rPr>
          <w:rFonts w:ascii="Times New Roman" w:hAnsi="Times New Roman" w:cs="Times New Roman"/>
          <w:b/>
          <w:bCs/>
          <w:sz w:val="24"/>
          <w:szCs w:val="24"/>
        </w:rPr>
        <w:lastRenderedPageBreak/>
        <w:t>Análisis por categorías,</w:t>
      </w:r>
      <w:r w:rsidRPr="003B1236">
        <w:rPr>
          <w:rFonts w:ascii="Times New Roman" w:hAnsi="Times New Roman" w:cs="Times New Roman"/>
          <w:b/>
          <w:sz w:val="24"/>
          <w:szCs w:val="24"/>
        </w:rPr>
        <w:t xml:space="preserve"> cohorte DUP: Periodo </w:t>
      </w:r>
      <w:r>
        <w:rPr>
          <w:rFonts w:ascii="Times New Roman" w:hAnsi="Times New Roman" w:cs="Times New Roman"/>
          <w:b/>
          <w:sz w:val="24"/>
          <w:szCs w:val="24"/>
        </w:rPr>
        <w:t>2</w:t>
      </w:r>
    </w:p>
    <w:p w14:paraId="0DE2645E" w14:textId="3B8172BA" w:rsidR="007B6F5D" w:rsidRPr="007B6F5D" w:rsidRDefault="007B6F5D" w:rsidP="002363C6">
      <w:pPr>
        <w:spacing w:line="360" w:lineRule="auto"/>
        <w:jc w:val="both"/>
        <w:rPr>
          <w:rFonts w:ascii="Times New Roman" w:hAnsi="Times New Roman" w:cs="Times New Roman"/>
          <w:bCs/>
          <w:sz w:val="24"/>
          <w:szCs w:val="24"/>
        </w:rPr>
      </w:pPr>
      <w:r w:rsidRPr="007B6F5D">
        <w:rPr>
          <w:rFonts w:ascii="Times New Roman" w:hAnsi="Times New Roman" w:cs="Times New Roman"/>
          <w:bCs/>
          <w:sz w:val="24"/>
          <w:szCs w:val="24"/>
        </w:rPr>
        <w:t>La media aritmética (8</w:t>
      </w:r>
      <w:r>
        <w:rPr>
          <w:rFonts w:ascii="Times New Roman" w:hAnsi="Times New Roman" w:cs="Times New Roman"/>
          <w:bCs/>
          <w:sz w:val="24"/>
          <w:szCs w:val="24"/>
        </w:rPr>
        <w:t>4</w:t>
      </w:r>
      <w:r w:rsidRPr="007B6F5D">
        <w:rPr>
          <w:rFonts w:ascii="Times New Roman" w:hAnsi="Times New Roman" w:cs="Times New Roman"/>
          <w:bCs/>
          <w:sz w:val="24"/>
          <w:szCs w:val="24"/>
        </w:rPr>
        <w:t>) de la media aritmética de las ocho categorías analíticas y la respectiva desviación estándar</w:t>
      </w:r>
      <w:r>
        <w:rPr>
          <w:rFonts w:ascii="Times New Roman" w:hAnsi="Times New Roman" w:cs="Times New Roman"/>
          <w:bCs/>
          <w:sz w:val="24"/>
          <w:szCs w:val="24"/>
        </w:rPr>
        <w:t xml:space="preserve"> (8</w:t>
      </w:r>
      <w:r w:rsidRPr="007B6F5D">
        <w:rPr>
          <w:rFonts w:ascii="Times New Roman" w:hAnsi="Times New Roman" w:cs="Times New Roman"/>
          <w:bCs/>
          <w:sz w:val="24"/>
          <w:szCs w:val="24"/>
        </w:rPr>
        <w:t>) permite determinar el intervalo de confianza [</w:t>
      </w:r>
      <w:r w:rsidRPr="00261657">
        <w:rPr>
          <w:rFonts w:ascii="Arial" w:hAnsi="Arial" w:cs="Arial"/>
          <w:position w:val="-10"/>
        </w:rPr>
        <w:object w:dxaOrig="700" w:dyaOrig="320" w14:anchorId="680B2048">
          <v:shape id="_x0000_i1048" type="#_x0000_t75" style="width:34.5pt;height:15.75pt" o:ole="">
            <v:imagedata r:id="rId14" o:title=""/>
          </v:shape>
          <o:OLEObject Type="Embed" ProgID="Equation.3" ShapeID="_x0000_i1048" DrawAspect="Content" ObjectID="_1530953747" r:id="rId36"/>
        </w:object>
      </w:r>
      <w:r w:rsidRPr="007B6F5D">
        <w:rPr>
          <w:rFonts w:ascii="Times New Roman" w:hAnsi="Times New Roman" w:cs="Times New Roman"/>
          <w:bCs/>
          <w:sz w:val="24"/>
          <w:szCs w:val="24"/>
        </w:rPr>
        <w:t>] = [7</w:t>
      </w:r>
      <w:r>
        <w:rPr>
          <w:rFonts w:ascii="Times New Roman" w:hAnsi="Times New Roman" w:cs="Times New Roman"/>
          <w:bCs/>
          <w:sz w:val="24"/>
          <w:szCs w:val="24"/>
        </w:rPr>
        <w:t>5</w:t>
      </w:r>
      <w:r w:rsidRPr="007B6F5D">
        <w:rPr>
          <w:rFonts w:ascii="Times New Roman" w:hAnsi="Times New Roman" w:cs="Times New Roman"/>
          <w:bCs/>
          <w:sz w:val="24"/>
          <w:szCs w:val="24"/>
        </w:rPr>
        <w:t>,</w:t>
      </w:r>
      <w:r w:rsidRPr="007B6F5D">
        <w:rPr>
          <w:rFonts w:ascii="Arial" w:hAnsi="Arial" w:cs="Arial"/>
        </w:rPr>
        <w:t xml:space="preserve"> 9</w:t>
      </w:r>
      <w:r>
        <w:rPr>
          <w:rFonts w:ascii="Arial" w:hAnsi="Arial" w:cs="Arial"/>
        </w:rPr>
        <w:t>2</w:t>
      </w:r>
      <w:r w:rsidRPr="007B6F5D">
        <w:rPr>
          <w:rFonts w:ascii="Times New Roman" w:hAnsi="Times New Roman" w:cs="Times New Roman"/>
          <w:bCs/>
          <w:sz w:val="24"/>
          <w:szCs w:val="24"/>
        </w:rPr>
        <w:t xml:space="preserve">] en el que se ubican todas las categorías analíticas cuya distancia a la media aritmética es menor o igual a una desviación estándar. Las categorías analíticas que se encuentran por encima de este intervalo es </w:t>
      </w:r>
      <w:r w:rsidRPr="007B6F5D">
        <w:rPr>
          <w:rFonts w:ascii="Times New Roman" w:hAnsi="Times New Roman" w:cs="Times New Roman"/>
          <w:bCs/>
          <w:i/>
          <w:sz w:val="24"/>
          <w:szCs w:val="24"/>
        </w:rPr>
        <w:t>Planeación para el proceso de aprendizaje</w:t>
      </w:r>
      <w:r w:rsidRPr="007B6F5D">
        <w:rPr>
          <w:rFonts w:ascii="Times New Roman" w:hAnsi="Times New Roman" w:cs="Times New Roman"/>
          <w:bCs/>
          <w:sz w:val="24"/>
          <w:szCs w:val="24"/>
        </w:rPr>
        <w:t xml:space="preserve"> (9</w:t>
      </w:r>
      <w:r>
        <w:rPr>
          <w:rFonts w:ascii="Times New Roman" w:hAnsi="Times New Roman" w:cs="Times New Roman"/>
          <w:bCs/>
          <w:sz w:val="24"/>
          <w:szCs w:val="24"/>
        </w:rPr>
        <w:t>3</w:t>
      </w:r>
      <w:r w:rsidRPr="007B6F5D">
        <w:rPr>
          <w:rFonts w:ascii="Times New Roman" w:hAnsi="Times New Roman" w:cs="Times New Roman"/>
          <w:bCs/>
          <w:sz w:val="24"/>
          <w:szCs w:val="24"/>
        </w:rPr>
        <w:t>). La creación de la licenciatura en DUP fue producto de un proceso de diseño curricular colectivo y los cursos de las asignaturas del primer semestre fueron cuidadosamente planeados, así que es de esperarse esta valoración que hacen los estudiantes.</w:t>
      </w:r>
    </w:p>
    <w:p w14:paraId="41312771" w14:textId="39C3991F" w:rsidR="007B6F5D" w:rsidRPr="007B6F5D" w:rsidRDefault="007B6F5D" w:rsidP="002363C6">
      <w:pPr>
        <w:spacing w:line="360" w:lineRule="auto"/>
        <w:jc w:val="both"/>
        <w:rPr>
          <w:rFonts w:ascii="Times New Roman" w:hAnsi="Times New Roman" w:cs="Times New Roman"/>
          <w:bCs/>
          <w:sz w:val="24"/>
          <w:szCs w:val="24"/>
        </w:rPr>
      </w:pPr>
      <w:r w:rsidRPr="007B6F5D">
        <w:rPr>
          <w:rFonts w:ascii="Times New Roman" w:hAnsi="Times New Roman" w:cs="Times New Roman"/>
          <w:bCs/>
          <w:sz w:val="24"/>
          <w:szCs w:val="24"/>
        </w:rPr>
        <w:t>La categoría de menor valoración es la recomendación que se hace de los profesores para cursos futuros (</w:t>
      </w:r>
      <w:r>
        <w:rPr>
          <w:rFonts w:ascii="Times New Roman" w:hAnsi="Times New Roman" w:cs="Times New Roman"/>
          <w:bCs/>
          <w:sz w:val="24"/>
          <w:szCs w:val="24"/>
        </w:rPr>
        <w:t>68</w:t>
      </w:r>
      <w:r w:rsidRPr="007B6F5D">
        <w:rPr>
          <w:rFonts w:ascii="Times New Roman" w:hAnsi="Times New Roman" w:cs="Times New Roman"/>
          <w:bCs/>
          <w:sz w:val="24"/>
          <w:szCs w:val="24"/>
        </w:rPr>
        <w:t xml:space="preserve">). El promedio de antigüedad de los profesores que impartieron clases en este periodo es </w:t>
      </w:r>
      <w:r>
        <w:rPr>
          <w:rFonts w:ascii="Times New Roman" w:hAnsi="Times New Roman" w:cs="Times New Roman"/>
          <w:bCs/>
          <w:sz w:val="24"/>
          <w:szCs w:val="24"/>
        </w:rPr>
        <w:t>6.97</w:t>
      </w:r>
      <w:r w:rsidRPr="007B6F5D">
        <w:rPr>
          <w:rFonts w:ascii="Times New Roman" w:hAnsi="Times New Roman" w:cs="Times New Roman"/>
          <w:bCs/>
          <w:sz w:val="24"/>
          <w:szCs w:val="24"/>
        </w:rPr>
        <w:t xml:space="preserve"> años. Esto quiere decir que están en un intenso proceso de formación pues son relativamente jóvenes</w:t>
      </w:r>
      <w:r>
        <w:rPr>
          <w:rFonts w:ascii="Times New Roman" w:hAnsi="Times New Roman" w:cs="Times New Roman"/>
          <w:bCs/>
          <w:sz w:val="24"/>
          <w:szCs w:val="24"/>
        </w:rPr>
        <w:t>, agregando a esto que la carrera es de nueva creación</w:t>
      </w:r>
      <w:r w:rsidR="00016EB5">
        <w:rPr>
          <w:rFonts w:ascii="Times New Roman" w:hAnsi="Times New Roman" w:cs="Times New Roman"/>
          <w:bCs/>
          <w:sz w:val="24"/>
          <w:szCs w:val="24"/>
        </w:rPr>
        <w:t xml:space="preserve"> y los cursos es la primera vez que se imparten</w:t>
      </w:r>
      <w:r w:rsidRPr="007B6F5D">
        <w:rPr>
          <w:rFonts w:ascii="Times New Roman" w:hAnsi="Times New Roman" w:cs="Times New Roman"/>
          <w:bCs/>
          <w:sz w:val="24"/>
          <w:szCs w:val="24"/>
        </w:rPr>
        <w:t xml:space="preserve">. </w:t>
      </w:r>
    </w:p>
    <w:p w14:paraId="51D77391" w14:textId="77777777" w:rsidR="003B1236" w:rsidRDefault="003B1236" w:rsidP="002363C6">
      <w:pPr>
        <w:spacing w:line="360" w:lineRule="auto"/>
        <w:jc w:val="both"/>
        <w:rPr>
          <w:rFonts w:ascii="Times New Roman" w:hAnsi="Times New Roman" w:cs="Times New Roman"/>
          <w:bCs/>
          <w:sz w:val="24"/>
          <w:szCs w:val="24"/>
        </w:rPr>
      </w:pPr>
    </w:p>
    <w:p w14:paraId="6A21D78E" w14:textId="0CCE32B5" w:rsidR="00E510FD" w:rsidRPr="00083DB5" w:rsidRDefault="00E510FD" w:rsidP="002363C6">
      <w:pPr>
        <w:spacing w:line="360" w:lineRule="auto"/>
        <w:jc w:val="both"/>
        <w:rPr>
          <w:rFonts w:ascii="Times New Roman" w:hAnsi="Times New Roman" w:cs="Times New Roman"/>
          <w:b/>
          <w:bCs/>
          <w:sz w:val="24"/>
          <w:szCs w:val="24"/>
        </w:rPr>
      </w:pPr>
      <w:r w:rsidRPr="00083DB5">
        <w:rPr>
          <w:rFonts w:ascii="Times New Roman" w:hAnsi="Times New Roman" w:cs="Times New Roman"/>
          <w:b/>
          <w:bCs/>
          <w:sz w:val="24"/>
          <w:szCs w:val="24"/>
        </w:rPr>
        <w:t>Análisis de correlaciones</w:t>
      </w:r>
    </w:p>
    <w:p w14:paraId="705A4F99" w14:textId="3CBD11BC" w:rsidR="00800DC8" w:rsidRPr="00800DC8" w:rsidRDefault="00800DC8" w:rsidP="002363C6">
      <w:pPr>
        <w:pStyle w:val="Prrafodelista"/>
        <w:numPr>
          <w:ilvl w:val="0"/>
          <w:numId w:val="11"/>
        </w:numPr>
        <w:spacing w:line="360" w:lineRule="auto"/>
        <w:jc w:val="both"/>
        <w:rPr>
          <w:rFonts w:ascii="Times New Roman" w:hAnsi="Times New Roman" w:cs="Times New Roman"/>
          <w:b/>
          <w:bCs/>
          <w:sz w:val="24"/>
          <w:szCs w:val="24"/>
        </w:rPr>
      </w:pPr>
      <w:r w:rsidRPr="00800DC8">
        <w:rPr>
          <w:rFonts w:ascii="Times New Roman" w:hAnsi="Times New Roman" w:cs="Times New Roman"/>
          <w:b/>
          <w:bCs/>
          <w:sz w:val="24"/>
          <w:szCs w:val="24"/>
        </w:rPr>
        <w:t>El caso de la licenciatura en DIA</w:t>
      </w:r>
    </w:p>
    <w:p w14:paraId="4519E0B4" w14:textId="686D8468" w:rsidR="00E510FD" w:rsidRDefault="00083DB5"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 través del análisis de correlaciones se encuentra la fuerza de la relaciones entre el rendimiento académico de los alumnos, el desempeño docente según la valoración de los alumnos y la experiencia docente en función de antigüedad docente de los profesores. El punto de encuentro de estos factores inmersos en el proceso educativo es el contenido temático de las unidades de aprendizaje.</w:t>
      </w:r>
    </w:p>
    <w:p w14:paraId="65E49E1C" w14:textId="4A76CBB1" w:rsidR="004B026D" w:rsidRDefault="004C1356"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En la Tabla 12, se muestran los resultados de rendimiento académico obtenido por los alumnos en 11 unidades de aprendizaje de la licenciatura en DIA. Para esas mismas asignaturas se tiene el resultado de la evaluación al desempeño docente realizada por los alumnos y la antigüedad promedio de los maestros que impartieron los cursos respectivos.</w:t>
      </w:r>
    </w:p>
    <w:p w14:paraId="42AC55D6" w14:textId="77777777" w:rsidR="004C1356" w:rsidRDefault="004C1356"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Con los datos mostrados se la Tabla 12, se determinan las correlaciones utilizando la Fórmula (2) con la que se obtiene el coeficiente de correlación de Pearson.</w:t>
      </w:r>
    </w:p>
    <w:p w14:paraId="6865BF2B" w14:textId="77777777" w:rsidR="004C1356" w:rsidRDefault="004C1356" w:rsidP="004C1356">
      <w:pPr>
        <w:spacing w:line="360" w:lineRule="auto"/>
        <w:ind w:firstLine="708"/>
        <w:rPr>
          <w:sz w:val="32"/>
          <w:szCs w:val="32"/>
        </w:rPr>
      </w:pPr>
      <w:r w:rsidRPr="003B7270">
        <w:rPr>
          <w:position w:val="-44"/>
        </w:rPr>
        <w:object w:dxaOrig="2880" w:dyaOrig="880" w14:anchorId="2453ECB3">
          <v:shape id="_x0000_i1049" type="#_x0000_t75" style="width:149.25pt;height:62.25pt" o:ole="">
            <v:imagedata r:id="rId37" o:title=""/>
          </v:shape>
          <o:OLEObject Type="Embed" ProgID="Equation.3" ShapeID="_x0000_i1049" DrawAspect="Content" ObjectID="_1530953748" r:id="rId38"/>
        </w:object>
      </w:r>
      <w:r>
        <w:tab/>
      </w:r>
      <w:r>
        <w:tab/>
      </w:r>
      <w:r>
        <w:tab/>
      </w:r>
      <w:r>
        <w:tab/>
      </w:r>
      <w:r>
        <w:tab/>
      </w:r>
      <w:r w:rsidRPr="003B7270">
        <w:rPr>
          <w:sz w:val="32"/>
          <w:szCs w:val="32"/>
        </w:rPr>
        <w:t>(</w:t>
      </w:r>
      <w:r>
        <w:rPr>
          <w:sz w:val="32"/>
          <w:szCs w:val="32"/>
        </w:rPr>
        <w:t>2</w:t>
      </w:r>
      <w:r w:rsidRPr="003B7270">
        <w:rPr>
          <w:sz w:val="32"/>
          <w:szCs w:val="32"/>
        </w:rPr>
        <w:t>)</w:t>
      </w:r>
    </w:p>
    <w:p w14:paraId="38E78130" w14:textId="77777777" w:rsidR="004C1356" w:rsidRDefault="004C1356" w:rsidP="003B1236">
      <w:pPr>
        <w:spacing w:line="360" w:lineRule="auto"/>
        <w:rPr>
          <w:rFonts w:ascii="Times New Roman" w:hAnsi="Times New Roman" w:cs="Times New Roman"/>
          <w:bCs/>
          <w:sz w:val="24"/>
          <w:szCs w:val="24"/>
        </w:rPr>
      </w:pPr>
    </w:p>
    <w:tbl>
      <w:tblPr>
        <w:tblStyle w:val="ListTable3Accent6"/>
        <w:tblW w:w="8860" w:type="dxa"/>
        <w:tblLook w:val="04A0" w:firstRow="1" w:lastRow="0" w:firstColumn="1" w:lastColumn="0" w:noHBand="0" w:noVBand="1"/>
      </w:tblPr>
      <w:tblGrid>
        <w:gridCol w:w="419"/>
        <w:gridCol w:w="4396"/>
        <w:gridCol w:w="1599"/>
        <w:gridCol w:w="1236"/>
        <w:gridCol w:w="1210"/>
      </w:tblGrid>
      <w:tr w:rsidR="00083DB5" w:rsidRPr="00083DB5" w14:paraId="222635BB" w14:textId="77777777" w:rsidTr="007B43C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860" w:type="dxa"/>
            <w:gridSpan w:val="5"/>
            <w:tcBorders>
              <w:top w:val="single" w:sz="4" w:space="0" w:color="F79646" w:themeColor="accent6"/>
              <w:bottom w:val="single" w:sz="4" w:space="0" w:color="auto"/>
            </w:tcBorders>
            <w:noWrap/>
            <w:hideMark/>
          </w:tcPr>
          <w:p w14:paraId="4DDD28C5" w14:textId="77777777" w:rsidR="004B026D" w:rsidRDefault="00083DB5" w:rsidP="00391CAC">
            <w:pPr>
              <w:spacing w:line="360" w:lineRule="auto"/>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Tabla 1</w:t>
            </w:r>
            <w:r w:rsidR="004B026D">
              <w:rPr>
                <w:rFonts w:ascii="Times New Roman" w:eastAsia="Times New Roman" w:hAnsi="Times New Roman" w:cs="Times New Roman"/>
                <w:color w:val="000000"/>
                <w:sz w:val="20"/>
                <w:szCs w:val="20"/>
                <w:lang w:eastAsia="es-MX"/>
              </w:rPr>
              <w:t>2</w:t>
            </w:r>
            <w:r w:rsidRPr="00083DB5">
              <w:rPr>
                <w:rFonts w:ascii="Times New Roman" w:eastAsia="Times New Roman" w:hAnsi="Times New Roman" w:cs="Times New Roman"/>
                <w:color w:val="000000"/>
                <w:sz w:val="20"/>
                <w:szCs w:val="20"/>
                <w:lang w:eastAsia="es-MX"/>
              </w:rPr>
              <w:t>:</w:t>
            </w:r>
          </w:p>
          <w:p w14:paraId="1FFC03B0" w14:textId="07EF0E1E" w:rsidR="00083DB5" w:rsidRPr="00083DB5" w:rsidRDefault="00083DB5" w:rsidP="00391CAC">
            <w:pPr>
              <w:spacing w:line="360" w:lineRule="auto"/>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Rendimiento académico de alumnos, desempeño y antigüedad docente por asignaturas</w:t>
            </w:r>
          </w:p>
        </w:tc>
      </w:tr>
      <w:tr w:rsidR="007B43C8" w:rsidRPr="00083DB5" w14:paraId="1E52A3EC" w14:textId="77777777" w:rsidTr="007B43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9" w:type="dxa"/>
            <w:tcBorders>
              <w:top w:val="single" w:sz="4" w:space="0" w:color="auto"/>
              <w:bottom w:val="single" w:sz="4" w:space="0" w:color="auto"/>
            </w:tcBorders>
            <w:noWrap/>
            <w:hideMark/>
          </w:tcPr>
          <w:p w14:paraId="2EE802A7" w14:textId="77777777" w:rsidR="007B43C8" w:rsidRPr="00083DB5" w:rsidRDefault="007B43C8" w:rsidP="007B43C8">
            <w:pPr>
              <w:spacing w:line="276" w:lineRule="auto"/>
              <w:jc w:val="right"/>
              <w:rPr>
                <w:rFonts w:ascii="Calibri" w:eastAsia="Times New Roman" w:hAnsi="Calibri" w:cs="Times New Roman"/>
                <w:color w:val="000000"/>
                <w:sz w:val="20"/>
                <w:szCs w:val="20"/>
                <w:lang w:eastAsia="es-MX"/>
              </w:rPr>
            </w:pPr>
            <w:r w:rsidRPr="00083DB5">
              <w:rPr>
                <w:rFonts w:ascii="Calibri" w:eastAsia="Times New Roman" w:hAnsi="Calibri" w:cs="Times New Roman"/>
                <w:color w:val="000000"/>
                <w:sz w:val="20"/>
                <w:szCs w:val="20"/>
                <w:lang w:eastAsia="es-MX"/>
              </w:rPr>
              <w:t> </w:t>
            </w:r>
          </w:p>
        </w:tc>
        <w:tc>
          <w:tcPr>
            <w:tcW w:w="4396" w:type="dxa"/>
            <w:tcBorders>
              <w:top w:val="single" w:sz="4" w:space="0" w:color="auto"/>
              <w:bottom w:val="single" w:sz="4" w:space="0" w:color="auto"/>
            </w:tcBorders>
            <w:noWrap/>
            <w:vAlign w:val="center"/>
            <w:hideMark/>
          </w:tcPr>
          <w:p w14:paraId="15BA9198" w14:textId="4EA74BB5" w:rsidR="007B43C8" w:rsidRPr="00083DB5" w:rsidRDefault="007B43C8" w:rsidP="007B43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391CAC">
              <w:rPr>
                <w:rFonts w:ascii="Times New Roman" w:eastAsia="Times New Roman" w:hAnsi="Times New Roman" w:cs="Times New Roman"/>
                <w:color w:val="000000"/>
                <w:lang w:eastAsia="es-MX"/>
              </w:rPr>
              <w:t> </w:t>
            </w:r>
            <w:r>
              <w:rPr>
                <w:rFonts w:ascii="Times New Roman" w:eastAsia="Times New Roman" w:hAnsi="Times New Roman" w:cs="Times New Roman"/>
                <w:color w:val="000000"/>
                <w:lang w:eastAsia="es-MX"/>
              </w:rPr>
              <w:t>UNIDADES DE APRENDIZAJE</w:t>
            </w:r>
          </w:p>
        </w:tc>
        <w:tc>
          <w:tcPr>
            <w:tcW w:w="1599" w:type="dxa"/>
            <w:tcBorders>
              <w:top w:val="single" w:sz="4" w:space="0" w:color="auto"/>
              <w:bottom w:val="single" w:sz="4" w:space="0" w:color="auto"/>
            </w:tcBorders>
            <w:hideMark/>
          </w:tcPr>
          <w:p w14:paraId="31702E4A" w14:textId="4EB45A80" w:rsidR="007B43C8" w:rsidRPr="00083DB5"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R</w:t>
            </w:r>
            <w:r>
              <w:rPr>
                <w:rFonts w:ascii="Times New Roman" w:eastAsia="Times New Roman" w:hAnsi="Times New Roman" w:cs="Times New Roman"/>
                <w:color w:val="000000"/>
                <w:sz w:val="20"/>
                <w:szCs w:val="20"/>
                <w:lang w:eastAsia="es-MX"/>
              </w:rPr>
              <w:t xml:space="preserve">endimiento </w:t>
            </w:r>
            <w:r w:rsidRPr="00083DB5">
              <w:rPr>
                <w:rFonts w:ascii="Times New Roman" w:eastAsia="Times New Roman" w:hAnsi="Times New Roman" w:cs="Times New Roman"/>
                <w:color w:val="000000"/>
                <w:sz w:val="20"/>
                <w:szCs w:val="20"/>
                <w:lang w:eastAsia="es-MX"/>
              </w:rPr>
              <w:t>A</w:t>
            </w:r>
            <w:r>
              <w:rPr>
                <w:rFonts w:ascii="Times New Roman" w:eastAsia="Times New Roman" w:hAnsi="Times New Roman" w:cs="Times New Roman"/>
                <w:color w:val="000000"/>
                <w:sz w:val="20"/>
                <w:szCs w:val="20"/>
                <w:lang w:eastAsia="es-MX"/>
              </w:rPr>
              <w:t>cadémico</w:t>
            </w:r>
          </w:p>
        </w:tc>
        <w:tc>
          <w:tcPr>
            <w:tcW w:w="1236" w:type="dxa"/>
            <w:tcBorders>
              <w:top w:val="single" w:sz="4" w:space="0" w:color="auto"/>
              <w:bottom w:val="single" w:sz="4" w:space="0" w:color="auto"/>
            </w:tcBorders>
            <w:hideMark/>
          </w:tcPr>
          <w:p w14:paraId="37AC9DF5" w14:textId="23C22FF4" w:rsidR="007B43C8" w:rsidRPr="00083DB5"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D</w:t>
            </w:r>
            <w:r>
              <w:rPr>
                <w:rFonts w:ascii="Times New Roman" w:eastAsia="Times New Roman" w:hAnsi="Times New Roman" w:cs="Times New Roman"/>
                <w:color w:val="000000"/>
                <w:sz w:val="20"/>
                <w:szCs w:val="20"/>
                <w:lang w:eastAsia="es-MX"/>
              </w:rPr>
              <w:t xml:space="preserve">esempeño </w:t>
            </w:r>
            <w:r w:rsidRPr="00083DB5">
              <w:rPr>
                <w:rFonts w:ascii="Times New Roman" w:eastAsia="Times New Roman" w:hAnsi="Times New Roman" w:cs="Times New Roman"/>
                <w:color w:val="000000"/>
                <w:sz w:val="20"/>
                <w:szCs w:val="20"/>
                <w:lang w:eastAsia="es-MX"/>
              </w:rPr>
              <w:t>D</w:t>
            </w:r>
            <w:r>
              <w:rPr>
                <w:rFonts w:ascii="Times New Roman" w:eastAsia="Times New Roman" w:hAnsi="Times New Roman" w:cs="Times New Roman"/>
                <w:color w:val="000000"/>
                <w:sz w:val="20"/>
                <w:szCs w:val="20"/>
                <w:lang w:eastAsia="es-MX"/>
              </w:rPr>
              <w:t>ocente</w:t>
            </w:r>
          </w:p>
        </w:tc>
        <w:tc>
          <w:tcPr>
            <w:tcW w:w="1210" w:type="dxa"/>
            <w:tcBorders>
              <w:top w:val="single" w:sz="4" w:space="0" w:color="auto"/>
              <w:bottom w:val="single" w:sz="4" w:space="0" w:color="auto"/>
            </w:tcBorders>
            <w:hideMark/>
          </w:tcPr>
          <w:p w14:paraId="74348802" w14:textId="4220A72A" w:rsidR="007B43C8" w:rsidRPr="00083DB5"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Pr>
                <w:rFonts w:ascii="Times New Roman" w:eastAsia="Times New Roman" w:hAnsi="Times New Roman" w:cs="Times New Roman"/>
                <w:color w:val="000000"/>
                <w:sz w:val="20"/>
                <w:szCs w:val="20"/>
                <w:lang w:eastAsia="es-MX"/>
              </w:rPr>
              <w:t>Antigüedad</w:t>
            </w:r>
          </w:p>
        </w:tc>
      </w:tr>
      <w:tr w:rsidR="007B43C8" w:rsidRPr="00083DB5" w14:paraId="5927B06D" w14:textId="77777777" w:rsidTr="007B43C8">
        <w:trPr>
          <w:trHeight w:val="300"/>
        </w:trPr>
        <w:tc>
          <w:tcPr>
            <w:cnfStyle w:val="001000000000" w:firstRow="0" w:lastRow="0" w:firstColumn="1" w:lastColumn="0" w:oddVBand="0" w:evenVBand="0" w:oddHBand="0" w:evenHBand="0" w:firstRowFirstColumn="0" w:firstRowLastColumn="0" w:lastRowFirstColumn="0" w:lastRowLastColumn="0"/>
            <w:tcW w:w="419" w:type="dxa"/>
            <w:tcBorders>
              <w:top w:val="single" w:sz="4" w:space="0" w:color="auto"/>
            </w:tcBorders>
            <w:noWrap/>
            <w:hideMark/>
          </w:tcPr>
          <w:p w14:paraId="63675D7D" w14:textId="77777777" w:rsidR="007B43C8" w:rsidRPr="00083DB5" w:rsidRDefault="007B43C8" w:rsidP="007B43C8">
            <w:pPr>
              <w:spacing w:line="276" w:lineRule="auto"/>
              <w:jc w:val="right"/>
              <w:rPr>
                <w:rFonts w:ascii="Calibri" w:eastAsia="Times New Roman" w:hAnsi="Calibri" w:cs="Times New Roman"/>
                <w:color w:val="000000"/>
                <w:sz w:val="20"/>
                <w:szCs w:val="20"/>
                <w:lang w:eastAsia="es-MX"/>
              </w:rPr>
            </w:pPr>
            <w:r w:rsidRPr="00083DB5">
              <w:rPr>
                <w:rFonts w:ascii="Calibri" w:eastAsia="Times New Roman" w:hAnsi="Calibri" w:cs="Times New Roman"/>
                <w:color w:val="000000"/>
                <w:sz w:val="20"/>
                <w:szCs w:val="20"/>
                <w:lang w:eastAsia="es-MX"/>
              </w:rPr>
              <w:t>1</w:t>
            </w:r>
          </w:p>
        </w:tc>
        <w:tc>
          <w:tcPr>
            <w:tcW w:w="4396" w:type="dxa"/>
            <w:tcBorders>
              <w:top w:val="single" w:sz="4" w:space="0" w:color="auto"/>
            </w:tcBorders>
            <w:noWrap/>
            <w:hideMark/>
          </w:tcPr>
          <w:p w14:paraId="0F7A6C90" w14:textId="77777777" w:rsidR="007B43C8" w:rsidRPr="00083DB5" w:rsidRDefault="007B43C8" w:rsidP="007B43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Metodología del Diseño de Interiores</w:t>
            </w:r>
          </w:p>
        </w:tc>
        <w:tc>
          <w:tcPr>
            <w:tcW w:w="1599" w:type="dxa"/>
            <w:tcBorders>
              <w:top w:val="single" w:sz="4" w:space="0" w:color="auto"/>
            </w:tcBorders>
            <w:hideMark/>
          </w:tcPr>
          <w:p w14:paraId="66A39638" w14:textId="77777777" w:rsidR="007B43C8" w:rsidRPr="00083DB5" w:rsidRDefault="007B43C8"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7.42</w:t>
            </w:r>
          </w:p>
        </w:tc>
        <w:tc>
          <w:tcPr>
            <w:tcW w:w="1236" w:type="dxa"/>
            <w:tcBorders>
              <w:top w:val="single" w:sz="4" w:space="0" w:color="auto"/>
            </w:tcBorders>
            <w:hideMark/>
          </w:tcPr>
          <w:p w14:paraId="2CC6CE3E" w14:textId="77777777" w:rsidR="007B43C8" w:rsidRPr="00083DB5" w:rsidRDefault="007B43C8"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82</w:t>
            </w:r>
          </w:p>
        </w:tc>
        <w:tc>
          <w:tcPr>
            <w:tcW w:w="1210" w:type="dxa"/>
            <w:tcBorders>
              <w:top w:val="single" w:sz="4" w:space="0" w:color="auto"/>
            </w:tcBorders>
            <w:hideMark/>
          </w:tcPr>
          <w:p w14:paraId="61E2E994" w14:textId="77777777" w:rsidR="007B43C8" w:rsidRPr="00083DB5" w:rsidRDefault="007B43C8"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17.18</w:t>
            </w:r>
          </w:p>
        </w:tc>
      </w:tr>
      <w:tr w:rsidR="007B43C8" w:rsidRPr="00083DB5" w14:paraId="529A1B42" w14:textId="77777777" w:rsidTr="007B43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9" w:type="dxa"/>
            <w:noWrap/>
            <w:hideMark/>
          </w:tcPr>
          <w:p w14:paraId="62A82162" w14:textId="77777777" w:rsidR="007B43C8" w:rsidRPr="00083DB5" w:rsidRDefault="007B43C8" w:rsidP="007B43C8">
            <w:pPr>
              <w:spacing w:line="276" w:lineRule="auto"/>
              <w:jc w:val="right"/>
              <w:rPr>
                <w:rFonts w:ascii="Calibri" w:eastAsia="Times New Roman" w:hAnsi="Calibri" w:cs="Times New Roman"/>
                <w:color w:val="000000"/>
                <w:sz w:val="20"/>
                <w:szCs w:val="20"/>
                <w:lang w:eastAsia="es-MX"/>
              </w:rPr>
            </w:pPr>
            <w:r w:rsidRPr="00083DB5">
              <w:rPr>
                <w:rFonts w:ascii="Calibri" w:eastAsia="Times New Roman" w:hAnsi="Calibri" w:cs="Times New Roman"/>
                <w:color w:val="000000"/>
                <w:sz w:val="20"/>
                <w:szCs w:val="20"/>
                <w:lang w:eastAsia="es-MX"/>
              </w:rPr>
              <w:t>2</w:t>
            </w:r>
          </w:p>
        </w:tc>
        <w:tc>
          <w:tcPr>
            <w:tcW w:w="4396" w:type="dxa"/>
            <w:noWrap/>
            <w:hideMark/>
          </w:tcPr>
          <w:p w14:paraId="671599FF" w14:textId="77777777" w:rsidR="007B43C8" w:rsidRPr="00083DB5" w:rsidRDefault="007B43C8" w:rsidP="007B43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Fundamentos básicos del diseño</w:t>
            </w:r>
          </w:p>
        </w:tc>
        <w:tc>
          <w:tcPr>
            <w:tcW w:w="1599" w:type="dxa"/>
            <w:hideMark/>
          </w:tcPr>
          <w:p w14:paraId="42C1ACF8" w14:textId="77777777" w:rsidR="007B43C8" w:rsidRPr="00083DB5"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7.88</w:t>
            </w:r>
          </w:p>
        </w:tc>
        <w:tc>
          <w:tcPr>
            <w:tcW w:w="1236" w:type="dxa"/>
            <w:hideMark/>
          </w:tcPr>
          <w:p w14:paraId="1B157E10" w14:textId="77777777" w:rsidR="007B43C8" w:rsidRPr="00083DB5"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83</w:t>
            </w:r>
          </w:p>
        </w:tc>
        <w:tc>
          <w:tcPr>
            <w:tcW w:w="1210" w:type="dxa"/>
            <w:hideMark/>
          </w:tcPr>
          <w:p w14:paraId="2291E8BB" w14:textId="77777777" w:rsidR="007B43C8" w:rsidRPr="00083DB5"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6.47</w:t>
            </w:r>
          </w:p>
        </w:tc>
      </w:tr>
      <w:tr w:rsidR="007B43C8" w:rsidRPr="00083DB5" w14:paraId="2B1F1132" w14:textId="77777777" w:rsidTr="007B43C8">
        <w:trPr>
          <w:trHeight w:val="300"/>
        </w:trPr>
        <w:tc>
          <w:tcPr>
            <w:cnfStyle w:val="001000000000" w:firstRow="0" w:lastRow="0" w:firstColumn="1" w:lastColumn="0" w:oddVBand="0" w:evenVBand="0" w:oddHBand="0" w:evenHBand="0" w:firstRowFirstColumn="0" w:firstRowLastColumn="0" w:lastRowFirstColumn="0" w:lastRowLastColumn="0"/>
            <w:tcW w:w="419" w:type="dxa"/>
            <w:noWrap/>
            <w:hideMark/>
          </w:tcPr>
          <w:p w14:paraId="7D149E32" w14:textId="77777777" w:rsidR="007B43C8" w:rsidRPr="00083DB5" w:rsidRDefault="007B43C8" w:rsidP="007B43C8">
            <w:pPr>
              <w:spacing w:line="276" w:lineRule="auto"/>
              <w:jc w:val="right"/>
              <w:rPr>
                <w:rFonts w:ascii="Calibri" w:eastAsia="Times New Roman" w:hAnsi="Calibri" w:cs="Times New Roman"/>
                <w:color w:val="000000"/>
                <w:sz w:val="20"/>
                <w:szCs w:val="20"/>
                <w:lang w:eastAsia="es-MX"/>
              </w:rPr>
            </w:pPr>
            <w:r w:rsidRPr="00083DB5">
              <w:rPr>
                <w:rFonts w:ascii="Calibri" w:eastAsia="Times New Roman" w:hAnsi="Calibri" w:cs="Times New Roman"/>
                <w:color w:val="000000"/>
                <w:sz w:val="20"/>
                <w:szCs w:val="20"/>
                <w:lang w:eastAsia="es-MX"/>
              </w:rPr>
              <w:t>3</w:t>
            </w:r>
          </w:p>
        </w:tc>
        <w:tc>
          <w:tcPr>
            <w:tcW w:w="4396" w:type="dxa"/>
            <w:noWrap/>
            <w:hideMark/>
          </w:tcPr>
          <w:p w14:paraId="1B05E199" w14:textId="77777777" w:rsidR="007B43C8" w:rsidRPr="00083DB5" w:rsidRDefault="007B43C8" w:rsidP="007B43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Medios de representación en el plano</w:t>
            </w:r>
          </w:p>
        </w:tc>
        <w:tc>
          <w:tcPr>
            <w:tcW w:w="1599" w:type="dxa"/>
            <w:hideMark/>
          </w:tcPr>
          <w:p w14:paraId="4BAC60C1" w14:textId="77777777" w:rsidR="007B43C8" w:rsidRPr="00083DB5" w:rsidRDefault="007B43C8"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7.34</w:t>
            </w:r>
          </w:p>
        </w:tc>
        <w:tc>
          <w:tcPr>
            <w:tcW w:w="1236" w:type="dxa"/>
            <w:hideMark/>
          </w:tcPr>
          <w:p w14:paraId="2F08B277" w14:textId="77777777" w:rsidR="007B43C8" w:rsidRPr="00083DB5" w:rsidRDefault="007B43C8"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53</w:t>
            </w:r>
          </w:p>
        </w:tc>
        <w:tc>
          <w:tcPr>
            <w:tcW w:w="1210" w:type="dxa"/>
            <w:hideMark/>
          </w:tcPr>
          <w:p w14:paraId="7BB35DB6" w14:textId="77777777" w:rsidR="007B43C8" w:rsidRPr="00083DB5" w:rsidRDefault="007B43C8"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19.71</w:t>
            </w:r>
          </w:p>
        </w:tc>
      </w:tr>
      <w:tr w:rsidR="007B43C8" w:rsidRPr="00083DB5" w14:paraId="5F355501" w14:textId="77777777" w:rsidTr="007B43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9" w:type="dxa"/>
            <w:noWrap/>
            <w:hideMark/>
          </w:tcPr>
          <w:p w14:paraId="61E36B3A" w14:textId="77777777" w:rsidR="007B43C8" w:rsidRPr="00083DB5" w:rsidRDefault="007B43C8" w:rsidP="007B43C8">
            <w:pPr>
              <w:spacing w:line="276" w:lineRule="auto"/>
              <w:jc w:val="right"/>
              <w:rPr>
                <w:rFonts w:ascii="Calibri" w:eastAsia="Times New Roman" w:hAnsi="Calibri" w:cs="Times New Roman"/>
                <w:color w:val="000000"/>
                <w:sz w:val="20"/>
                <w:szCs w:val="20"/>
                <w:lang w:eastAsia="es-MX"/>
              </w:rPr>
            </w:pPr>
            <w:r w:rsidRPr="00083DB5">
              <w:rPr>
                <w:rFonts w:ascii="Calibri" w:eastAsia="Times New Roman" w:hAnsi="Calibri" w:cs="Times New Roman"/>
                <w:color w:val="000000"/>
                <w:sz w:val="20"/>
                <w:szCs w:val="20"/>
                <w:lang w:eastAsia="es-MX"/>
              </w:rPr>
              <w:t>4</w:t>
            </w:r>
          </w:p>
        </w:tc>
        <w:tc>
          <w:tcPr>
            <w:tcW w:w="4396" w:type="dxa"/>
            <w:noWrap/>
            <w:hideMark/>
          </w:tcPr>
          <w:p w14:paraId="6C957585" w14:textId="77777777" w:rsidR="007B43C8" w:rsidRPr="00083DB5" w:rsidRDefault="007B43C8" w:rsidP="007B43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Técnicas de representación básica</w:t>
            </w:r>
          </w:p>
        </w:tc>
        <w:tc>
          <w:tcPr>
            <w:tcW w:w="1599" w:type="dxa"/>
            <w:hideMark/>
          </w:tcPr>
          <w:p w14:paraId="3CCA6D45" w14:textId="77777777" w:rsidR="007B43C8" w:rsidRPr="00083DB5"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7.23</w:t>
            </w:r>
          </w:p>
        </w:tc>
        <w:tc>
          <w:tcPr>
            <w:tcW w:w="1236" w:type="dxa"/>
            <w:hideMark/>
          </w:tcPr>
          <w:p w14:paraId="3CCED6F2" w14:textId="77777777" w:rsidR="007B43C8" w:rsidRPr="00083DB5"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93</w:t>
            </w:r>
          </w:p>
        </w:tc>
        <w:tc>
          <w:tcPr>
            <w:tcW w:w="1210" w:type="dxa"/>
            <w:hideMark/>
          </w:tcPr>
          <w:p w14:paraId="6618C473" w14:textId="77777777" w:rsidR="007B43C8" w:rsidRPr="00083DB5"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22.82</w:t>
            </w:r>
          </w:p>
        </w:tc>
      </w:tr>
      <w:tr w:rsidR="007B43C8" w:rsidRPr="00083DB5" w14:paraId="7F3FB026" w14:textId="77777777" w:rsidTr="007B43C8">
        <w:trPr>
          <w:trHeight w:val="300"/>
        </w:trPr>
        <w:tc>
          <w:tcPr>
            <w:cnfStyle w:val="001000000000" w:firstRow="0" w:lastRow="0" w:firstColumn="1" w:lastColumn="0" w:oddVBand="0" w:evenVBand="0" w:oddHBand="0" w:evenHBand="0" w:firstRowFirstColumn="0" w:firstRowLastColumn="0" w:lastRowFirstColumn="0" w:lastRowLastColumn="0"/>
            <w:tcW w:w="419" w:type="dxa"/>
            <w:noWrap/>
            <w:hideMark/>
          </w:tcPr>
          <w:p w14:paraId="1C0AF06A" w14:textId="77777777" w:rsidR="007B43C8" w:rsidRPr="00083DB5" w:rsidRDefault="007B43C8" w:rsidP="007B43C8">
            <w:pPr>
              <w:spacing w:line="276" w:lineRule="auto"/>
              <w:jc w:val="right"/>
              <w:rPr>
                <w:rFonts w:ascii="Calibri" w:eastAsia="Times New Roman" w:hAnsi="Calibri" w:cs="Times New Roman"/>
                <w:color w:val="000000"/>
                <w:sz w:val="20"/>
                <w:szCs w:val="20"/>
                <w:lang w:eastAsia="es-MX"/>
              </w:rPr>
            </w:pPr>
            <w:r w:rsidRPr="00083DB5">
              <w:rPr>
                <w:rFonts w:ascii="Calibri" w:eastAsia="Times New Roman" w:hAnsi="Calibri" w:cs="Times New Roman"/>
                <w:color w:val="000000"/>
                <w:sz w:val="20"/>
                <w:szCs w:val="20"/>
                <w:lang w:eastAsia="es-MX"/>
              </w:rPr>
              <w:t>5</w:t>
            </w:r>
          </w:p>
        </w:tc>
        <w:tc>
          <w:tcPr>
            <w:tcW w:w="4396" w:type="dxa"/>
            <w:noWrap/>
            <w:hideMark/>
          </w:tcPr>
          <w:p w14:paraId="6AB5DF4F" w14:textId="77777777" w:rsidR="007B43C8" w:rsidRPr="00083DB5" w:rsidRDefault="007B43C8" w:rsidP="007B43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Taller de Diseños de Espacios Básicos de Vivienda</w:t>
            </w:r>
          </w:p>
        </w:tc>
        <w:tc>
          <w:tcPr>
            <w:tcW w:w="1599" w:type="dxa"/>
            <w:hideMark/>
          </w:tcPr>
          <w:p w14:paraId="5E44BA81" w14:textId="77777777" w:rsidR="007B43C8" w:rsidRPr="00083DB5" w:rsidRDefault="007B43C8"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8.29</w:t>
            </w:r>
          </w:p>
        </w:tc>
        <w:tc>
          <w:tcPr>
            <w:tcW w:w="1236" w:type="dxa"/>
            <w:hideMark/>
          </w:tcPr>
          <w:p w14:paraId="0DB3DAC8" w14:textId="77777777" w:rsidR="007B43C8" w:rsidRPr="00083DB5" w:rsidRDefault="007B43C8"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82</w:t>
            </w:r>
          </w:p>
        </w:tc>
        <w:tc>
          <w:tcPr>
            <w:tcW w:w="1210" w:type="dxa"/>
            <w:hideMark/>
          </w:tcPr>
          <w:p w14:paraId="47DCDE0F" w14:textId="77777777" w:rsidR="007B43C8" w:rsidRPr="00083DB5" w:rsidRDefault="007B43C8"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15.99</w:t>
            </w:r>
          </w:p>
        </w:tc>
      </w:tr>
      <w:tr w:rsidR="007B43C8" w:rsidRPr="00083DB5" w14:paraId="7C180B33" w14:textId="77777777" w:rsidTr="007B43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9" w:type="dxa"/>
            <w:noWrap/>
            <w:hideMark/>
          </w:tcPr>
          <w:p w14:paraId="4955A5AE" w14:textId="77777777" w:rsidR="007B43C8" w:rsidRPr="00083DB5" w:rsidRDefault="007B43C8" w:rsidP="007B43C8">
            <w:pPr>
              <w:spacing w:line="276" w:lineRule="auto"/>
              <w:jc w:val="right"/>
              <w:rPr>
                <w:rFonts w:ascii="Calibri" w:eastAsia="Times New Roman" w:hAnsi="Calibri" w:cs="Times New Roman"/>
                <w:color w:val="000000"/>
                <w:sz w:val="20"/>
                <w:szCs w:val="20"/>
                <w:lang w:eastAsia="es-MX"/>
              </w:rPr>
            </w:pPr>
            <w:r w:rsidRPr="00083DB5">
              <w:rPr>
                <w:rFonts w:ascii="Calibri" w:eastAsia="Times New Roman" w:hAnsi="Calibri" w:cs="Times New Roman"/>
                <w:color w:val="000000"/>
                <w:sz w:val="20"/>
                <w:szCs w:val="20"/>
                <w:lang w:eastAsia="es-MX"/>
              </w:rPr>
              <w:t>6</w:t>
            </w:r>
          </w:p>
        </w:tc>
        <w:tc>
          <w:tcPr>
            <w:tcW w:w="4396" w:type="dxa"/>
            <w:noWrap/>
            <w:hideMark/>
          </w:tcPr>
          <w:p w14:paraId="75C1D20F" w14:textId="77777777" w:rsidR="007B43C8" w:rsidRPr="00083DB5" w:rsidRDefault="007B43C8" w:rsidP="007B43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Antropometría y Ergonomía</w:t>
            </w:r>
          </w:p>
        </w:tc>
        <w:tc>
          <w:tcPr>
            <w:tcW w:w="1599" w:type="dxa"/>
            <w:hideMark/>
          </w:tcPr>
          <w:p w14:paraId="27A47F17" w14:textId="77777777" w:rsidR="007B43C8" w:rsidRPr="00083DB5"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7.13</w:t>
            </w:r>
          </w:p>
        </w:tc>
        <w:tc>
          <w:tcPr>
            <w:tcW w:w="1236" w:type="dxa"/>
            <w:hideMark/>
          </w:tcPr>
          <w:p w14:paraId="6CAC4FB9" w14:textId="77777777" w:rsidR="007B43C8" w:rsidRPr="00083DB5"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96</w:t>
            </w:r>
          </w:p>
        </w:tc>
        <w:tc>
          <w:tcPr>
            <w:tcW w:w="1210" w:type="dxa"/>
            <w:hideMark/>
          </w:tcPr>
          <w:p w14:paraId="297B5928" w14:textId="77777777" w:rsidR="007B43C8" w:rsidRPr="00083DB5"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10.21</w:t>
            </w:r>
          </w:p>
        </w:tc>
      </w:tr>
      <w:tr w:rsidR="007B43C8" w:rsidRPr="00083DB5" w14:paraId="05B30ED5" w14:textId="77777777" w:rsidTr="007B43C8">
        <w:trPr>
          <w:trHeight w:val="300"/>
        </w:trPr>
        <w:tc>
          <w:tcPr>
            <w:cnfStyle w:val="001000000000" w:firstRow="0" w:lastRow="0" w:firstColumn="1" w:lastColumn="0" w:oddVBand="0" w:evenVBand="0" w:oddHBand="0" w:evenHBand="0" w:firstRowFirstColumn="0" w:firstRowLastColumn="0" w:lastRowFirstColumn="0" w:lastRowLastColumn="0"/>
            <w:tcW w:w="419" w:type="dxa"/>
            <w:noWrap/>
            <w:hideMark/>
          </w:tcPr>
          <w:p w14:paraId="4172A228" w14:textId="77777777" w:rsidR="007B43C8" w:rsidRPr="00083DB5" w:rsidRDefault="007B43C8" w:rsidP="007B43C8">
            <w:pPr>
              <w:spacing w:line="276" w:lineRule="auto"/>
              <w:jc w:val="right"/>
              <w:rPr>
                <w:rFonts w:ascii="Calibri" w:eastAsia="Times New Roman" w:hAnsi="Calibri" w:cs="Times New Roman"/>
                <w:color w:val="000000"/>
                <w:sz w:val="20"/>
                <w:szCs w:val="20"/>
                <w:lang w:eastAsia="es-MX"/>
              </w:rPr>
            </w:pPr>
            <w:r w:rsidRPr="00083DB5">
              <w:rPr>
                <w:rFonts w:ascii="Calibri" w:eastAsia="Times New Roman" w:hAnsi="Calibri" w:cs="Times New Roman"/>
                <w:color w:val="000000"/>
                <w:sz w:val="20"/>
                <w:szCs w:val="20"/>
                <w:lang w:eastAsia="es-MX"/>
              </w:rPr>
              <w:t>7</w:t>
            </w:r>
          </w:p>
        </w:tc>
        <w:tc>
          <w:tcPr>
            <w:tcW w:w="4396" w:type="dxa"/>
            <w:noWrap/>
            <w:hideMark/>
          </w:tcPr>
          <w:p w14:paraId="65C3B178" w14:textId="77777777" w:rsidR="007B43C8" w:rsidRPr="00083DB5" w:rsidRDefault="007B43C8" w:rsidP="007B43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Geometría Aplicada</w:t>
            </w:r>
          </w:p>
        </w:tc>
        <w:tc>
          <w:tcPr>
            <w:tcW w:w="1599" w:type="dxa"/>
            <w:hideMark/>
          </w:tcPr>
          <w:p w14:paraId="1F7C39BD" w14:textId="77777777" w:rsidR="007B43C8" w:rsidRPr="00083DB5" w:rsidRDefault="007B43C8"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8.46</w:t>
            </w:r>
          </w:p>
        </w:tc>
        <w:tc>
          <w:tcPr>
            <w:tcW w:w="1236" w:type="dxa"/>
            <w:hideMark/>
          </w:tcPr>
          <w:p w14:paraId="7BBFC5C6" w14:textId="77777777" w:rsidR="007B43C8" w:rsidRPr="00083DB5" w:rsidRDefault="007B43C8"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98</w:t>
            </w:r>
          </w:p>
        </w:tc>
        <w:tc>
          <w:tcPr>
            <w:tcW w:w="1210" w:type="dxa"/>
            <w:hideMark/>
          </w:tcPr>
          <w:p w14:paraId="07132D07" w14:textId="77777777" w:rsidR="007B43C8" w:rsidRPr="00083DB5" w:rsidRDefault="007B43C8"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9.95</w:t>
            </w:r>
          </w:p>
        </w:tc>
      </w:tr>
      <w:tr w:rsidR="007B43C8" w:rsidRPr="00083DB5" w14:paraId="573A54AC" w14:textId="77777777" w:rsidTr="007B43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9" w:type="dxa"/>
            <w:noWrap/>
            <w:hideMark/>
          </w:tcPr>
          <w:p w14:paraId="414CB814" w14:textId="77777777" w:rsidR="007B43C8" w:rsidRPr="00083DB5" w:rsidRDefault="007B43C8" w:rsidP="007B43C8">
            <w:pPr>
              <w:spacing w:line="276" w:lineRule="auto"/>
              <w:jc w:val="right"/>
              <w:rPr>
                <w:rFonts w:ascii="Calibri" w:eastAsia="Times New Roman" w:hAnsi="Calibri" w:cs="Times New Roman"/>
                <w:color w:val="000000"/>
                <w:sz w:val="20"/>
                <w:szCs w:val="20"/>
                <w:lang w:eastAsia="es-MX"/>
              </w:rPr>
            </w:pPr>
            <w:r w:rsidRPr="00083DB5">
              <w:rPr>
                <w:rFonts w:ascii="Calibri" w:eastAsia="Times New Roman" w:hAnsi="Calibri" w:cs="Times New Roman"/>
                <w:color w:val="000000"/>
                <w:sz w:val="20"/>
                <w:szCs w:val="20"/>
                <w:lang w:eastAsia="es-MX"/>
              </w:rPr>
              <w:t>8</w:t>
            </w:r>
          </w:p>
        </w:tc>
        <w:tc>
          <w:tcPr>
            <w:tcW w:w="4396" w:type="dxa"/>
            <w:noWrap/>
            <w:hideMark/>
          </w:tcPr>
          <w:p w14:paraId="373EA1AC" w14:textId="77777777" w:rsidR="007B43C8" w:rsidRPr="00083DB5" w:rsidRDefault="007B43C8" w:rsidP="007B43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Técnicas de Representación Avanzada</w:t>
            </w:r>
          </w:p>
        </w:tc>
        <w:tc>
          <w:tcPr>
            <w:tcW w:w="1599" w:type="dxa"/>
            <w:hideMark/>
          </w:tcPr>
          <w:p w14:paraId="78CD051E" w14:textId="77777777" w:rsidR="007B43C8" w:rsidRPr="00083DB5"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7.4</w:t>
            </w:r>
          </w:p>
        </w:tc>
        <w:tc>
          <w:tcPr>
            <w:tcW w:w="1236" w:type="dxa"/>
            <w:hideMark/>
          </w:tcPr>
          <w:p w14:paraId="6C4A5498" w14:textId="77777777" w:rsidR="007B43C8" w:rsidRPr="00083DB5"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83</w:t>
            </w:r>
          </w:p>
        </w:tc>
        <w:tc>
          <w:tcPr>
            <w:tcW w:w="1210" w:type="dxa"/>
            <w:hideMark/>
          </w:tcPr>
          <w:p w14:paraId="7A9C3F6E" w14:textId="77777777" w:rsidR="007B43C8" w:rsidRPr="00083DB5"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10.21</w:t>
            </w:r>
          </w:p>
        </w:tc>
      </w:tr>
      <w:tr w:rsidR="007B43C8" w:rsidRPr="00083DB5" w14:paraId="7496AAEC" w14:textId="77777777" w:rsidTr="007B43C8">
        <w:trPr>
          <w:trHeight w:val="300"/>
        </w:trPr>
        <w:tc>
          <w:tcPr>
            <w:cnfStyle w:val="001000000000" w:firstRow="0" w:lastRow="0" w:firstColumn="1" w:lastColumn="0" w:oddVBand="0" w:evenVBand="0" w:oddHBand="0" w:evenHBand="0" w:firstRowFirstColumn="0" w:firstRowLastColumn="0" w:lastRowFirstColumn="0" w:lastRowLastColumn="0"/>
            <w:tcW w:w="419" w:type="dxa"/>
            <w:noWrap/>
            <w:hideMark/>
          </w:tcPr>
          <w:p w14:paraId="73CF321B" w14:textId="77777777" w:rsidR="007B43C8" w:rsidRPr="00083DB5" w:rsidRDefault="007B43C8" w:rsidP="007B43C8">
            <w:pPr>
              <w:spacing w:line="276" w:lineRule="auto"/>
              <w:jc w:val="right"/>
              <w:rPr>
                <w:rFonts w:ascii="Calibri" w:eastAsia="Times New Roman" w:hAnsi="Calibri" w:cs="Times New Roman"/>
                <w:color w:val="000000"/>
                <w:sz w:val="20"/>
                <w:szCs w:val="20"/>
                <w:lang w:eastAsia="es-MX"/>
              </w:rPr>
            </w:pPr>
            <w:r w:rsidRPr="00083DB5">
              <w:rPr>
                <w:rFonts w:ascii="Calibri" w:eastAsia="Times New Roman" w:hAnsi="Calibri" w:cs="Times New Roman"/>
                <w:color w:val="000000"/>
                <w:sz w:val="20"/>
                <w:szCs w:val="20"/>
                <w:lang w:eastAsia="es-MX"/>
              </w:rPr>
              <w:t>9</w:t>
            </w:r>
          </w:p>
        </w:tc>
        <w:tc>
          <w:tcPr>
            <w:tcW w:w="4396" w:type="dxa"/>
            <w:noWrap/>
            <w:hideMark/>
          </w:tcPr>
          <w:p w14:paraId="6EC23E07" w14:textId="77777777" w:rsidR="007B43C8" w:rsidRPr="00083DB5" w:rsidRDefault="007B43C8" w:rsidP="007B43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Vanguardias del Siglo XIX</w:t>
            </w:r>
          </w:p>
        </w:tc>
        <w:tc>
          <w:tcPr>
            <w:tcW w:w="1599" w:type="dxa"/>
            <w:hideMark/>
          </w:tcPr>
          <w:p w14:paraId="2CD27513" w14:textId="77777777" w:rsidR="007B43C8" w:rsidRPr="00083DB5" w:rsidRDefault="007B43C8"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8.4</w:t>
            </w:r>
          </w:p>
        </w:tc>
        <w:tc>
          <w:tcPr>
            <w:tcW w:w="1236" w:type="dxa"/>
            <w:hideMark/>
          </w:tcPr>
          <w:p w14:paraId="20E22E59" w14:textId="77777777" w:rsidR="007B43C8" w:rsidRPr="00083DB5" w:rsidRDefault="007B43C8"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80</w:t>
            </w:r>
          </w:p>
        </w:tc>
        <w:tc>
          <w:tcPr>
            <w:tcW w:w="1210" w:type="dxa"/>
            <w:hideMark/>
          </w:tcPr>
          <w:p w14:paraId="2018DB02" w14:textId="77777777" w:rsidR="007B43C8" w:rsidRPr="00083DB5" w:rsidRDefault="007B43C8"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12.31</w:t>
            </w:r>
          </w:p>
        </w:tc>
      </w:tr>
      <w:tr w:rsidR="007B43C8" w:rsidRPr="00083DB5" w14:paraId="1CE5DD59" w14:textId="77777777" w:rsidTr="007B43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19" w:type="dxa"/>
            <w:noWrap/>
            <w:hideMark/>
          </w:tcPr>
          <w:p w14:paraId="53281FB6" w14:textId="77777777" w:rsidR="007B43C8" w:rsidRPr="00083DB5" w:rsidRDefault="007B43C8" w:rsidP="007B43C8">
            <w:pPr>
              <w:spacing w:line="276" w:lineRule="auto"/>
              <w:jc w:val="right"/>
              <w:rPr>
                <w:rFonts w:ascii="Calibri" w:eastAsia="Times New Roman" w:hAnsi="Calibri" w:cs="Times New Roman"/>
                <w:color w:val="000000"/>
                <w:sz w:val="20"/>
                <w:szCs w:val="20"/>
                <w:lang w:eastAsia="es-MX"/>
              </w:rPr>
            </w:pPr>
            <w:r w:rsidRPr="00083DB5">
              <w:rPr>
                <w:rFonts w:ascii="Calibri" w:eastAsia="Times New Roman" w:hAnsi="Calibri" w:cs="Times New Roman"/>
                <w:color w:val="000000"/>
                <w:sz w:val="20"/>
                <w:szCs w:val="20"/>
                <w:lang w:eastAsia="es-MX"/>
              </w:rPr>
              <w:t>10</w:t>
            </w:r>
          </w:p>
        </w:tc>
        <w:tc>
          <w:tcPr>
            <w:tcW w:w="4396" w:type="dxa"/>
            <w:noWrap/>
            <w:hideMark/>
          </w:tcPr>
          <w:p w14:paraId="45556C3F" w14:textId="77777777" w:rsidR="007B43C8" w:rsidRPr="00083DB5" w:rsidRDefault="007B43C8" w:rsidP="007B43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Materiales y Sistemas Constructivos</w:t>
            </w:r>
          </w:p>
        </w:tc>
        <w:tc>
          <w:tcPr>
            <w:tcW w:w="1599" w:type="dxa"/>
            <w:hideMark/>
          </w:tcPr>
          <w:p w14:paraId="792692A3" w14:textId="77777777" w:rsidR="007B43C8" w:rsidRPr="00083DB5"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7.85</w:t>
            </w:r>
          </w:p>
        </w:tc>
        <w:tc>
          <w:tcPr>
            <w:tcW w:w="1236" w:type="dxa"/>
            <w:hideMark/>
          </w:tcPr>
          <w:p w14:paraId="57D46AAE" w14:textId="77777777" w:rsidR="007B43C8" w:rsidRPr="00083DB5"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89</w:t>
            </w:r>
          </w:p>
        </w:tc>
        <w:tc>
          <w:tcPr>
            <w:tcW w:w="1210" w:type="dxa"/>
            <w:hideMark/>
          </w:tcPr>
          <w:p w14:paraId="0B0D6B9B" w14:textId="77777777" w:rsidR="007B43C8" w:rsidRPr="00083DB5"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6.55</w:t>
            </w:r>
          </w:p>
        </w:tc>
      </w:tr>
      <w:tr w:rsidR="007B43C8" w:rsidRPr="00083DB5" w14:paraId="05FE3A03" w14:textId="77777777" w:rsidTr="007B43C8">
        <w:trPr>
          <w:trHeight w:val="300"/>
        </w:trPr>
        <w:tc>
          <w:tcPr>
            <w:cnfStyle w:val="001000000000" w:firstRow="0" w:lastRow="0" w:firstColumn="1" w:lastColumn="0" w:oddVBand="0" w:evenVBand="0" w:oddHBand="0" w:evenHBand="0" w:firstRowFirstColumn="0" w:firstRowLastColumn="0" w:lastRowFirstColumn="0" w:lastRowLastColumn="0"/>
            <w:tcW w:w="419" w:type="dxa"/>
            <w:tcBorders>
              <w:top w:val="single" w:sz="4" w:space="0" w:color="F79646" w:themeColor="accent6"/>
              <w:bottom w:val="single" w:sz="4" w:space="0" w:color="auto"/>
            </w:tcBorders>
            <w:noWrap/>
            <w:hideMark/>
          </w:tcPr>
          <w:p w14:paraId="3969501C" w14:textId="77777777" w:rsidR="007B43C8" w:rsidRPr="00083DB5" w:rsidRDefault="007B43C8" w:rsidP="007B43C8">
            <w:pPr>
              <w:spacing w:line="276" w:lineRule="auto"/>
              <w:jc w:val="right"/>
              <w:rPr>
                <w:rFonts w:ascii="Calibri" w:eastAsia="Times New Roman" w:hAnsi="Calibri" w:cs="Times New Roman"/>
                <w:color w:val="000000"/>
                <w:sz w:val="20"/>
                <w:szCs w:val="20"/>
                <w:lang w:eastAsia="es-MX"/>
              </w:rPr>
            </w:pPr>
            <w:r w:rsidRPr="00083DB5">
              <w:rPr>
                <w:rFonts w:ascii="Calibri" w:eastAsia="Times New Roman" w:hAnsi="Calibri" w:cs="Times New Roman"/>
                <w:color w:val="000000"/>
                <w:sz w:val="20"/>
                <w:szCs w:val="20"/>
                <w:lang w:eastAsia="es-MX"/>
              </w:rPr>
              <w:t>11</w:t>
            </w:r>
          </w:p>
        </w:tc>
        <w:tc>
          <w:tcPr>
            <w:tcW w:w="4396" w:type="dxa"/>
            <w:tcBorders>
              <w:top w:val="single" w:sz="4" w:space="0" w:color="F79646" w:themeColor="accent6"/>
              <w:bottom w:val="single" w:sz="4" w:space="0" w:color="auto"/>
            </w:tcBorders>
            <w:noWrap/>
            <w:hideMark/>
          </w:tcPr>
          <w:p w14:paraId="18332588" w14:textId="77777777" w:rsidR="007B43C8" w:rsidRPr="00083DB5" w:rsidRDefault="007B43C8" w:rsidP="007B43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Comunidades de aprendizaje</w:t>
            </w:r>
          </w:p>
        </w:tc>
        <w:tc>
          <w:tcPr>
            <w:tcW w:w="1599" w:type="dxa"/>
            <w:tcBorders>
              <w:top w:val="single" w:sz="4" w:space="0" w:color="F79646" w:themeColor="accent6"/>
              <w:bottom w:val="single" w:sz="4" w:space="0" w:color="auto"/>
            </w:tcBorders>
            <w:hideMark/>
          </w:tcPr>
          <w:p w14:paraId="7D338055" w14:textId="77777777" w:rsidR="007B43C8" w:rsidRPr="00083DB5" w:rsidRDefault="007B43C8"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7.48</w:t>
            </w:r>
          </w:p>
        </w:tc>
        <w:tc>
          <w:tcPr>
            <w:tcW w:w="1236" w:type="dxa"/>
            <w:tcBorders>
              <w:top w:val="single" w:sz="4" w:space="0" w:color="F79646" w:themeColor="accent6"/>
              <w:bottom w:val="single" w:sz="4" w:space="0" w:color="auto"/>
            </w:tcBorders>
            <w:hideMark/>
          </w:tcPr>
          <w:p w14:paraId="3BCF4A58" w14:textId="77777777" w:rsidR="007B43C8" w:rsidRPr="00083DB5" w:rsidRDefault="007B43C8"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88</w:t>
            </w:r>
          </w:p>
        </w:tc>
        <w:tc>
          <w:tcPr>
            <w:tcW w:w="1210" w:type="dxa"/>
            <w:tcBorders>
              <w:top w:val="single" w:sz="4" w:space="0" w:color="F79646" w:themeColor="accent6"/>
              <w:bottom w:val="single" w:sz="4" w:space="0" w:color="auto"/>
            </w:tcBorders>
            <w:hideMark/>
          </w:tcPr>
          <w:p w14:paraId="1A63E96A" w14:textId="77777777" w:rsidR="007B43C8" w:rsidRPr="00083DB5" w:rsidRDefault="007B43C8"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s-MX"/>
              </w:rPr>
            </w:pPr>
            <w:r w:rsidRPr="00083DB5">
              <w:rPr>
                <w:rFonts w:ascii="Times New Roman" w:eastAsia="Times New Roman" w:hAnsi="Times New Roman" w:cs="Times New Roman"/>
                <w:color w:val="000000"/>
                <w:sz w:val="20"/>
                <w:szCs w:val="20"/>
                <w:lang w:eastAsia="es-MX"/>
              </w:rPr>
              <w:t>9.48</w:t>
            </w:r>
          </w:p>
        </w:tc>
      </w:tr>
    </w:tbl>
    <w:p w14:paraId="0369B04C" w14:textId="77777777" w:rsidR="004C1356" w:rsidRDefault="004C1356" w:rsidP="004C1356">
      <w:pPr>
        <w:spacing w:line="360" w:lineRule="auto"/>
        <w:rPr>
          <w:rFonts w:ascii="Times New Roman" w:hAnsi="Times New Roman" w:cs="Times New Roman"/>
          <w:bCs/>
          <w:sz w:val="24"/>
          <w:szCs w:val="24"/>
        </w:rPr>
      </w:pPr>
    </w:p>
    <w:p w14:paraId="34718E37" w14:textId="77777777" w:rsidR="004C1356" w:rsidRDefault="004C1356"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Los resultados se muestran en la Tabla 13. La primera observación es que se muestra muy baja correlación (r = 0.124) entre el rendimiento académico y el desempeño docente. Se puede interpretar como que los alumnos evalúan el desempeño docente, de manera justa y de acuerdo a las categorías analíticas que se han utilizado en el instrumento, independientemente de la calificación que hayan obtenido en el curso. </w:t>
      </w:r>
    </w:p>
    <w:p w14:paraId="138D16AD" w14:textId="701DC140" w:rsidR="00944488" w:rsidRDefault="00944488"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De acuerdo con Berenson, Levine y Krehbiel (2001) y dado que r</w:t>
      </w:r>
      <w:r w:rsidRPr="00774C63">
        <w:rPr>
          <w:rFonts w:ascii="Times New Roman" w:hAnsi="Times New Roman" w:cs="Times New Roman"/>
          <w:bCs/>
          <w:sz w:val="24"/>
          <w:szCs w:val="24"/>
          <w:vertAlign w:val="superscript"/>
        </w:rPr>
        <w:t>2</w:t>
      </w:r>
      <w:r>
        <w:rPr>
          <w:rFonts w:ascii="Times New Roman" w:hAnsi="Times New Roman" w:cs="Times New Roman"/>
          <w:bCs/>
          <w:sz w:val="24"/>
          <w:szCs w:val="24"/>
        </w:rPr>
        <w:t xml:space="preserve"> = 0.015, significa que 1.5% de la variación de la evaluación del desempeño docente puede ser explicada por la variación del rendimiento académico de los alumnos. Es decir, los resultados de la evaluación de desempeño docente no están en función de las calificaciones de los alumnos. </w:t>
      </w:r>
      <w:r>
        <w:rPr>
          <w:rFonts w:ascii="Times New Roman" w:hAnsi="Times New Roman" w:cs="Times New Roman"/>
          <w:bCs/>
          <w:sz w:val="24"/>
          <w:szCs w:val="24"/>
        </w:rPr>
        <w:lastRenderedPageBreak/>
        <w:t>La fuerza de la asociación entre estas variables es muy débil por lo que una no puede explicar la otra.</w:t>
      </w:r>
    </w:p>
    <w:p w14:paraId="7FF60764" w14:textId="1C867853" w:rsidR="004C1356" w:rsidRPr="00774C63" w:rsidRDefault="004C1356"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La segunda observación es que existe una baja correlación negativa de la antigüedad con el rendimiento académico de los alumnos (r =-0.31) y con el desempeño docente (r =-0.38). Estamos claros que se trata de un estudio de caso, y como tal no puede generalizarse, sin embargo, llama la atención de que sea negativa la correlación lo que quiere decir es que a mayor antigüedad docente del grupo de profesores, disminuyen el rendimiento académico de los alumnos y el desempeño académico de los profesores.</w:t>
      </w:r>
    </w:p>
    <w:p w14:paraId="15AC718E" w14:textId="77777777" w:rsidR="00944488" w:rsidRDefault="00944488" w:rsidP="004C1356">
      <w:pPr>
        <w:spacing w:line="360" w:lineRule="auto"/>
        <w:rPr>
          <w:rFonts w:ascii="Times New Roman" w:hAnsi="Times New Roman" w:cs="Times New Roman"/>
          <w:bCs/>
          <w:sz w:val="24"/>
          <w:szCs w:val="24"/>
        </w:rPr>
      </w:pPr>
    </w:p>
    <w:tbl>
      <w:tblPr>
        <w:tblStyle w:val="ListTable3Accent6"/>
        <w:tblW w:w="8656" w:type="dxa"/>
        <w:tblLook w:val="04A0" w:firstRow="1" w:lastRow="0" w:firstColumn="1" w:lastColumn="0" w:noHBand="0" w:noVBand="1"/>
      </w:tblPr>
      <w:tblGrid>
        <w:gridCol w:w="4673"/>
        <w:gridCol w:w="1418"/>
        <w:gridCol w:w="1289"/>
        <w:gridCol w:w="1276"/>
      </w:tblGrid>
      <w:tr w:rsidR="006345FD" w:rsidRPr="006345FD" w14:paraId="56C7B1F2" w14:textId="77777777" w:rsidTr="00391CA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656" w:type="dxa"/>
            <w:gridSpan w:val="4"/>
            <w:tcBorders>
              <w:top w:val="single" w:sz="4" w:space="0" w:color="F79646" w:themeColor="accent6"/>
              <w:bottom w:val="single" w:sz="4" w:space="0" w:color="auto"/>
            </w:tcBorders>
            <w:noWrap/>
          </w:tcPr>
          <w:p w14:paraId="437FC71E" w14:textId="180698BA" w:rsidR="006345FD" w:rsidRDefault="006345FD" w:rsidP="00D80964">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Tabla 13:</w:t>
            </w:r>
          </w:p>
          <w:p w14:paraId="1052E27E" w14:textId="5D7F5871" w:rsidR="006345FD" w:rsidRPr="006345FD" w:rsidRDefault="00C12ED4" w:rsidP="00D80964">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Correlaciones en la licenciatura en DIA</w:t>
            </w:r>
          </w:p>
        </w:tc>
      </w:tr>
      <w:tr w:rsidR="006345FD" w:rsidRPr="006345FD" w14:paraId="3E629FA8" w14:textId="77777777" w:rsidTr="00391C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bottom w:val="single" w:sz="4" w:space="0" w:color="auto"/>
            </w:tcBorders>
            <w:noWrap/>
            <w:hideMark/>
          </w:tcPr>
          <w:p w14:paraId="4EBC8C30" w14:textId="77777777" w:rsidR="006345FD" w:rsidRPr="006345FD" w:rsidRDefault="006345FD" w:rsidP="006345FD">
            <w:pPr>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 </w:t>
            </w:r>
          </w:p>
        </w:tc>
        <w:tc>
          <w:tcPr>
            <w:tcW w:w="1418" w:type="dxa"/>
            <w:tcBorders>
              <w:top w:val="single" w:sz="4" w:space="0" w:color="auto"/>
              <w:bottom w:val="single" w:sz="4" w:space="0" w:color="auto"/>
            </w:tcBorders>
            <w:noWrap/>
            <w:hideMark/>
          </w:tcPr>
          <w:p w14:paraId="325ADE49" w14:textId="5879B63E" w:rsidR="006345FD" w:rsidRPr="006345FD" w:rsidRDefault="006345FD" w:rsidP="006345F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R</w:t>
            </w:r>
            <w:r>
              <w:rPr>
                <w:rFonts w:ascii="Calibri" w:eastAsia="Times New Roman" w:hAnsi="Calibri" w:cs="Times New Roman"/>
                <w:color w:val="000000"/>
                <w:lang w:eastAsia="es-MX"/>
              </w:rPr>
              <w:t xml:space="preserve">endimiento </w:t>
            </w:r>
            <w:r w:rsidRPr="006345FD">
              <w:rPr>
                <w:rFonts w:ascii="Calibri" w:eastAsia="Times New Roman" w:hAnsi="Calibri" w:cs="Times New Roman"/>
                <w:color w:val="000000"/>
                <w:lang w:eastAsia="es-MX"/>
              </w:rPr>
              <w:t>A</w:t>
            </w:r>
            <w:r>
              <w:rPr>
                <w:rFonts w:ascii="Calibri" w:eastAsia="Times New Roman" w:hAnsi="Calibri" w:cs="Times New Roman"/>
                <w:color w:val="000000"/>
                <w:lang w:eastAsia="es-MX"/>
              </w:rPr>
              <w:t>cadémico</w:t>
            </w:r>
          </w:p>
        </w:tc>
        <w:tc>
          <w:tcPr>
            <w:tcW w:w="1289" w:type="dxa"/>
            <w:tcBorders>
              <w:top w:val="single" w:sz="4" w:space="0" w:color="auto"/>
              <w:bottom w:val="single" w:sz="4" w:space="0" w:color="auto"/>
            </w:tcBorders>
            <w:noWrap/>
            <w:hideMark/>
          </w:tcPr>
          <w:p w14:paraId="40B08347" w14:textId="77777777" w:rsidR="006345FD" w:rsidRDefault="006345FD" w:rsidP="006345F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D</w:t>
            </w:r>
            <w:r>
              <w:rPr>
                <w:rFonts w:ascii="Calibri" w:eastAsia="Times New Roman" w:hAnsi="Calibri" w:cs="Times New Roman"/>
                <w:color w:val="000000"/>
                <w:lang w:eastAsia="es-MX"/>
              </w:rPr>
              <w:t>esempeño</w:t>
            </w:r>
          </w:p>
          <w:p w14:paraId="630E6FFB" w14:textId="44C35C78" w:rsidR="006345FD" w:rsidRPr="006345FD" w:rsidRDefault="006345FD" w:rsidP="006345F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D</w:t>
            </w:r>
            <w:r>
              <w:rPr>
                <w:rFonts w:ascii="Calibri" w:eastAsia="Times New Roman" w:hAnsi="Calibri" w:cs="Times New Roman"/>
                <w:color w:val="000000"/>
                <w:lang w:eastAsia="es-MX"/>
              </w:rPr>
              <w:t>ocente</w:t>
            </w:r>
          </w:p>
        </w:tc>
        <w:tc>
          <w:tcPr>
            <w:tcW w:w="1276" w:type="dxa"/>
            <w:tcBorders>
              <w:top w:val="single" w:sz="4" w:space="0" w:color="auto"/>
              <w:bottom w:val="single" w:sz="4" w:space="0" w:color="auto"/>
            </w:tcBorders>
            <w:noWrap/>
            <w:hideMark/>
          </w:tcPr>
          <w:p w14:paraId="3BEAEBBE" w14:textId="287C7918" w:rsidR="006345FD" w:rsidRPr="006345FD" w:rsidRDefault="006345FD" w:rsidP="006345F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Pr>
                <w:rFonts w:ascii="Calibri" w:eastAsia="Times New Roman" w:hAnsi="Calibri" w:cs="Times New Roman"/>
                <w:color w:val="000000"/>
                <w:lang w:eastAsia="es-MX"/>
              </w:rPr>
              <w:t>Antigüedad</w:t>
            </w:r>
          </w:p>
        </w:tc>
      </w:tr>
      <w:tr w:rsidR="006345FD" w:rsidRPr="006345FD" w14:paraId="617D6856" w14:textId="77777777" w:rsidTr="00391CAC">
        <w:trPr>
          <w:trHeight w:val="300"/>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tcBorders>
            <w:noWrap/>
            <w:hideMark/>
          </w:tcPr>
          <w:p w14:paraId="6893BC62" w14:textId="4EA90220" w:rsidR="006345FD" w:rsidRPr="006345FD" w:rsidRDefault="006345FD" w:rsidP="006345FD">
            <w:pPr>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Rendimiento académico</w:t>
            </w:r>
          </w:p>
        </w:tc>
        <w:tc>
          <w:tcPr>
            <w:tcW w:w="1418" w:type="dxa"/>
            <w:tcBorders>
              <w:top w:val="single" w:sz="4" w:space="0" w:color="auto"/>
            </w:tcBorders>
            <w:noWrap/>
            <w:hideMark/>
          </w:tcPr>
          <w:p w14:paraId="06AED8F7" w14:textId="77777777" w:rsidR="006345FD" w:rsidRPr="006345FD" w:rsidRDefault="006345FD" w:rsidP="006345F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1.00</w:t>
            </w:r>
          </w:p>
        </w:tc>
        <w:tc>
          <w:tcPr>
            <w:tcW w:w="1289" w:type="dxa"/>
            <w:tcBorders>
              <w:top w:val="single" w:sz="4" w:space="0" w:color="auto"/>
            </w:tcBorders>
            <w:noWrap/>
            <w:hideMark/>
          </w:tcPr>
          <w:p w14:paraId="7CC63BA4" w14:textId="77777777" w:rsidR="006345FD" w:rsidRPr="006345FD" w:rsidRDefault="006345FD" w:rsidP="006345F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0.12</w:t>
            </w:r>
          </w:p>
        </w:tc>
        <w:tc>
          <w:tcPr>
            <w:tcW w:w="1276" w:type="dxa"/>
            <w:tcBorders>
              <w:top w:val="single" w:sz="4" w:space="0" w:color="auto"/>
            </w:tcBorders>
            <w:noWrap/>
            <w:hideMark/>
          </w:tcPr>
          <w:p w14:paraId="5BEB0075" w14:textId="77777777" w:rsidR="006345FD" w:rsidRPr="006345FD" w:rsidRDefault="006345FD" w:rsidP="006345F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-0.31</w:t>
            </w:r>
          </w:p>
        </w:tc>
      </w:tr>
      <w:tr w:rsidR="006345FD" w:rsidRPr="006345FD" w14:paraId="026D9475" w14:textId="77777777" w:rsidTr="00391CA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318914C" w14:textId="77777777" w:rsidR="006345FD" w:rsidRPr="006345FD" w:rsidRDefault="006345FD" w:rsidP="006345FD">
            <w:pPr>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Desempeño docente</w:t>
            </w:r>
          </w:p>
        </w:tc>
        <w:tc>
          <w:tcPr>
            <w:tcW w:w="1418" w:type="dxa"/>
            <w:noWrap/>
            <w:hideMark/>
          </w:tcPr>
          <w:p w14:paraId="008AD33A" w14:textId="45F33F7E" w:rsidR="006345FD" w:rsidRPr="006345FD" w:rsidRDefault="006345FD" w:rsidP="006345F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0.12</w:t>
            </w:r>
            <w:r w:rsidR="00774C63">
              <w:rPr>
                <w:rFonts w:ascii="Calibri" w:eastAsia="Times New Roman" w:hAnsi="Calibri" w:cs="Times New Roman"/>
                <w:color w:val="000000"/>
                <w:lang w:eastAsia="es-MX"/>
              </w:rPr>
              <w:t>4</w:t>
            </w:r>
          </w:p>
        </w:tc>
        <w:tc>
          <w:tcPr>
            <w:tcW w:w="1289" w:type="dxa"/>
            <w:noWrap/>
            <w:hideMark/>
          </w:tcPr>
          <w:p w14:paraId="68D5F78A" w14:textId="77777777" w:rsidR="006345FD" w:rsidRPr="006345FD" w:rsidRDefault="006345FD" w:rsidP="006345F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1.00</w:t>
            </w:r>
          </w:p>
        </w:tc>
        <w:tc>
          <w:tcPr>
            <w:tcW w:w="1276" w:type="dxa"/>
            <w:noWrap/>
            <w:hideMark/>
          </w:tcPr>
          <w:p w14:paraId="73864E0F" w14:textId="77777777" w:rsidR="006345FD" w:rsidRPr="006345FD" w:rsidRDefault="006345FD" w:rsidP="006345F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-0.38</w:t>
            </w:r>
          </w:p>
        </w:tc>
      </w:tr>
      <w:tr w:rsidR="006345FD" w:rsidRPr="006345FD" w14:paraId="73E5C9E8" w14:textId="77777777" w:rsidTr="00391CAC">
        <w:trPr>
          <w:trHeight w:val="300"/>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F79646" w:themeColor="accent6"/>
              <w:bottom w:val="single" w:sz="4" w:space="0" w:color="auto"/>
            </w:tcBorders>
            <w:noWrap/>
            <w:hideMark/>
          </w:tcPr>
          <w:p w14:paraId="40E4FB7C" w14:textId="77777777" w:rsidR="006345FD" w:rsidRPr="006345FD" w:rsidRDefault="006345FD" w:rsidP="006345FD">
            <w:pPr>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antigüedad</w:t>
            </w:r>
          </w:p>
        </w:tc>
        <w:tc>
          <w:tcPr>
            <w:tcW w:w="1418" w:type="dxa"/>
            <w:tcBorders>
              <w:top w:val="single" w:sz="4" w:space="0" w:color="F79646" w:themeColor="accent6"/>
              <w:bottom w:val="single" w:sz="4" w:space="0" w:color="auto"/>
            </w:tcBorders>
            <w:noWrap/>
            <w:hideMark/>
          </w:tcPr>
          <w:p w14:paraId="2B90999E" w14:textId="77777777" w:rsidR="006345FD" w:rsidRPr="006345FD" w:rsidRDefault="006345FD" w:rsidP="006345F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-0.31</w:t>
            </w:r>
          </w:p>
        </w:tc>
        <w:tc>
          <w:tcPr>
            <w:tcW w:w="1289" w:type="dxa"/>
            <w:tcBorders>
              <w:top w:val="single" w:sz="4" w:space="0" w:color="F79646" w:themeColor="accent6"/>
              <w:bottom w:val="single" w:sz="4" w:space="0" w:color="auto"/>
            </w:tcBorders>
            <w:noWrap/>
            <w:hideMark/>
          </w:tcPr>
          <w:p w14:paraId="65621D82" w14:textId="77777777" w:rsidR="006345FD" w:rsidRPr="006345FD" w:rsidRDefault="006345FD" w:rsidP="006345F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-0.38</w:t>
            </w:r>
          </w:p>
        </w:tc>
        <w:tc>
          <w:tcPr>
            <w:tcW w:w="1276" w:type="dxa"/>
            <w:tcBorders>
              <w:top w:val="single" w:sz="4" w:space="0" w:color="F79646" w:themeColor="accent6"/>
              <w:bottom w:val="single" w:sz="4" w:space="0" w:color="auto"/>
            </w:tcBorders>
            <w:noWrap/>
            <w:hideMark/>
          </w:tcPr>
          <w:p w14:paraId="0012FFA3" w14:textId="77777777" w:rsidR="006345FD" w:rsidRPr="006345FD" w:rsidRDefault="006345FD" w:rsidP="006345F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1.00</w:t>
            </w:r>
          </w:p>
        </w:tc>
      </w:tr>
    </w:tbl>
    <w:p w14:paraId="2B9638AC" w14:textId="77777777" w:rsidR="00E510FD" w:rsidRDefault="00E510FD" w:rsidP="003B1236">
      <w:pPr>
        <w:spacing w:line="360" w:lineRule="auto"/>
        <w:rPr>
          <w:rFonts w:ascii="Times New Roman" w:hAnsi="Times New Roman" w:cs="Times New Roman"/>
          <w:bCs/>
          <w:sz w:val="24"/>
          <w:szCs w:val="24"/>
        </w:rPr>
      </w:pPr>
    </w:p>
    <w:p w14:paraId="7F941AC4" w14:textId="09E3B727" w:rsidR="00D80964" w:rsidRDefault="00B40801"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En tanto existe cierta independencia del rendimiento académico y el desempeño docente (</w:t>
      </w:r>
      <w:r w:rsidR="00800DC8">
        <w:rPr>
          <w:rFonts w:ascii="Times New Roman" w:hAnsi="Times New Roman" w:cs="Times New Roman"/>
          <w:bCs/>
          <w:sz w:val="24"/>
          <w:szCs w:val="24"/>
        </w:rPr>
        <w:t xml:space="preserve">primera </w:t>
      </w:r>
      <w:r>
        <w:rPr>
          <w:rFonts w:ascii="Times New Roman" w:hAnsi="Times New Roman" w:cs="Times New Roman"/>
          <w:bCs/>
          <w:sz w:val="24"/>
          <w:szCs w:val="24"/>
        </w:rPr>
        <w:t>observación</w:t>
      </w:r>
      <w:r w:rsidR="00800DC8">
        <w:rPr>
          <w:rFonts w:ascii="Times New Roman" w:hAnsi="Times New Roman" w:cs="Times New Roman"/>
          <w:bCs/>
          <w:sz w:val="24"/>
          <w:szCs w:val="24"/>
        </w:rPr>
        <w:t xml:space="preserve">), la valoración del desempeño docente está más bien en las competencias docentes relacionadas con conductas didácticas que se arrastran de los años de experiencia. </w:t>
      </w:r>
    </w:p>
    <w:p w14:paraId="6499DF73" w14:textId="0C11BCF4" w:rsidR="00800DC8" w:rsidRPr="00FE7189" w:rsidRDefault="00391CAC"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800DC8">
        <w:rPr>
          <w:rFonts w:ascii="Times New Roman" w:hAnsi="Times New Roman" w:cs="Times New Roman"/>
          <w:bCs/>
          <w:sz w:val="24"/>
          <w:szCs w:val="24"/>
        </w:rPr>
        <w:t xml:space="preserve">Estos resultados están siendo muy influenciados por los datos correspondientes a </w:t>
      </w:r>
      <w:r w:rsidR="00FE7189" w:rsidRPr="00FE7189">
        <w:rPr>
          <w:rFonts w:ascii="Times New Roman" w:eastAsia="Times New Roman" w:hAnsi="Times New Roman" w:cs="Times New Roman"/>
          <w:i/>
          <w:color w:val="000000"/>
          <w:sz w:val="24"/>
          <w:szCs w:val="24"/>
          <w:lang w:eastAsia="es-MX"/>
        </w:rPr>
        <w:t>Medios de representación en el plano</w:t>
      </w:r>
      <w:r w:rsidR="00800DC8" w:rsidRPr="00FE7189">
        <w:rPr>
          <w:rFonts w:ascii="Times New Roman" w:hAnsi="Times New Roman" w:cs="Times New Roman"/>
          <w:bCs/>
          <w:i/>
          <w:sz w:val="24"/>
          <w:szCs w:val="24"/>
        </w:rPr>
        <w:t xml:space="preserve"> </w:t>
      </w:r>
      <w:r>
        <w:rPr>
          <w:rFonts w:ascii="Times New Roman" w:hAnsi="Times New Roman" w:cs="Times New Roman"/>
          <w:bCs/>
          <w:sz w:val="24"/>
          <w:szCs w:val="24"/>
        </w:rPr>
        <w:t>debido a</w:t>
      </w:r>
      <w:r w:rsidR="00FE7189">
        <w:rPr>
          <w:rFonts w:ascii="Times New Roman" w:hAnsi="Times New Roman" w:cs="Times New Roman"/>
          <w:bCs/>
          <w:sz w:val="24"/>
          <w:szCs w:val="24"/>
        </w:rPr>
        <w:t xml:space="preserve">; por un lado se obtiene la más baja evaluación al desempeño docente </w:t>
      </w:r>
      <w:r>
        <w:rPr>
          <w:rFonts w:ascii="Times New Roman" w:hAnsi="Times New Roman" w:cs="Times New Roman"/>
          <w:bCs/>
          <w:sz w:val="24"/>
          <w:szCs w:val="24"/>
        </w:rPr>
        <w:t xml:space="preserve">en las once asignaturas analizadas durante los dos periodos de la carrera </w:t>
      </w:r>
      <w:r w:rsidR="00FE7189">
        <w:rPr>
          <w:rFonts w:ascii="Times New Roman" w:hAnsi="Times New Roman" w:cs="Times New Roman"/>
          <w:bCs/>
          <w:sz w:val="24"/>
          <w:szCs w:val="24"/>
        </w:rPr>
        <w:t>(prácticamente 20 puntos por debajo del límite inferior del intervalo de confianza) y por otr</w:t>
      </w:r>
      <w:r>
        <w:rPr>
          <w:rFonts w:ascii="Times New Roman" w:hAnsi="Times New Roman" w:cs="Times New Roman"/>
          <w:bCs/>
          <w:sz w:val="24"/>
          <w:szCs w:val="24"/>
        </w:rPr>
        <w:t xml:space="preserve">o, </w:t>
      </w:r>
      <w:r w:rsidR="00FE7189">
        <w:rPr>
          <w:rFonts w:ascii="Times New Roman" w:hAnsi="Times New Roman" w:cs="Times New Roman"/>
          <w:bCs/>
          <w:sz w:val="24"/>
          <w:szCs w:val="24"/>
        </w:rPr>
        <w:t xml:space="preserve"> </w:t>
      </w:r>
      <w:r>
        <w:rPr>
          <w:rFonts w:ascii="Times New Roman" w:hAnsi="Times New Roman" w:cs="Times New Roman"/>
          <w:bCs/>
          <w:sz w:val="24"/>
          <w:szCs w:val="24"/>
        </w:rPr>
        <w:t>la antigüedad de experiencia docente es la segunda más alta del grupo de profesores que impartieron las asignaturas.</w:t>
      </w:r>
      <w:r w:rsidR="00514FF1">
        <w:rPr>
          <w:rFonts w:ascii="Times New Roman" w:hAnsi="Times New Roman" w:cs="Times New Roman"/>
          <w:bCs/>
          <w:sz w:val="24"/>
          <w:szCs w:val="24"/>
        </w:rPr>
        <w:t xml:space="preserve"> En un momento dado y siguiendo las recomendaciones de Berenson y cols (2001) pudiera eliminarse este caso con el propósito de ver si es posible construir un modelo de regresión no lineal que explique mejor el comportamiento de la relación entre las variables</w:t>
      </w:r>
      <w:r w:rsidR="001B69A7">
        <w:rPr>
          <w:rFonts w:ascii="Times New Roman" w:hAnsi="Times New Roman" w:cs="Times New Roman"/>
          <w:bCs/>
          <w:sz w:val="24"/>
          <w:szCs w:val="24"/>
        </w:rPr>
        <w:t>.</w:t>
      </w:r>
    </w:p>
    <w:p w14:paraId="01B4DBBB" w14:textId="19837E88" w:rsidR="00800DC8" w:rsidRPr="00800DC8" w:rsidRDefault="00800DC8" w:rsidP="002363C6">
      <w:pPr>
        <w:pStyle w:val="Prrafodelista"/>
        <w:numPr>
          <w:ilvl w:val="0"/>
          <w:numId w:val="12"/>
        </w:numPr>
        <w:spacing w:line="360" w:lineRule="auto"/>
        <w:jc w:val="both"/>
        <w:rPr>
          <w:rFonts w:ascii="Times New Roman" w:hAnsi="Times New Roman" w:cs="Times New Roman"/>
          <w:b/>
          <w:bCs/>
          <w:sz w:val="24"/>
          <w:szCs w:val="24"/>
        </w:rPr>
      </w:pPr>
      <w:r w:rsidRPr="00800DC8">
        <w:rPr>
          <w:rFonts w:ascii="Times New Roman" w:hAnsi="Times New Roman" w:cs="Times New Roman"/>
          <w:b/>
          <w:bCs/>
          <w:sz w:val="24"/>
          <w:szCs w:val="24"/>
        </w:rPr>
        <w:lastRenderedPageBreak/>
        <w:t>El caso de la licenciatura en D</w:t>
      </w:r>
      <w:r>
        <w:rPr>
          <w:rFonts w:ascii="Times New Roman" w:hAnsi="Times New Roman" w:cs="Times New Roman"/>
          <w:b/>
          <w:bCs/>
          <w:sz w:val="24"/>
          <w:szCs w:val="24"/>
        </w:rPr>
        <w:t>UP</w:t>
      </w:r>
    </w:p>
    <w:p w14:paraId="71158267" w14:textId="1EAB0141" w:rsidR="000C627A" w:rsidRDefault="007B43C8"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En la impartición de los cursos correspondientes a las 14 unidades de aprendizaje </w:t>
      </w:r>
      <w:r w:rsidR="00B82AE1">
        <w:rPr>
          <w:rFonts w:ascii="Times New Roman" w:hAnsi="Times New Roman" w:cs="Times New Roman"/>
          <w:bCs/>
          <w:sz w:val="24"/>
          <w:szCs w:val="24"/>
        </w:rPr>
        <w:t xml:space="preserve">de 16 que contempla el plan de estudios de </w:t>
      </w:r>
      <w:r>
        <w:rPr>
          <w:rFonts w:ascii="Times New Roman" w:hAnsi="Times New Roman" w:cs="Times New Roman"/>
          <w:bCs/>
          <w:sz w:val="24"/>
          <w:szCs w:val="24"/>
        </w:rPr>
        <w:t>la</w:t>
      </w:r>
      <w:r w:rsidR="00B82AE1">
        <w:rPr>
          <w:rFonts w:ascii="Times New Roman" w:hAnsi="Times New Roman" w:cs="Times New Roman"/>
          <w:bCs/>
          <w:sz w:val="24"/>
          <w:szCs w:val="24"/>
        </w:rPr>
        <w:t xml:space="preserve"> licenciatura en DUP en sus dos primeros periodos participaron 19 docentes. Estos docentes evalúan el rendimiento académico de los alumnos y lo que se reporta en la columna “Rendimiento Académico” de la Tabla 14, es el que corresponde a la cohorte en cada unidad de aprendizaje. En la columna “Desempeño docente” es el resultado de la evaluación que hacen los alumnos sobre el desempeño de los profesores que impartieron los cursos correspondientes. El dato de la antigüedad</w:t>
      </w:r>
      <w:r w:rsidR="000C627A">
        <w:rPr>
          <w:rFonts w:ascii="Times New Roman" w:hAnsi="Times New Roman" w:cs="Times New Roman"/>
          <w:bCs/>
          <w:sz w:val="24"/>
          <w:szCs w:val="24"/>
        </w:rPr>
        <w:t xml:space="preserve"> promedio que tienen los profesores que impartieron los cursos. Esta antigüedad es en la universidad y no necesariamente impartiendo la unidad de aprendizaje.</w:t>
      </w:r>
    </w:p>
    <w:p w14:paraId="0141DC7B" w14:textId="77777777" w:rsidR="00391CAC" w:rsidRDefault="00391CAC" w:rsidP="003B1236">
      <w:pPr>
        <w:spacing w:line="360" w:lineRule="auto"/>
        <w:rPr>
          <w:rFonts w:ascii="Times New Roman" w:hAnsi="Times New Roman" w:cs="Times New Roman"/>
          <w:bCs/>
          <w:sz w:val="24"/>
          <w:szCs w:val="24"/>
        </w:rPr>
      </w:pPr>
    </w:p>
    <w:tbl>
      <w:tblPr>
        <w:tblStyle w:val="ListTable3Accent6"/>
        <w:tblW w:w="8697" w:type="dxa"/>
        <w:tblLook w:val="04A0" w:firstRow="1" w:lastRow="0" w:firstColumn="1" w:lastColumn="0" w:noHBand="0" w:noVBand="1"/>
      </w:tblPr>
      <w:tblGrid>
        <w:gridCol w:w="440"/>
        <w:gridCol w:w="4233"/>
        <w:gridCol w:w="1486"/>
        <w:gridCol w:w="1289"/>
        <w:gridCol w:w="1249"/>
      </w:tblGrid>
      <w:tr w:rsidR="00391CAC" w:rsidRPr="00391CAC" w14:paraId="1559E828" w14:textId="77777777" w:rsidTr="007B43C8">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697" w:type="dxa"/>
            <w:gridSpan w:val="5"/>
            <w:tcBorders>
              <w:top w:val="single" w:sz="4" w:space="0" w:color="F79646" w:themeColor="accent6"/>
              <w:bottom w:val="single" w:sz="4" w:space="0" w:color="auto"/>
            </w:tcBorders>
            <w:noWrap/>
            <w:hideMark/>
          </w:tcPr>
          <w:p w14:paraId="24210C53" w14:textId="22E28CD1" w:rsidR="00391CAC" w:rsidRDefault="00391CAC" w:rsidP="007B43C8">
            <w:pPr>
              <w:spacing w:line="360" w:lineRule="auto"/>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Tabla 1</w:t>
            </w:r>
            <w:r>
              <w:rPr>
                <w:rFonts w:ascii="Times New Roman" w:eastAsia="Times New Roman" w:hAnsi="Times New Roman" w:cs="Times New Roman"/>
                <w:color w:val="000000"/>
                <w:lang w:eastAsia="es-MX"/>
              </w:rPr>
              <w:t>4:</w:t>
            </w:r>
          </w:p>
          <w:p w14:paraId="05AE9369" w14:textId="04B4B8C5" w:rsidR="00391CAC" w:rsidRPr="00391CAC" w:rsidRDefault="00391CAC" w:rsidP="007B43C8">
            <w:pPr>
              <w:spacing w:line="360" w:lineRule="auto"/>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Rendimiento académico de alumnos, desempeño y antigüedad docente por asignaturas</w:t>
            </w:r>
          </w:p>
        </w:tc>
      </w:tr>
      <w:tr w:rsidR="007B43C8" w:rsidRPr="00391CAC" w14:paraId="5219A5B2" w14:textId="77777777" w:rsidTr="007B43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auto"/>
              <w:bottom w:val="single" w:sz="4" w:space="0" w:color="auto"/>
            </w:tcBorders>
            <w:noWrap/>
            <w:hideMark/>
          </w:tcPr>
          <w:p w14:paraId="352C052C" w14:textId="77777777" w:rsidR="007B43C8" w:rsidRPr="00391CAC" w:rsidRDefault="007B43C8" w:rsidP="007B43C8">
            <w:pPr>
              <w:spacing w:line="276" w:lineRule="auto"/>
              <w:jc w:val="right"/>
              <w:rPr>
                <w:rFonts w:ascii="Calibri" w:eastAsia="Times New Roman" w:hAnsi="Calibri" w:cs="Times New Roman"/>
                <w:color w:val="000000"/>
                <w:lang w:eastAsia="es-MX"/>
              </w:rPr>
            </w:pPr>
            <w:r w:rsidRPr="00391CAC">
              <w:rPr>
                <w:rFonts w:ascii="Calibri" w:eastAsia="Times New Roman" w:hAnsi="Calibri" w:cs="Times New Roman"/>
                <w:color w:val="000000"/>
                <w:lang w:eastAsia="es-MX"/>
              </w:rPr>
              <w:t> </w:t>
            </w:r>
          </w:p>
        </w:tc>
        <w:tc>
          <w:tcPr>
            <w:tcW w:w="4233" w:type="dxa"/>
            <w:tcBorders>
              <w:top w:val="single" w:sz="4" w:space="0" w:color="auto"/>
              <w:bottom w:val="single" w:sz="4" w:space="0" w:color="auto"/>
            </w:tcBorders>
            <w:noWrap/>
            <w:vAlign w:val="center"/>
            <w:hideMark/>
          </w:tcPr>
          <w:p w14:paraId="74CF3D20" w14:textId="282B57FB" w:rsidR="007B43C8" w:rsidRPr="00391CAC" w:rsidRDefault="007B43C8" w:rsidP="007B43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 </w:t>
            </w:r>
            <w:r>
              <w:rPr>
                <w:rFonts w:ascii="Times New Roman" w:eastAsia="Times New Roman" w:hAnsi="Times New Roman" w:cs="Times New Roman"/>
                <w:color w:val="000000"/>
                <w:lang w:eastAsia="es-MX"/>
              </w:rPr>
              <w:t>UNIDADES DE APRENDIZAJE</w:t>
            </w:r>
          </w:p>
        </w:tc>
        <w:tc>
          <w:tcPr>
            <w:tcW w:w="1486" w:type="dxa"/>
            <w:tcBorders>
              <w:top w:val="single" w:sz="4" w:space="0" w:color="auto"/>
              <w:bottom w:val="single" w:sz="4" w:space="0" w:color="auto"/>
            </w:tcBorders>
            <w:hideMark/>
          </w:tcPr>
          <w:p w14:paraId="4D68F427" w14:textId="513E775A" w:rsidR="007B43C8" w:rsidRPr="00391CAC"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6345FD">
              <w:rPr>
                <w:rFonts w:ascii="Calibri" w:eastAsia="Times New Roman" w:hAnsi="Calibri" w:cs="Times New Roman"/>
                <w:color w:val="000000"/>
                <w:lang w:eastAsia="es-MX"/>
              </w:rPr>
              <w:t>R</w:t>
            </w:r>
            <w:r>
              <w:rPr>
                <w:rFonts w:ascii="Calibri" w:eastAsia="Times New Roman" w:hAnsi="Calibri" w:cs="Times New Roman"/>
                <w:color w:val="000000"/>
                <w:lang w:eastAsia="es-MX"/>
              </w:rPr>
              <w:t xml:space="preserve">endimiento </w:t>
            </w:r>
            <w:r w:rsidRPr="006345FD">
              <w:rPr>
                <w:rFonts w:ascii="Calibri" w:eastAsia="Times New Roman" w:hAnsi="Calibri" w:cs="Times New Roman"/>
                <w:color w:val="000000"/>
                <w:lang w:eastAsia="es-MX"/>
              </w:rPr>
              <w:t>A</w:t>
            </w:r>
            <w:r>
              <w:rPr>
                <w:rFonts w:ascii="Calibri" w:eastAsia="Times New Roman" w:hAnsi="Calibri" w:cs="Times New Roman"/>
                <w:color w:val="000000"/>
                <w:lang w:eastAsia="es-MX"/>
              </w:rPr>
              <w:t>cadémico</w:t>
            </w:r>
          </w:p>
        </w:tc>
        <w:tc>
          <w:tcPr>
            <w:tcW w:w="1289" w:type="dxa"/>
            <w:tcBorders>
              <w:top w:val="single" w:sz="4" w:space="0" w:color="auto"/>
              <w:bottom w:val="single" w:sz="4" w:space="0" w:color="auto"/>
            </w:tcBorders>
            <w:hideMark/>
          </w:tcPr>
          <w:p w14:paraId="0C1B14EE" w14:textId="77777777" w:rsidR="007B43C8" w:rsidRDefault="007B43C8" w:rsidP="007B43C8">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D</w:t>
            </w:r>
            <w:r>
              <w:rPr>
                <w:rFonts w:ascii="Calibri" w:eastAsia="Times New Roman" w:hAnsi="Calibri" w:cs="Times New Roman"/>
                <w:color w:val="000000"/>
                <w:lang w:eastAsia="es-MX"/>
              </w:rPr>
              <w:t>esempeño</w:t>
            </w:r>
          </w:p>
          <w:p w14:paraId="4E6B5C00" w14:textId="05FEA2B1" w:rsidR="007B43C8" w:rsidRPr="00391CAC"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6345FD">
              <w:rPr>
                <w:rFonts w:ascii="Calibri" w:eastAsia="Times New Roman" w:hAnsi="Calibri" w:cs="Times New Roman"/>
                <w:color w:val="000000"/>
                <w:lang w:eastAsia="es-MX"/>
              </w:rPr>
              <w:t>D</w:t>
            </w:r>
            <w:r>
              <w:rPr>
                <w:rFonts w:ascii="Calibri" w:eastAsia="Times New Roman" w:hAnsi="Calibri" w:cs="Times New Roman"/>
                <w:color w:val="000000"/>
                <w:lang w:eastAsia="es-MX"/>
              </w:rPr>
              <w:t>ocente</w:t>
            </w:r>
          </w:p>
        </w:tc>
        <w:tc>
          <w:tcPr>
            <w:tcW w:w="1249" w:type="dxa"/>
            <w:tcBorders>
              <w:top w:val="single" w:sz="4" w:space="0" w:color="auto"/>
              <w:bottom w:val="single" w:sz="4" w:space="0" w:color="auto"/>
            </w:tcBorders>
            <w:hideMark/>
          </w:tcPr>
          <w:p w14:paraId="07B5520E" w14:textId="59200537" w:rsidR="007B43C8" w:rsidRPr="00391CAC" w:rsidRDefault="007B43C8"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Pr>
                <w:rFonts w:ascii="Calibri" w:eastAsia="Times New Roman" w:hAnsi="Calibri" w:cs="Times New Roman"/>
                <w:color w:val="000000"/>
                <w:lang w:eastAsia="es-MX"/>
              </w:rPr>
              <w:t>Antigüedad</w:t>
            </w:r>
          </w:p>
        </w:tc>
      </w:tr>
      <w:tr w:rsidR="007B43C8" w:rsidRPr="00391CAC" w14:paraId="11D75B83" w14:textId="77777777" w:rsidTr="007B43C8">
        <w:trPr>
          <w:trHeight w:val="300"/>
        </w:trPr>
        <w:tc>
          <w:tcPr>
            <w:cnfStyle w:val="001000000000" w:firstRow="0" w:lastRow="0" w:firstColumn="1" w:lastColumn="0" w:oddVBand="0" w:evenVBand="0" w:oddHBand="0" w:evenHBand="0" w:firstRowFirstColumn="0" w:firstRowLastColumn="0" w:lastRowFirstColumn="0" w:lastRowLastColumn="0"/>
            <w:tcW w:w="440" w:type="dxa"/>
            <w:tcBorders>
              <w:top w:val="single" w:sz="4" w:space="0" w:color="auto"/>
            </w:tcBorders>
            <w:noWrap/>
            <w:hideMark/>
          </w:tcPr>
          <w:p w14:paraId="3CF689DC" w14:textId="77777777" w:rsidR="00391CAC" w:rsidRPr="00391CAC" w:rsidRDefault="00391CAC" w:rsidP="007B43C8">
            <w:pPr>
              <w:spacing w:line="276" w:lineRule="auto"/>
              <w:jc w:val="right"/>
              <w:rPr>
                <w:rFonts w:ascii="Calibri" w:eastAsia="Times New Roman" w:hAnsi="Calibri" w:cs="Times New Roman"/>
                <w:color w:val="000000"/>
                <w:lang w:eastAsia="es-MX"/>
              </w:rPr>
            </w:pPr>
            <w:r w:rsidRPr="00391CAC">
              <w:rPr>
                <w:rFonts w:ascii="Calibri" w:eastAsia="Times New Roman" w:hAnsi="Calibri" w:cs="Times New Roman"/>
                <w:color w:val="000000"/>
                <w:lang w:eastAsia="es-MX"/>
              </w:rPr>
              <w:t>1</w:t>
            </w:r>
          </w:p>
        </w:tc>
        <w:tc>
          <w:tcPr>
            <w:tcW w:w="4233" w:type="dxa"/>
            <w:tcBorders>
              <w:top w:val="single" w:sz="4" w:space="0" w:color="auto"/>
            </w:tcBorders>
            <w:noWrap/>
            <w:hideMark/>
          </w:tcPr>
          <w:p w14:paraId="5913A1D9" w14:textId="77777777" w:rsidR="00391CAC" w:rsidRPr="00391CAC" w:rsidRDefault="00391CAC" w:rsidP="007B43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Taller de diseño urbano de paisaje I</w:t>
            </w:r>
          </w:p>
        </w:tc>
        <w:tc>
          <w:tcPr>
            <w:tcW w:w="1486" w:type="dxa"/>
            <w:tcBorders>
              <w:top w:val="single" w:sz="4" w:space="0" w:color="auto"/>
            </w:tcBorders>
            <w:hideMark/>
          </w:tcPr>
          <w:p w14:paraId="6134F55F"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7.91</w:t>
            </w:r>
          </w:p>
        </w:tc>
        <w:tc>
          <w:tcPr>
            <w:tcW w:w="1289" w:type="dxa"/>
            <w:tcBorders>
              <w:top w:val="single" w:sz="4" w:space="0" w:color="auto"/>
            </w:tcBorders>
            <w:hideMark/>
          </w:tcPr>
          <w:p w14:paraId="47B61ACC"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76</w:t>
            </w:r>
          </w:p>
        </w:tc>
        <w:tc>
          <w:tcPr>
            <w:tcW w:w="1249" w:type="dxa"/>
            <w:tcBorders>
              <w:top w:val="single" w:sz="4" w:space="0" w:color="auto"/>
            </w:tcBorders>
            <w:hideMark/>
          </w:tcPr>
          <w:p w14:paraId="302EE36B"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8.16</w:t>
            </w:r>
          </w:p>
        </w:tc>
      </w:tr>
      <w:tr w:rsidR="007B43C8" w:rsidRPr="00391CAC" w14:paraId="103EAEBB" w14:textId="77777777" w:rsidTr="007B43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0" w:type="dxa"/>
            <w:noWrap/>
            <w:hideMark/>
          </w:tcPr>
          <w:p w14:paraId="0DDE69B0" w14:textId="77777777" w:rsidR="00391CAC" w:rsidRPr="00391CAC" w:rsidRDefault="00391CAC" w:rsidP="007B43C8">
            <w:pPr>
              <w:spacing w:line="276" w:lineRule="auto"/>
              <w:jc w:val="right"/>
              <w:rPr>
                <w:rFonts w:ascii="Calibri" w:eastAsia="Times New Roman" w:hAnsi="Calibri" w:cs="Times New Roman"/>
                <w:color w:val="000000"/>
                <w:lang w:eastAsia="es-MX"/>
              </w:rPr>
            </w:pPr>
            <w:r w:rsidRPr="00391CAC">
              <w:rPr>
                <w:rFonts w:ascii="Calibri" w:eastAsia="Times New Roman" w:hAnsi="Calibri" w:cs="Times New Roman"/>
                <w:color w:val="000000"/>
                <w:lang w:eastAsia="es-MX"/>
              </w:rPr>
              <w:t>2</w:t>
            </w:r>
          </w:p>
        </w:tc>
        <w:tc>
          <w:tcPr>
            <w:tcW w:w="4233" w:type="dxa"/>
            <w:noWrap/>
            <w:hideMark/>
          </w:tcPr>
          <w:p w14:paraId="28894826" w14:textId="77777777" w:rsidR="00391CAC" w:rsidRPr="00391CAC" w:rsidRDefault="00391CAC" w:rsidP="007B43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Dibujo del paisaje urbano</w:t>
            </w:r>
          </w:p>
        </w:tc>
        <w:tc>
          <w:tcPr>
            <w:tcW w:w="1486" w:type="dxa"/>
            <w:hideMark/>
          </w:tcPr>
          <w:p w14:paraId="35A1B106"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8.25</w:t>
            </w:r>
          </w:p>
        </w:tc>
        <w:tc>
          <w:tcPr>
            <w:tcW w:w="1289" w:type="dxa"/>
            <w:hideMark/>
          </w:tcPr>
          <w:p w14:paraId="1710F724"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74</w:t>
            </w:r>
          </w:p>
        </w:tc>
        <w:tc>
          <w:tcPr>
            <w:tcW w:w="1249" w:type="dxa"/>
            <w:hideMark/>
          </w:tcPr>
          <w:p w14:paraId="00E5F041"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1.8</w:t>
            </w:r>
          </w:p>
        </w:tc>
      </w:tr>
      <w:tr w:rsidR="007B43C8" w:rsidRPr="00391CAC" w14:paraId="659E5AD8" w14:textId="77777777" w:rsidTr="007B43C8">
        <w:trPr>
          <w:trHeight w:val="300"/>
        </w:trPr>
        <w:tc>
          <w:tcPr>
            <w:cnfStyle w:val="001000000000" w:firstRow="0" w:lastRow="0" w:firstColumn="1" w:lastColumn="0" w:oddVBand="0" w:evenVBand="0" w:oddHBand="0" w:evenHBand="0" w:firstRowFirstColumn="0" w:firstRowLastColumn="0" w:lastRowFirstColumn="0" w:lastRowLastColumn="0"/>
            <w:tcW w:w="440" w:type="dxa"/>
            <w:noWrap/>
            <w:hideMark/>
          </w:tcPr>
          <w:p w14:paraId="4FC1E97E" w14:textId="77777777" w:rsidR="00391CAC" w:rsidRPr="00391CAC" w:rsidRDefault="00391CAC" w:rsidP="007B43C8">
            <w:pPr>
              <w:spacing w:line="276" w:lineRule="auto"/>
              <w:jc w:val="right"/>
              <w:rPr>
                <w:rFonts w:ascii="Calibri" w:eastAsia="Times New Roman" w:hAnsi="Calibri" w:cs="Times New Roman"/>
                <w:color w:val="000000"/>
                <w:lang w:eastAsia="es-MX"/>
              </w:rPr>
            </w:pPr>
            <w:r w:rsidRPr="00391CAC">
              <w:rPr>
                <w:rFonts w:ascii="Calibri" w:eastAsia="Times New Roman" w:hAnsi="Calibri" w:cs="Times New Roman"/>
                <w:color w:val="000000"/>
                <w:lang w:eastAsia="es-MX"/>
              </w:rPr>
              <w:t>3</w:t>
            </w:r>
          </w:p>
        </w:tc>
        <w:tc>
          <w:tcPr>
            <w:tcW w:w="4233" w:type="dxa"/>
            <w:noWrap/>
            <w:hideMark/>
          </w:tcPr>
          <w:p w14:paraId="5D275688" w14:textId="77777777" w:rsidR="00391CAC" w:rsidRPr="00391CAC" w:rsidRDefault="00391CAC" w:rsidP="007B43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Introducción al estudio del medio ambiente</w:t>
            </w:r>
          </w:p>
        </w:tc>
        <w:tc>
          <w:tcPr>
            <w:tcW w:w="1486" w:type="dxa"/>
            <w:hideMark/>
          </w:tcPr>
          <w:p w14:paraId="492F9A23"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7.83</w:t>
            </w:r>
          </w:p>
        </w:tc>
        <w:tc>
          <w:tcPr>
            <w:tcW w:w="1289" w:type="dxa"/>
            <w:hideMark/>
          </w:tcPr>
          <w:p w14:paraId="42391EC9"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84</w:t>
            </w:r>
          </w:p>
        </w:tc>
        <w:tc>
          <w:tcPr>
            <w:tcW w:w="1249" w:type="dxa"/>
            <w:hideMark/>
          </w:tcPr>
          <w:p w14:paraId="245ED858"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0.3</w:t>
            </w:r>
          </w:p>
        </w:tc>
      </w:tr>
      <w:tr w:rsidR="007B43C8" w:rsidRPr="00391CAC" w14:paraId="442A954B" w14:textId="77777777" w:rsidTr="007B43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0" w:type="dxa"/>
            <w:noWrap/>
            <w:hideMark/>
          </w:tcPr>
          <w:p w14:paraId="070FF720" w14:textId="77777777" w:rsidR="00391CAC" w:rsidRPr="00391CAC" w:rsidRDefault="00391CAC" w:rsidP="007B43C8">
            <w:pPr>
              <w:spacing w:line="276" w:lineRule="auto"/>
              <w:jc w:val="right"/>
              <w:rPr>
                <w:rFonts w:ascii="Calibri" w:eastAsia="Times New Roman" w:hAnsi="Calibri" w:cs="Times New Roman"/>
                <w:color w:val="000000"/>
                <w:lang w:eastAsia="es-MX"/>
              </w:rPr>
            </w:pPr>
            <w:r w:rsidRPr="00391CAC">
              <w:rPr>
                <w:rFonts w:ascii="Calibri" w:eastAsia="Times New Roman" w:hAnsi="Calibri" w:cs="Times New Roman"/>
                <w:color w:val="000000"/>
                <w:lang w:eastAsia="es-MX"/>
              </w:rPr>
              <w:t>4</w:t>
            </w:r>
          </w:p>
        </w:tc>
        <w:tc>
          <w:tcPr>
            <w:tcW w:w="4233" w:type="dxa"/>
            <w:noWrap/>
            <w:hideMark/>
          </w:tcPr>
          <w:p w14:paraId="0A883443" w14:textId="77777777" w:rsidR="00391CAC" w:rsidRPr="00391CAC" w:rsidRDefault="00391CAC" w:rsidP="007B43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estructura y funcionamiento de ecosistemas</w:t>
            </w:r>
          </w:p>
        </w:tc>
        <w:tc>
          <w:tcPr>
            <w:tcW w:w="1486" w:type="dxa"/>
            <w:hideMark/>
          </w:tcPr>
          <w:p w14:paraId="26499335"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7.79</w:t>
            </w:r>
          </w:p>
        </w:tc>
        <w:tc>
          <w:tcPr>
            <w:tcW w:w="1289" w:type="dxa"/>
            <w:hideMark/>
          </w:tcPr>
          <w:p w14:paraId="6FA119D0"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97</w:t>
            </w:r>
          </w:p>
        </w:tc>
        <w:tc>
          <w:tcPr>
            <w:tcW w:w="1249" w:type="dxa"/>
            <w:hideMark/>
          </w:tcPr>
          <w:p w14:paraId="12683E4C"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0.3</w:t>
            </w:r>
          </w:p>
        </w:tc>
      </w:tr>
      <w:tr w:rsidR="007B43C8" w:rsidRPr="00391CAC" w14:paraId="179E2F7C" w14:textId="77777777" w:rsidTr="007B43C8">
        <w:trPr>
          <w:trHeight w:val="300"/>
        </w:trPr>
        <w:tc>
          <w:tcPr>
            <w:cnfStyle w:val="001000000000" w:firstRow="0" w:lastRow="0" w:firstColumn="1" w:lastColumn="0" w:oddVBand="0" w:evenVBand="0" w:oddHBand="0" w:evenHBand="0" w:firstRowFirstColumn="0" w:firstRowLastColumn="0" w:lastRowFirstColumn="0" w:lastRowLastColumn="0"/>
            <w:tcW w:w="440" w:type="dxa"/>
            <w:noWrap/>
            <w:hideMark/>
          </w:tcPr>
          <w:p w14:paraId="30AE341D" w14:textId="77777777" w:rsidR="00391CAC" w:rsidRPr="00391CAC" w:rsidRDefault="00391CAC" w:rsidP="007B43C8">
            <w:pPr>
              <w:spacing w:line="276" w:lineRule="auto"/>
              <w:jc w:val="right"/>
              <w:rPr>
                <w:rFonts w:ascii="Calibri" w:eastAsia="Times New Roman" w:hAnsi="Calibri" w:cs="Times New Roman"/>
                <w:color w:val="000000"/>
                <w:lang w:eastAsia="es-MX"/>
              </w:rPr>
            </w:pPr>
            <w:r w:rsidRPr="00391CAC">
              <w:rPr>
                <w:rFonts w:ascii="Calibri" w:eastAsia="Times New Roman" w:hAnsi="Calibri" w:cs="Times New Roman"/>
                <w:color w:val="000000"/>
                <w:lang w:eastAsia="es-MX"/>
              </w:rPr>
              <w:t>5</w:t>
            </w:r>
          </w:p>
        </w:tc>
        <w:tc>
          <w:tcPr>
            <w:tcW w:w="4233" w:type="dxa"/>
            <w:noWrap/>
            <w:hideMark/>
          </w:tcPr>
          <w:p w14:paraId="26121C85" w14:textId="77777777" w:rsidR="00391CAC" w:rsidRPr="00391CAC" w:rsidRDefault="00391CAC" w:rsidP="007B43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Sustentabilidad</w:t>
            </w:r>
          </w:p>
        </w:tc>
        <w:tc>
          <w:tcPr>
            <w:tcW w:w="1486" w:type="dxa"/>
            <w:hideMark/>
          </w:tcPr>
          <w:p w14:paraId="1FDCE7F2"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7.76</w:t>
            </w:r>
          </w:p>
        </w:tc>
        <w:tc>
          <w:tcPr>
            <w:tcW w:w="1289" w:type="dxa"/>
            <w:hideMark/>
          </w:tcPr>
          <w:p w14:paraId="78BAE948"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93</w:t>
            </w:r>
          </w:p>
        </w:tc>
        <w:tc>
          <w:tcPr>
            <w:tcW w:w="1249" w:type="dxa"/>
            <w:hideMark/>
          </w:tcPr>
          <w:p w14:paraId="35945C1A"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12.75</w:t>
            </w:r>
          </w:p>
        </w:tc>
      </w:tr>
      <w:tr w:rsidR="007B43C8" w:rsidRPr="00391CAC" w14:paraId="12E79B07" w14:textId="77777777" w:rsidTr="007B43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0" w:type="dxa"/>
            <w:noWrap/>
            <w:hideMark/>
          </w:tcPr>
          <w:p w14:paraId="2A9059F3" w14:textId="77777777" w:rsidR="00391CAC" w:rsidRPr="00391CAC" w:rsidRDefault="00391CAC" w:rsidP="007B43C8">
            <w:pPr>
              <w:spacing w:line="276" w:lineRule="auto"/>
              <w:jc w:val="right"/>
              <w:rPr>
                <w:rFonts w:ascii="Calibri" w:eastAsia="Times New Roman" w:hAnsi="Calibri" w:cs="Times New Roman"/>
                <w:color w:val="000000"/>
                <w:lang w:eastAsia="es-MX"/>
              </w:rPr>
            </w:pPr>
            <w:r w:rsidRPr="00391CAC">
              <w:rPr>
                <w:rFonts w:ascii="Calibri" w:eastAsia="Times New Roman" w:hAnsi="Calibri" w:cs="Times New Roman"/>
                <w:color w:val="000000"/>
                <w:lang w:eastAsia="es-MX"/>
              </w:rPr>
              <w:t>6</w:t>
            </w:r>
          </w:p>
        </w:tc>
        <w:tc>
          <w:tcPr>
            <w:tcW w:w="4233" w:type="dxa"/>
            <w:noWrap/>
            <w:hideMark/>
          </w:tcPr>
          <w:p w14:paraId="7ED79810" w14:textId="77777777" w:rsidR="00391CAC" w:rsidRPr="00391CAC" w:rsidRDefault="00391CAC" w:rsidP="007B43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Matemáticas aplicadas</w:t>
            </w:r>
          </w:p>
        </w:tc>
        <w:tc>
          <w:tcPr>
            <w:tcW w:w="1486" w:type="dxa"/>
            <w:hideMark/>
          </w:tcPr>
          <w:p w14:paraId="2FF1A762"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5.61</w:t>
            </w:r>
          </w:p>
        </w:tc>
        <w:tc>
          <w:tcPr>
            <w:tcW w:w="1289" w:type="dxa"/>
            <w:hideMark/>
          </w:tcPr>
          <w:p w14:paraId="64AF20F5"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80</w:t>
            </w:r>
          </w:p>
        </w:tc>
        <w:tc>
          <w:tcPr>
            <w:tcW w:w="1249" w:type="dxa"/>
            <w:hideMark/>
          </w:tcPr>
          <w:p w14:paraId="2D904659"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4.36</w:t>
            </w:r>
          </w:p>
        </w:tc>
      </w:tr>
      <w:tr w:rsidR="007B43C8" w:rsidRPr="00391CAC" w14:paraId="1CF687D7" w14:textId="77777777" w:rsidTr="007B43C8">
        <w:trPr>
          <w:trHeight w:val="300"/>
        </w:trPr>
        <w:tc>
          <w:tcPr>
            <w:cnfStyle w:val="001000000000" w:firstRow="0" w:lastRow="0" w:firstColumn="1" w:lastColumn="0" w:oddVBand="0" w:evenVBand="0" w:oddHBand="0" w:evenHBand="0" w:firstRowFirstColumn="0" w:firstRowLastColumn="0" w:lastRowFirstColumn="0" w:lastRowLastColumn="0"/>
            <w:tcW w:w="440" w:type="dxa"/>
            <w:noWrap/>
            <w:hideMark/>
          </w:tcPr>
          <w:p w14:paraId="5A331516" w14:textId="77777777" w:rsidR="00391CAC" w:rsidRPr="00391CAC" w:rsidRDefault="00391CAC" w:rsidP="007B43C8">
            <w:pPr>
              <w:spacing w:line="276" w:lineRule="auto"/>
              <w:jc w:val="right"/>
              <w:rPr>
                <w:rFonts w:ascii="Calibri" w:eastAsia="Times New Roman" w:hAnsi="Calibri" w:cs="Times New Roman"/>
                <w:color w:val="000000"/>
                <w:lang w:eastAsia="es-MX"/>
              </w:rPr>
            </w:pPr>
            <w:r w:rsidRPr="00391CAC">
              <w:rPr>
                <w:rFonts w:ascii="Calibri" w:eastAsia="Times New Roman" w:hAnsi="Calibri" w:cs="Times New Roman"/>
                <w:color w:val="000000"/>
                <w:lang w:eastAsia="es-MX"/>
              </w:rPr>
              <w:t>7</w:t>
            </w:r>
          </w:p>
        </w:tc>
        <w:tc>
          <w:tcPr>
            <w:tcW w:w="4233" w:type="dxa"/>
            <w:noWrap/>
            <w:hideMark/>
          </w:tcPr>
          <w:p w14:paraId="74BCDA03" w14:textId="77777777" w:rsidR="00391CAC" w:rsidRPr="00391CAC" w:rsidRDefault="00391CAC" w:rsidP="007B43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Topografía</w:t>
            </w:r>
          </w:p>
        </w:tc>
        <w:tc>
          <w:tcPr>
            <w:tcW w:w="1486" w:type="dxa"/>
            <w:hideMark/>
          </w:tcPr>
          <w:p w14:paraId="0C0489F2"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8.34</w:t>
            </w:r>
          </w:p>
        </w:tc>
        <w:tc>
          <w:tcPr>
            <w:tcW w:w="1289" w:type="dxa"/>
            <w:hideMark/>
          </w:tcPr>
          <w:p w14:paraId="252CCF46"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89</w:t>
            </w:r>
          </w:p>
        </w:tc>
        <w:tc>
          <w:tcPr>
            <w:tcW w:w="1249" w:type="dxa"/>
            <w:hideMark/>
          </w:tcPr>
          <w:p w14:paraId="43187969"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1.8</w:t>
            </w:r>
          </w:p>
        </w:tc>
      </w:tr>
      <w:tr w:rsidR="007B43C8" w:rsidRPr="00391CAC" w14:paraId="2457D45F" w14:textId="77777777" w:rsidTr="007B43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0" w:type="dxa"/>
            <w:noWrap/>
            <w:hideMark/>
          </w:tcPr>
          <w:p w14:paraId="38C5FCA7" w14:textId="77777777" w:rsidR="00391CAC" w:rsidRPr="00391CAC" w:rsidRDefault="00391CAC" w:rsidP="007B43C8">
            <w:pPr>
              <w:spacing w:line="276" w:lineRule="auto"/>
              <w:jc w:val="right"/>
              <w:rPr>
                <w:rFonts w:ascii="Calibri" w:eastAsia="Times New Roman" w:hAnsi="Calibri" w:cs="Times New Roman"/>
                <w:color w:val="000000"/>
                <w:lang w:eastAsia="es-MX"/>
              </w:rPr>
            </w:pPr>
            <w:r w:rsidRPr="00391CAC">
              <w:rPr>
                <w:rFonts w:ascii="Calibri" w:eastAsia="Times New Roman" w:hAnsi="Calibri" w:cs="Times New Roman"/>
                <w:color w:val="000000"/>
                <w:lang w:eastAsia="es-MX"/>
              </w:rPr>
              <w:t>8</w:t>
            </w:r>
          </w:p>
        </w:tc>
        <w:tc>
          <w:tcPr>
            <w:tcW w:w="4233" w:type="dxa"/>
            <w:noWrap/>
            <w:hideMark/>
          </w:tcPr>
          <w:p w14:paraId="1E7A5954" w14:textId="77777777" w:rsidR="00391CAC" w:rsidRPr="00391CAC" w:rsidRDefault="00391CAC" w:rsidP="007B43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Técnicas del pensamiento</w:t>
            </w:r>
          </w:p>
        </w:tc>
        <w:tc>
          <w:tcPr>
            <w:tcW w:w="1486" w:type="dxa"/>
            <w:hideMark/>
          </w:tcPr>
          <w:p w14:paraId="56C1AA01"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7.7</w:t>
            </w:r>
          </w:p>
        </w:tc>
        <w:tc>
          <w:tcPr>
            <w:tcW w:w="1289" w:type="dxa"/>
            <w:hideMark/>
          </w:tcPr>
          <w:p w14:paraId="5EA3D4EF"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84</w:t>
            </w:r>
          </w:p>
        </w:tc>
        <w:tc>
          <w:tcPr>
            <w:tcW w:w="1249" w:type="dxa"/>
            <w:hideMark/>
          </w:tcPr>
          <w:p w14:paraId="4E2CB63B"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2.13</w:t>
            </w:r>
          </w:p>
        </w:tc>
      </w:tr>
      <w:tr w:rsidR="007B43C8" w:rsidRPr="00391CAC" w14:paraId="3B696CC5" w14:textId="77777777" w:rsidTr="007B43C8">
        <w:trPr>
          <w:trHeight w:val="300"/>
        </w:trPr>
        <w:tc>
          <w:tcPr>
            <w:cnfStyle w:val="001000000000" w:firstRow="0" w:lastRow="0" w:firstColumn="1" w:lastColumn="0" w:oddVBand="0" w:evenVBand="0" w:oddHBand="0" w:evenHBand="0" w:firstRowFirstColumn="0" w:firstRowLastColumn="0" w:lastRowFirstColumn="0" w:lastRowLastColumn="0"/>
            <w:tcW w:w="440" w:type="dxa"/>
            <w:noWrap/>
            <w:hideMark/>
          </w:tcPr>
          <w:p w14:paraId="587AF94E" w14:textId="77777777" w:rsidR="00391CAC" w:rsidRPr="00391CAC" w:rsidRDefault="00391CAC" w:rsidP="007B43C8">
            <w:pPr>
              <w:spacing w:line="276" w:lineRule="auto"/>
              <w:jc w:val="right"/>
              <w:rPr>
                <w:rFonts w:ascii="Calibri" w:eastAsia="Times New Roman" w:hAnsi="Calibri" w:cs="Times New Roman"/>
                <w:color w:val="000000"/>
                <w:lang w:eastAsia="es-MX"/>
              </w:rPr>
            </w:pPr>
            <w:r w:rsidRPr="00391CAC">
              <w:rPr>
                <w:rFonts w:ascii="Calibri" w:eastAsia="Times New Roman" w:hAnsi="Calibri" w:cs="Times New Roman"/>
                <w:color w:val="000000"/>
                <w:lang w:eastAsia="es-MX"/>
              </w:rPr>
              <w:t>9</w:t>
            </w:r>
          </w:p>
        </w:tc>
        <w:tc>
          <w:tcPr>
            <w:tcW w:w="4233" w:type="dxa"/>
            <w:noWrap/>
            <w:hideMark/>
          </w:tcPr>
          <w:p w14:paraId="00BB1967" w14:textId="77777777" w:rsidR="00391CAC" w:rsidRPr="00391CAC" w:rsidRDefault="00391CAC" w:rsidP="007B43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Taller de Diseño Urbano y del Paisaje II</w:t>
            </w:r>
          </w:p>
        </w:tc>
        <w:tc>
          <w:tcPr>
            <w:tcW w:w="1486" w:type="dxa"/>
            <w:hideMark/>
          </w:tcPr>
          <w:p w14:paraId="24CA45C2"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8.39</w:t>
            </w:r>
          </w:p>
        </w:tc>
        <w:tc>
          <w:tcPr>
            <w:tcW w:w="1289" w:type="dxa"/>
            <w:hideMark/>
          </w:tcPr>
          <w:p w14:paraId="7EE2E5F0"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84</w:t>
            </w:r>
          </w:p>
        </w:tc>
        <w:tc>
          <w:tcPr>
            <w:tcW w:w="1249" w:type="dxa"/>
            <w:hideMark/>
          </w:tcPr>
          <w:p w14:paraId="619C11F2"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5.07</w:t>
            </w:r>
          </w:p>
        </w:tc>
      </w:tr>
      <w:tr w:rsidR="007B43C8" w:rsidRPr="00391CAC" w14:paraId="6EE9EB37" w14:textId="77777777" w:rsidTr="007B43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0" w:type="dxa"/>
            <w:noWrap/>
            <w:hideMark/>
          </w:tcPr>
          <w:p w14:paraId="567EA512" w14:textId="77777777" w:rsidR="00391CAC" w:rsidRPr="00391CAC" w:rsidRDefault="00391CAC" w:rsidP="007B43C8">
            <w:pPr>
              <w:spacing w:line="276" w:lineRule="auto"/>
              <w:jc w:val="right"/>
              <w:rPr>
                <w:rFonts w:ascii="Calibri" w:eastAsia="Times New Roman" w:hAnsi="Calibri" w:cs="Times New Roman"/>
                <w:color w:val="000000"/>
                <w:lang w:eastAsia="es-MX"/>
              </w:rPr>
            </w:pPr>
            <w:r w:rsidRPr="00391CAC">
              <w:rPr>
                <w:rFonts w:ascii="Calibri" w:eastAsia="Times New Roman" w:hAnsi="Calibri" w:cs="Times New Roman"/>
                <w:color w:val="000000"/>
                <w:lang w:eastAsia="es-MX"/>
              </w:rPr>
              <w:t>10</w:t>
            </w:r>
          </w:p>
        </w:tc>
        <w:tc>
          <w:tcPr>
            <w:tcW w:w="4233" w:type="dxa"/>
            <w:noWrap/>
            <w:hideMark/>
          </w:tcPr>
          <w:p w14:paraId="538F85C5" w14:textId="77777777" w:rsidR="00391CAC" w:rsidRPr="00391CAC" w:rsidRDefault="00391CAC" w:rsidP="007B43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Geometría Descriptiva</w:t>
            </w:r>
          </w:p>
        </w:tc>
        <w:tc>
          <w:tcPr>
            <w:tcW w:w="1486" w:type="dxa"/>
            <w:hideMark/>
          </w:tcPr>
          <w:p w14:paraId="440BB56D"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7.51</w:t>
            </w:r>
          </w:p>
        </w:tc>
        <w:tc>
          <w:tcPr>
            <w:tcW w:w="1289" w:type="dxa"/>
            <w:hideMark/>
          </w:tcPr>
          <w:p w14:paraId="103BEECB"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66</w:t>
            </w:r>
          </w:p>
        </w:tc>
        <w:tc>
          <w:tcPr>
            <w:tcW w:w="1249" w:type="dxa"/>
            <w:hideMark/>
          </w:tcPr>
          <w:p w14:paraId="66448D34"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13.23</w:t>
            </w:r>
          </w:p>
        </w:tc>
      </w:tr>
      <w:tr w:rsidR="007B43C8" w:rsidRPr="00391CAC" w14:paraId="52D16A0C" w14:textId="77777777" w:rsidTr="007B43C8">
        <w:trPr>
          <w:trHeight w:val="300"/>
        </w:trPr>
        <w:tc>
          <w:tcPr>
            <w:cnfStyle w:val="001000000000" w:firstRow="0" w:lastRow="0" w:firstColumn="1" w:lastColumn="0" w:oddVBand="0" w:evenVBand="0" w:oddHBand="0" w:evenHBand="0" w:firstRowFirstColumn="0" w:firstRowLastColumn="0" w:lastRowFirstColumn="0" w:lastRowLastColumn="0"/>
            <w:tcW w:w="440" w:type="dxa"/>
            <w:noWrap/>
            <w:hideMark/>
          </w:tcPr>
          <w:p w14:paraId="1EF18954" w14:textId="77777777" w:rsidR="00391CAC" w:rsidRPr="00391CAC" w:rsidRDefault="00391CAC" w:rsidP="007B43C8">
            <w:pPr>
              <w:spacing w:line="276" w:lineRule="auto"/>
              <w:jc w:val="right"/>
              <w:rPr>
                <w:rFonts w:ascii="Calibri" w:eastAsia="Times New Roman" w:hAnsi="Calibri" w:cs="Times New Roman"/>
                <w:color w:val="000000"/>
                <w:lang w:eastAsia="es-MX"/>
              </w:rPr>
            </w:pPr>
            <w:r w:rsidRPr="00391CAC">
              <w:rPr>
                <w:rFonts w:ascii="Calibri" w:eastAsia="Times New Roman" w:hAnsi="Calibri" w:cs="Times New Roman"/>
                <w:color w:val="000000"/>
                <w:lang w:eastAsia="es-MX"/>
              </w:rPr>
              <w:t>11</w:t>
            </w:r>
          </w:p>
        </w:tc>
        <w:tc>
          <w:tcPr>
            <w:tcW w:w="4233" w:type="dxa"/>
            <w:noWrap/>
            <w:hideMark/>
          </w:tcPr>
          <w:p w14:paraId="332E282B" w14:textId="77777777" w:rsidR="00391CAC" w:rsidRPr="00391CAC" w:rsidRDefault="00391CAC" w:rsidP="007B43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Recursos Naturales</w:t>
            </w:r>
          </w:p>
        </w:tc>
        <w:tc>
          <w:tcPr>
            <w:tcW w:w="1486" w:type="dxa"/>
            <w:hideMark/>
          </w:tcPr>
          <w:p w14:paraId="0CC7CC7F"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7.65</w:t>
            </w:r>
          </w:p>
        </w:tc>
        <w:tc>
          <w:tcPr>
            <w:tcW w:w="1289" w:type="dxa"/>
            <w:hideMark/>
          </w:tcPr>
          <w:p w14:paraId="67FCD390"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82</w:t>
            </w:r>
          </w:p>
        </w:tc>
        <w:tc>
          <w:tcPr>
            <w:tcW w:w="1249" w:type="dxa"/>
            <w:hideMark/>
          </w:tcPr>
          <w:p w14:paraId="694D3AB0"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8.16</w:t>
            </w:r>
          </w:p>
        </w:tc>
      </w:tr>
      <w:tr w:rsidR="007B43C8" w:rsidRPr="00391CAC" w14:paraId="7EFA3D06" w14:textId="77777777" w:rsidTr="007B43C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0" w:type="dxa"/>
            <w:noWrap/>
            <w:hideMark/>
          </w:tcPr>
          <w:p w14:paraId="46DE2EB8" w14:textId="77777777" w:rsidR="00391CAC" w:rsidRPr="00391CAC" w:rsidRDefault="00391CAC" w:rsidP="007B43C8">
            <w:pPr>
              <w:spacing w:line="276" w:lineRule="auto"/>
              <w:jc w:val="right"/>
              <w:rPr>
                <w:rFonts w:ascii="Calibri" w:eastAsia="Times New Roman" w:hAnsi="Calibri" w:cs="Times New Roman"/>
                <w:color w:val="000000"/>
                <w:lang w:eastAsia="es-MX"/>
              </w:rPr>
            </w:pPr>
            <w:r w:rsidRPr="00391CAC">
              <w:rPr>
                <w:rFonts w:ascii="Calibri" w:eastAsia="Times New Roman" w:hAnsi="Calibri" w:cs="Times New Roman"/>
                <w:color w:val="000000"/>
                <w:lang w:eastAsia="es-MX"/>
              </w:rPr>
              <w:t>12</w:t>
            </w:r>
          </w:p>
        </w:tc>
        <w:tc>
          <w:tcPr>
            <w:tcW w:w="4233" w:type="dxa"/>
            <w:noWrap/>
            <w:hideMark/>
          </w:tcPr>
          <w:p w14:paraId="54B312F2" w14:textId="77777777" w:rsidR="00391CAC" w:rsidRPr="00391CAC" w:rsidRDefault="00391CAC" w:rsidP="007B43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 xml:space="preserve">Teoría de Espacios Exteriores </w:t>
            </w:r>
          </w:p>
        </w:tc>
        <w:tc>
          <w:tcPr>
            <w:tcW w:w="1486" w:type="dxa"/>
            <w:hideMark/>
          </w:tcPr>
          <w:p w14:paraId="74EAC067"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8.34</w:t>
            </w:r>
          </w:p>
        </w:tc>
        <w:tc>
          <w:tcPr>
            <w:tcW w:w="1289" w:type="dxa"/>
            <w:hideMark/>
          </w:tcPr>
          <w:p w14:paraId="6CE41E3C"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92</w:t>
            </w:r>
          </w:p>
        </w:tc>
        <w:tc>
          <w:tcPr>
            <w:tcW w:w="1249" w:type="dxa"/>
            <w:hideMark/>
          </w:tcPr>
          <w:p w14:paraId="0668D684"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10.15</w:t>
            </w:r>
          </w:p>
        </w:tc>
      </w:tr>
      <w:tr w:rsidR="007B43C8" w:rsidRPr="00391CAC" w14:paraId="5CC48DEB" w14:textId="77777777" w:rsidTr="000C627A">
        <w:trPr>
          <w:trHeight w:val="300"/>
        </w:trPr>
        <w:tc>
          <w:tcPr>
            <w:cnfStyle w:val="001000000000" w:firstRow="0" w:lastRow="0" w:firstColumn="1" w:lastColumn="0" w:oddVBand="0" w:evenVBand="0" w:oddHBand="0" w:evenHBand="0" w:firstRowFirstColumn="0" w:firstRowLastColumn="0" w:lastRowFirstColumn="0" w:lastRowLastColumn="0"/>
            <w:tcW w:w="440" w:type="dxa"/>
            <w:tcBorders>
              <w:bottom w:val="single" w:sz="4" w:space="0" w:color="F79646" w:themeColor="accent6"/>
            </w:tcBorders>
            <w:noWrap/>
            <w:hideMark/>
          </w:tcPr>
          <w:p w14:paraId="6103FC6C" w14:textId="77777777" w:rsidR="00391CAC" w:rsidRPr="00391CAC" w:rsidRDefault="00391CAC" w:rsidP="007B43C8">
            <w:pPr>
              <w:spacing w:line="276" w:lineRule="auto"/>
              <w:jc w:val="right"/>
              <w:rPr>
                <w:rFonts w:ascii="Calibri" w:eastAsia="Times New Roman" w:hAnsi="Calibri" w:cs="Times New Roman"/>
                <w:color w:val="000000"/>
                <w:lang w:eastAsia="es-MX"/>
              </w:rPr>
            </w:pPr>
            <w:r w:rsidRPr="00391CAC">
              <w:rPr>
                <w:rFonts w:ascii="Calibri" w:eastAsia="Times New Roman" w:hAnsi="Calibri" w:cs="Times New Roman"/>
                <w:color w:val="000000"/>
                <w:lang w:eastAsia="es-MX"/>
              </w:rPr>
              <w:t>13</w:t>
            </w:r>
          </w:p>
        </w:tc>
        <w:tc>
          <w:tcPr>
            <w:tcW w:w="4233" w:type="dxa"/>
            <w:tcBorders>
              <w:bottom w:val="single" w:sz="4" w:space="0" w:color="F79646" w:themeColor="accent6"/>
            </w:tcBorders>
            <w:noWrap/>
            <w:hideMark/>
          </w:tcPr>
          <w:p w14:paraId="70F7B524" w14:textId="77777777" w:rsidR="00391CAC" w:rsidRPr="00391CAC" w:rsidRDefault="00391CAC" w:rsidP="007B43C8">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Estadística</w:t>
            </w:r>
          </w:p>
        </w:tc>
        <w:tc>
          <w:tcPr>
            <w:tcW w:w="1486" w:type="dxa"/>
            <w:tcBorders>
              <w:bottom w:val="single" w:sz="4" w:space="0" w:color="F79646" w:themeColor="accent6"/>
            </w:tcBorders>
            <w:hideMark/>
          </w:tcPr>
          <w:p w14:paraId="69ED1438"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6.81</w:t>
            </w:r>
          </w:p>
        </w:tc>
        <w:tc>
          <w:tcPr>
            <w:tcW w:w="1289" w:type="dxa"/>
            <w:tcBorders>
              <w:bottom w:val="single" w:sz="4" w:space="0" w:color="F79646" w:themeColor="accent6"/>
            </w:tcBorders>
            <w:hideMark/>
          </w:tcPr>
          <w:p w14:paraId="472DA925"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84</w:t>
            </w:r>
          </w:p>
        </w:tc>
        <w:tc>
          <w:tcPr>
            <w:tcW w:w="1249" w:type="dxa"/>
            <w:tcBorders>
              <w:bottom w:val="single" w:sz="4" w:space="0" w:color="F79646" w:themeColor="accent6"/>
            </w:tcBorders>
            <w:hideMark/>
          </w:tcPr>
          <w:p w14:paraId="3DBED37F" w14:textId="77777777" w:rsidR="00391CAC" w:rsidRPr="00391CAC" w:rsidRDefault="00391CAC" w:rsidP="007B43C8">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2.13</w:t>
            </w:r>
          </w:p>
        </w:tc>
      </w:tr>
      <w:tr w:rsidR="007B43C8" w:rsidRPr="00391CAC" w14:paraId="0AD7630F" w14:textId="77777777" w:rsidTr="000C627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40" w:type="dxa"/>
            <w:tcBorders>
              <w:bottom w:val="single" w:sz="4" w:space="0" w:color="auto"/>
            </w:tcBorders>
            <w:noWrap/>
            <w:hideMark/>
          </w:tcPr>
          <w:p w14:paraId="7B8567F4" w14:textId="77777777" w:rsidR="00391CAC" w:rsidRPr="00391CAC" w:rsidRDefault="00391CAC" w:rsidP="007B43C8">
            <w:pPr>
              <w:spacing w:line="276" w:lineRule="auto"/>
              <w:jc w:val="right"/>
              <w:rPr>
                <w:rFonts w:ascii="Calibri" w:eastAsia="Times New Roman" w:hAnsi="Calibri" w:cs="Times New Roman"/>
                <w:color w:val="000000"/>
                <w:lang w:eastAsia="es-MX"/>
              </w:rPr>
            </w:pPr>
            <w:r w:rsidRPr="00391CAC">
              <w:rPr>
                <w:rFonts w:ascii="Calibri" w:eastAsia="Times New Roman" w:hAnsi="Calibri" w:cs="Times New Roman"/>
                <w:color w:val="000000"/>
                <w:lang w:eastAsia="es-MX"/>
              </w:rPr>
              <w:t>14</w:t>
            </w:r>
          </w:p>
        </w:tc>
        <w:tc>
          <w:tcPr>
            <w:tcW w:w="4233" w:type="dxa"/>
            <w:tcBorders>
              <w:bottom w:val="single" w:sz="4" w:space="0" w:color="auto"/>
            </w:tcBorders>
            <w:noWrap/>
            <w:hideMark/>
          </w:tcPr>
          <w:p w14:paraId="47F1F7F2" w14:textId="77777777" w:rsidR="00391CAC" w:rsidRPr="00391CAC" w:rsidRDefault="00391CAC" w:rsidP="007B43C8">
            <w:pPr>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Comunidades de aprendizaje</w:t>
            </w:r>
          </w:p>
        </w:tc>
        <w:tc>
          <w:tcPr>
            <w:tcW w:w="1486" w:type="dxa"/>
            <w:tcBorders>
              <w:bottom w:val="single" w:sz="4" w:space="0" w:color="auto"/>
            </w:tcBorders>
            <w:hideMark/>
          </w:tcPr>
          <w:p w14:paraId="28C1E5F1"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8.66</w:t>
            </w:r>
          </w:p>
        </w:tc>
        <w:tc>
          <w:tcPr>
            <w:tcW w:w="1289" w:type="dxa"/>
            <w:tcBorders>
              <w:bottom w:val="single" w:sz="4" w:space="0" w:color="auto"/>
            </w:tcBorders>
            <w:hideMark/>
          </w:tcPr>
          <w:p w14:paraId="319F1F06"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95</w:t>
            </w:r>
          </w:p>
        </w:tc>
        <w:tc>
          <w:tcPr>
            <w:tcW w:w="1249" w:type="dxa"/>
            <w:tcBorders>
              <w:bottom w:val="single" w:sz="4" w:space="0" w:color="auto"/>
            </w:tcBorders>
            <w:hideMark/>
          </w:tcPr>
          <w:p w14:paraId="4076062A" w14:textId="77777777" w:rsidR="00391CAC" w:rsidRPr="00391CAC" w:rsidRDefault="00391CAC" w:rsidP="007B43C8">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lang w:eastAsia="es-MX"/>
              </w:rPr>
            </w:pPr>
            <w:r w:rsidRPr="00391CAC">
              <w:rPr>
                <w:rFonts w:ascii="Times New Roman" w:eastAsia="Times New Roman" w:hAnsi="Times New Roman" w:cs="Times New Roman"/>
                <w:color w:val="000000"/>
                <w:lang w:eastAsia="es-MX"/>
              </w:rPr>
              <w:t>8.81</w:t>
            </w:r>
          </w:p>
        </w:tc>
      </w:tr>
    </w:tbl>
    <w:p w14:paraId="56B41008" w14:textId="77777777" w:rsidR="00391CAC" w:rsidRDefault="00391CAC" w:rsidP="003B1236">
      <w:pPr>
        <w:spacing w:line="360" w:lineRule="auto"/>
        <w:rPr>
          <w:rFonts w:ascii="Times New Roman" w:hAnsi="Times New Roman" w:cs="Times New Roman"/>
          <w:bCs/>
          <w:sz w:val="24"/>
          <w:szCs w:val="24"/>
        </w:rPr>
      </w:pPr>
    </w:p>
    <w:p w14:paraId="627247CC" w14:textId="77777777" w:rsidR="002363C6" w:rsidRDefault="002363C6" w:rsidP="003B1236">
      <w:pPr>
        <w:spacing w:line="360" w:lineRule="auto"/>
        <w:rPr>
          <w:rFonts w:ascii="Times New Roman" w:hAnsi="Times New Roman" w:cs="Times New Roman"/>
          <w:bCs/>
          <w:sz w:val="24"/>
          <w:szCs w:val="24"/>
        </w:rPr>
      </w:pPr>
    </w:p>
    <w:p w14:paraId="55395751" w14:textId="77777777" w:rsidR="002363C6" w:rsidRDefault="002363C6" w:rsidP="003B1236">
      <w:pPr>
        <w:spacing w:line="360" w:lineRule="auto"/>
        <w:rPr>
          <w:rFonts w:ascii="Times New Roman" w:hAnsi="Times New Roman" w:cs="Times New Roman"/>
          <w:bCs/>
          <w:sz w:val="24"/>
          <w:szCs w:val="24"/>
        </w:rPr>
      </w:pPr>
    </w:p>
    <w:tbl>
      <w:tblPr>
        <w:tblStyle w:val="ListTable3Accent6"/>
        <w:tblW w:w="8656" w:type="dxa"/>
        <w:tblLook w:val="04A0" w:firstRow="1" w:lastRow="0" w:firstColumn="1" w:lastColumn="0" w:noHBand="0" w:noVBand="1"/>
      </w:tblPr>
      <w:tblGrid>
        <w:gridCol w:w="4673"/>
        <w:gridCol w:w="1418"/>
        <w:gridCol w:w="1289"/>
        <w:gridCol w:w="1276"/>
      </w:tblGrid>
      <w:tr w:rsidR="00C12ED4" w:rsidRPr="006345FD" w14:paraId="227F1C79" w14:textId="77777777" w:rsidTr="00F325EA">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8656" w:type="dxa"/>
            <w:gridSpan w:val="4"/>
            <w:tcBorders>
              <w:top w:val="single" w:sz="4" w:space="0" w:color="F79646" w:themeColor="accent6"/>
              <w:bottom w:val="single" w:sz="4" w:space="0" w:color="auto"/>
            </w:tcBorders>
            <w:noWrap/>
          </w:tcPr>
          <w:p w14:paraId="6B339A8B" w14:textId="601FDE7E" w:rsidR="00C12ED4" w:rsidRDefault="00C12ED4" w:rsidP="00F325EA">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lastRenderedPageBreak/>
              <w:t>Tabla 15:</w:t>
            </w:r>
          </w:p>
          <w:p w14:paraId="35BCAE7F" w14:textId="4A4410C7" w:rsidR="00C12ED4" w:rsidRPr="006345FD" w:rsidRDefault="00C12ED4" w:rsidP="00F325EA">
            <w:pPr>
              <w:spacing w:line="360" w:lineRule="auto"/>
              <w:rPr>
                <w:rFonts w:ascii="Calibri" w:eastAsia="Times New Roman" w:hAnsi="Calibri" w:cs="Times New Roman"/>
                <w:color w:val="000000"/>
                <w:lang w:eastAsia="es-MX"/>
              </w:rPr>
            </w:pPr>
            <w:r>
              <w:rPr>
                <w:rFonts w:ascii="Calibri" w:eastAsia="Times New Roman" w:hAnsi="Calibri" w:cs="Times New Roman"/>
                <w:color w:val="000000"/>
                <w:lang w:eastAsia="es-MX"/>
              </w:rPr>
              <w:t xml:space="preserve">Correlaciones en la licenciatura en DUP </w:t>
            </w:r>
          </w:p>
        </w:tc>
      </w:tr>
      <w:tr w:rsidR="00C12ED4" w:rsidRPr="006345FD" w14:paraId="3B8BD233" w14:textId="77777777" w:rsidTr="00F32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bottom w:val="single" w:sz="4" w:space="0" w:color="auto"/>
            </w:tcBorders>
            <w:noWrap/>
            <w:hideMark/>
          </w:tcPr>
          <w:p w14:paraId="01741BBD" w14:textId="77777777" w:rsidR="00C12ED4" w:rsidRPr="006345FD" w:rsidRDefault="00C12ED4" w:rsidP="00F325EA">
            <w:pPr>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 </w:t>
            </w:r>
          </w:p>
        </w:tc>
        <w:tc>
          <w:tcPr>
            <w:tcW w:w="1418" w:type="dxa"/>
            <w:tcBorders>
              <w:top w:val="single" w:sz="4" w:space="0" w:color="auto"/>
              <w:bottom w:val="single" w:sz="4" w:space="0" w:color="auto"/>
            </w:tcBorders>
            <w:noWrap/>
            <w:hideMark/>
          </w:tcPr>
          <w:p w14:paraId="5E58C39A" w14:textId="77777777" w:rsidR="00C12ED4" w:rsidRPr="006345FD" w:rsidRDefault="00C12ED4" w:rsidP="00F325E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R</w:t>
            </w:r>
            <w:r>
              <w:rPr>
                <w:rFonts w:ascii="Calibri" w:eastAsia="Times New Roman" w:hAnsi="Calibri" w:cs="Times New Roman"/>
                <w:color w:val="000000"/>
                <w:lang w:eastAsia="es-MX"/>
              </w:rPr>
              <w:t xml:space="preserve">endimiento </w:t>
            </w:r>
            <w:r w:rsidRPr="006345FD">
              <w:rPr>
                <w:rFonts w:ascii="Calibri" w:eastAsia="Times New Roman" w:hAnsi="Calibri" w:cs="Times New Roman"/>
                <w:color w:val="000000"/>
                <w:lang w:eastAsia="es-MX"/>
              </w:rPr>
              <w:t>A</w:t>
            </w:r>
            <w:r>
              <w:rPr>
                <w:rFonts w:ascii="Calibri" w:eastAsia="Times New Roman" w:hAnsi="Calibri" w:cs="Times New Roman"/>
                <w:color w:val="000000"/>
                <w:lang w:eastAsia="es-MX"/>
              </w:rPr>
              <w:t>cadémico</w:t>
            </w:r>
          </w:p>
        </w:tc>
        <w:tc>
          <w:tcPr>
            <w:tcW w:w="1289" w:type="dxa"/>
            <w:tcBorders>
              <w:top w:val="single" w:sz="4" w:space="0" w:color="auto"/>
              <w:bottom w:val="single" w:sz="4" w:space="0" w:color="auto"/>
            </w:tcBorders>
            <w:noWrap/>
            <w:hideMark/>
          </w:tcPr>
          <w:p w14:paraId="0E54CFA7" w14:textId="77777777" w:rsidR="00C12ED4" w:rsidRDefault="00C12ED4" w:rsidP="00F325E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D</w:t>
            </w:r>
            <w:r>
              <w:rPr>
                <w:rFonts w:ascii="Calibri" w:eastAsia="Times New Roman" w:hAnsi="Calibri" w:cs="Times New Roman"/>
                <w:color w:val="000000"/>
                <w:lang w:eastAsia="es-MX"/>
              </w:rPr>
              <w:t>esempeño</w:t>
            </w:r>
          </w:p>
          <w:p w14:paraId="66AEFD67" w14:textId="77777777" w:rsidR="00C12ED4" w:rsidRPr="006345FD" w:rsidRDefault="00C12ED4" w:rsidP="00F325E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D</w:t>
            </w:r>
            <w:r>
              <w:rPr>
                <w:rFonts w:ascii="Calibri" w:eastAsia="Times New Roman" w:hAnsi="Calibri" w:cs="Times New Roman"/>
                <w:color w:val="000000"/>
                <w:lang w:eastAsia="es-MX"/>
              </w:rPr>
              <w:t>ocente</w:t>
            </w:r>
          </w:p>
        </w:tc>
        <w:tc>
          <w:tcPr>
            <w:tcW w:w="1276" w:type="dxa"/>
            <w:tcBorders>
              <w:top w:val="single" w:sz="4" w:space="0" w:color="auto"/>
              <w:bottom w:val="single" w:sz="4" w:space="0" w:color="auto"/>
            </w:tcBorders>
            <w:noWrap/>
            <w:hideMark/>
          </w:tcPr>
          <w:p w14:paraId="623C3A0C" w14:textId="77777777" w:rsidR="00C12ED4" w:rsidRPr="006345FD" w:rsidRDefault="00C12ED4" w:rsidP="00F325E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Pr>
                <w:rFonts w:ascii="Calibri" w:eastAsia="Times New Roman" w:hAnsi="Calibri" w:cs="Times New Roman"/>
                <w:color w:val="000000"/>
                <w:lang w:eastAsia="es-MX"/>
              </w:rPr>
              <w:t>Antigüedad</w:t>
            </w:r>
          </w:p>
        </w:tc>
      </w:tr>
      <w:tr w:rsidR="00C12ED4" w:rsidRPr="006345FD" w14:paraId="6141A0C1" w14:textId="77777777" w:rsidTr="00F325EA">
        <w:trPr>
          <w:trHeight w:val="300"/>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auto"/>
            </w:tcBorders>
            <w:noWrap/>
            <w:hideMark/>
          </w:tcPr>
          <w:p w14:paraId="7E0BC152" w14:textId="77777777" w:rsidR="00C12ED4" w:rsidRPr="006345FD" w:rsidRDefault="00C12ED4" w:rsidP="00C12ED4">
            <w:pPr>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Rendimiento académico</w:t>
            </w:r>
          </w:p>
        </w:tc>
        <w:tc>
          <w:tcPr>
            <w:tcW w:w="1418" w:type="dxa"/>
            <w:tcBorders>
              <w:top w:val="single" w:sz="4" w:space="0" w:color="auto"/>
            </w:tcBorders>
            <w:noWrap/>
            <w:vAlign w:val="bottom"/>
            <w:hideMark/>
          </w:tcPr>
          <w:p w14:paraId="24045BFB" w14:textId="5493CDBB" w:rsidR="00C12ED4" w:rsidRPr="006345FD" w:rsidRDefault="00C12ED4" w:rsidP="00C12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C12ED4">
              <w:rPr>
                <w:rFonts w:ascii="Calibri" w:eastAsia="Times New Roman" w:hAnsi="Calibri" w:cs="Times New Roman"/>
                <w:color w:val="000000"/>
                <w:lang w:eastAsia="es-MX"/>
              </w:rPr>
              <w:t>1.00</w:t>
            </w:r>
          </w:p>
        </w:tc>
        <w:tc>
          <w:tcPr>
            <w:tcW w:w="1289" w:type="dxa"/>
            <w:tcBorders>
              <w:top w:val="single" w:sz="4" w:space="0" w:color="auto"/>
            </w:tcBorders>
            <w:noWrap/>
            <w:vAlign w:val="bottom"/>
            <w:hideMark/>
          </w:tcPr>
          <w:p w14:paraId="564962F5" w14:textId="024643D5" w:rsidR="00C12ED4" w:rsidRPr="006345FD" w:rsidRDefault="00C12ED4" w:rsidP="00C12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C12ED4">
              <w:rPr>
                <w:rFonts w:ascii="Calibri" w:eastAsia="Times New Roman" w:hAnsi="Calibri" w:cs="Times New Roman"/>
                <w:color w:val="000000"/>
                <w:lang w:eastAsia="es-MX"/>
              </w:rPr>
              <w:t>0.29</w:t>
            </w:r>
          </w:p>
        </w:tc>
        <w:tc>
          <w:tcPr>
            <w:tcW w:w="1276" w:type="dxa"/>
            <w:tcBorders>
              <w:top w:val="single" w:sz="4" w:space="0" w:color="auto"/>
            </w:tcBorders>
            <w:noWrap/>
            <w:vAlign w:val="bottom"/>
            <w:hideMark/>
          </w:tcPr>
          <w:p w14:paraId="58662260" w14:textId="3E59312A" w:rsidR="00C12ED4" w:rsidRPr="006345FD" w:rsidRDefault="00C12ED4" w:rsidP="00C12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C12ED4">
              <w:rPr>
                <w:rFonts w:ascii="Calibri" w:eastAsia="Times New Roman" w:hAnsi="Calibri" w:cs="Times New Roman"/>
                <w:color w:val="000000"/>
                <w:lang w:eastAsia="es-MX"/>
              </w:rPr>
              <w:t>0.11</w:t>
            </w:r>
          </w:p>
        </w:tc>
      </w:tr>
      <w:tr w:rsidR="00C12ED4" w:rsidRPr="006345FD" w14:paraId="5EABE5E3" w14:textId="77777777" w:rsidTr="00F325E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3" w:type="dxa"/>
            <w:noWrap/>
            <w:hideMark/>
          </w:tcPr>
          <w:p w14:paraId="2DC0EAD3" w14:textId="77777777" w:rsidR="00C12ED4" w:rsidRPr="006345FD" w:rsidRDefault="00C12ED4" w:rsidP="00C12ED4">
            <w:pPr>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Desempeño docente</w:t>
            </w:r>
          </w:p>
        </w:tc>
        <w:tc>
          <w:tcPr>
            <w:tcW w:w="1418" w:type="dxa"/>
            <w:noWrap/>
            <w:vAlign w:val="bottom"/>
            <w:hideMark/>
          </w:tcPr>
          <w:p w14:paraId="5CFD6AE8" w14:textId="269D44E6" w:rsidR="00C12ED4" w:rsidRPr="006345FD" w:rsidRDefault="00C12ED4" w:rsidP="00C12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C12ED4">
              <w:rPr>
                <w:rFonts w:ascii="Calibri" w:eastAsia="Times New Roman" w:hAnsi="Calibri" w:cs="Times New Roman"/>
                <w:color w:val="000000"/>
                <w:lang w:eastAsia="es-MX"/>
              </w:rPr>
              <w:t>0.29</w:t>
            </w:r>
          </w:p>
        </w:tc>
        <w:tc>
          <w:tcPr>
            <w:tcW w:w="1289" w:type="dxa"/>
            <w:noWrap/>
            <w:vAlign w:val="bottom"/>
            <w:hideMark/>
          </w:tcPr>
          <w:p w14:paraId="00FB2059" w14:textId="290F503A" w:rsidR="00C12ED4" w:rsidRPr="006345FD" w:rsidRDefault="00C12ED4" w:rsidP="00C12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C12ED4">
              <w:rPr>
                <w:rFonts w:ascii="Calibri" w:eastAsia="Times New Roman" w:hAnsi="Calibri" w:cs="Times New Roman"/>
                <w:color w:val="000000"/>
                <w:lang w:eastAsia="es-MX"/>
              </w:rPr>
              <w:t>1.00</w:t>
            </w:r>
          </w:p>
        </w:tc>
        <w:tc>
          <w:tcPr>
            <w:tcW w:w="1276" w:type="dxa"/>
            <w:noWrap/>
            <w:vAlign w:val="bottom"/>
            <w:hideMark/>
          </w:tcPr>
          <w:p w14:paraId="3D14B68C" w14:textId="5FABAD48" w:rsidR="00C12ED4" w:rsidRPr="006345FD" w:rsidRDefault="00C12ED4" w:rsidP="00C12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C12ED4">
              <w:rPr>
                <w:rFonts w:ascii="Calibri" w:eastAsia="Times New Roman" w:hAnsi="Calibri" w:cs="Times New Roman"/>
                <w:color w:val="000000"/>
                <w:lang w:eastAsia="es-MX"/>
              </w:rPr>
              <w:t>-0.14</w:t>
            </w:r>
          </w:p>
        </w:tc>
      </w:tr>
      <w:tr w:rsidR="00C12ED4" w:rsidRPr="006345FD" w14:paraId="4B431F2D" w14:textId="77777777" w:rsidTr="00F325EA">
        <w:trPr>
          <w:trHeight w:val="300"/>
        </w:trPr>
        <w:tc>
          <w:tcPr>
            <w:cnfStyle w:val="001000000000" w:firstRow="0" w:lastRow="0" w:firstColumn="1" w:lastColumn="0" w:oddVBand="0" w:evenVBand="0" w:oddHBand="0" w:evenHBand="0" w:firstRowFirstColumn="0" w:firstRowLastColumn="0" w:lastRowFirstColumn="0" w:lastRowLastColumn="0"/>
            <w:tcW w:w="4673" w:type="dxa"/>
            <w:tcBorders>
              <w:top w:val="single" w:sz="4" w:space="0" w:color="F79646" w:themeColor="accent6"/>
              <w:bottom w:val="single" w:sz="4" w:space="0" w:color="auto"/>
            </w:tcBorders>
            <w:noWrap/>
            <w:hideMark/>
          </w:tcPr>
          <w:p w14:paraId="039F1048" w14:textId="77777777" w:rsidR="00C12ED4" w:rsidRPr="006345FD" w:rsidRDefault="00C12ED4" w:rsidP="00C12ED4">
            <w:pPr>
              <w:rPr>
                <w:rFonts w:ascii="Calibri" w:eastAsia="Times New Roman" w:hAnsi="Calibri" w:cs="Times New Roman"/>
                <w:color w:val="000000"/>
                <w:lang w:eastAsia="es-MX"/>
              </w:rPr>
            </w:pPr>
            <w:r w:rsidRPr="006345FD">
              <w:rPr>
                <w:rFonts w:ascii="Calibri" w:eastAsia="Times New Roman" w:hAnsi="Calibri" w:cs="Times New Roman"/>
                <w:color w:val="000000"/>
                <w:lang w:eastAsia="es-MX"/>
              </w:rPr>
              <w:t>antigüedad</w:t>
            </w:r>
          </w:p>
        </w:tc>
        <w:tc>
          <w:tcPr>
            <w:tcW w:w="1418" w:type="dxa"/>
            <w:tcBorders>
              <w:top w:val="single" w:sz="4" w:space="0" w:color="F79646" w:themeColor="accent6"/>
              <w:bottom w:val="single" w:sz="4" w:space="0" w:color="auto"/>
            </w:tcBorders>
            <w:noWrap/>
            <w:vAlign w:val="bottom"/>
            <w:hideMark/>
          </w:tcPr>
          <w:p w14:paraId="08405355" w14:textId="653CCBC5" w:rsidR="00C12ED4" w:rsidRPr="006345FD" w:rsidRDefault="00C12ED4" w:rsidP="00C12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C12ED4">
              <w:rPr>
                <w:rFonts w:ascii="Calibri" w:eastAsia="Times New Roman" w:hAnsi="Calibri" w:cs="Times New Roman"/>
                <w:color w:val="000000"/>
                <w:lang w:eastAsia="es-MX"/>
              </w:rPr>
              <w:t>0.11</w:t>
            </w:r>
          </w:p>
        </w:tc>
        <w:tc>
          <w:tcPr>
            <w:tcW w:w="1289" w:type="dxa"/>
            <w:tcBorders>
              <w:top w:val="single" w:sz="4" w:space="0" w:color="F79646" w:themeColor="accent6"/>
              <w:bottom w:val="single" w:sz="4" w:space="0" w:color="auto"/>
            </w:tcBorders>
            <w:noWrap/>
            <w:vAlign w:val="bottom"/>
            <w:hideMark/>
          </w:tcPr>
          <w:p w14:paraId="26C987B2" w14:textId="1C5F91F7" w:rsidR="00C12ED4" w:rsidRPr="006345FD" w:rsidRDefault="00C12ED4" w:rsidP="00C12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C12ED4">
              <w:rPr>
                <w:rFonts w:ascii="Calibri" w:eastAsia="Times New Roman" w:hAnsi="Calibri" w:cs="Times New Roman"/>
                <w:color w:val="000000"/>
                <w:lang w:eastAsia="es-MX"/>
              </w:rPr>
              <w:t>-0.14</w:t>
            </w:r>
          </w:p>
        </w:tc>
        <w:tc>
          <w:tcPr>
            <w:tcW w:w="1276" w:type="dxa"/>
            <w:tcBorders>
              <w:top w:val="single" w:sz="4" w:space="0" w:color="F79646" w:themeColor="accent6"/>
              <w:bottom w:val="single" w:sz="4" w:space="0" w:color="auto"/>
            </w:tcBorders>
            <w:noWrap/>
            <w:vAlign w:val="bottom"/>
            <w:hideMark/>
          </w:tcPr>
          <w:p w14:paraId="1C678AC3" w14:textId="64B130E7" w:rsidR="00C12ED4" w:rsidRPr="006345FD" w:rsidRDefault="00C12ED4" w:rsidP="00C12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C12ED4">
              <w:rPr>
                <w:rFonts w:ascii="Calibri" w:eastAsia="Times New Roman" w:hAnsi="Calibri" w:cs="Times New Roman"/>
                <w:color w:val="000000"/>
                <w:lang w:eastAsia="es-MX"/>
              </w:rPr>
              <w:t>1.00</w:t>
            </w:r>
          </w:p>
        </w:tc>
      </w:tr>
    </w:tbl>
    <w:p w14:paraId="52784673" w14:textId="77777777" w:rsidR="00C12ED4" w:rsidRDefault="00C12ED4" w:rsidP="000C627A">
      <w:pPr>
        <w:spacing w:line="360" w:lineRule="auto"/>
        <w:rPr>
          <w:rFonts w:ascii="Times New Roman" w:hAnsi="Times New Roman" w:cs="Times New Roman"/>
          <w:bCs/>
          <w:sz w:val="24"/>
          <w:szCs w:val="24"/>
        </w:rPr>
      </w:pPr>
    </w:p>
    <w:p w14:paraId="7644883E" w14:textId="77777777" w:rsidR="004C1356" w:rsidRDefault="004C1356" w:rsidP="002363C6">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Los resultados del análisis de correlaciones se muestran en la Tabla 15. Se puede ver que existe correlación positiva del rendimiento académico con el desempeño docente (baja, r = 0.29) y con la antigüedad (muy baja, r = 0.11). Además, podemos ver que existe muy baja correlación negativa (muy baja, r = -0.14) entre el desempeño docente y la antigüedad. Esto quiere decir que existe una leve tendencia en disminuir el desempeño docente en la medida que aumenta la antigüedad laboral del docente y viceversa. </w:t>
      </w:r>
    </w:p>
    <w:p w14:paraId="7BA56FF6" w14:textId="77777777" w:rsidR="00E510FD" w:rsidRDefault="00E510FD" w:rsidP="003B1236">
      <w:pPr>
        <w:spacing w:line="360" w:lineRule="auto"/>
        <w:rPr>
          <w:rFonts w:ascii="Times New Roman" w:hAnsi="Times New Roman" w:cs="Times New Roman"/>
          <w:bCs/>
          <w:sz w:val="24"/>
          <w:szCs w:val="24"/>
        </w:rPr>
      </w:pPr>
    </w:p>
    <w:p w14:paraId="03113F38" w14:textId="31F8A8D3" w:rsidR="000F6E40" w:rsidRPr="002363C6" w:rsidRDefault="00625010" w:rsidP="006C52E4">
      <w:pPr>
        <w:spacing w:line="360" w:lineRule="auto"/>
        <w:rPr>
          <w:rFonts w:ascii="Calibri" w:eastAsiaTheme="minorEastAsia" w:hAnsi="Calibri" w:cs="Calibri"/>
          <w:color w:val="7030A0"/>
          <w:sz w:val="28"/>
          <w:szCs w:val="28"/>
          <w:lang w:val="es-ES_tradnl"/>
        </w:rPr>
      </w:pPr>
      <w:r w:rsidRPr="002363C6">
        <w:rPr>
          <w:rFonts w:ascii="Calibri" w:eastAsiaTheme="minorEastAsia" w:hAnsi="Calibri" w:cs="Calibri"/>
          <w:color w:val="7030A0"/>
          <w:sz w:val="28"/>
          <w:szCs w:val="28"/>
          <w:lang w:val="es-ES_tradnl"/>
        </w:rPr>
        <w:t>Conclusiones</w:t>
      </w:r>
    </w:p>
    <w:p w14:paraId="3FC2DF2D" w14:textId="69AFE4EC" w:rsidR="00625010" w:rsidRDefault="00F325EA" w:rsidP="002363C6">
      <w:pPr>
        <w:spacing w:line="360" w:lineRule="auto"/>
        <w:jc w:val="both"/>
        <w:rPr>
          <w:rFonts w:ascii="Times New Roman" w:hAnsi="Times New Roman" w:cs="Times New Roman"/>
          <w:sz w:val="24"/>
          <w:szCs w:val="24"/>
        </w:rPr>
      </w:pPr>
      <w:r>
        <w:rPr>
          <w:rFonts w:ascii="Times New Roman" w:hAnsi="Times New Roman" w:cs="Times New Roman"/>
          <w:sz w:val="24"/>
          <w:szCs w:val="24"/>
        </w:rPr>
        <w:t>Es necesario decir que este es un estudio de caso y que por ello no se pueden hacer generalizaciones ni extrapolaciones a otros casos aunque se trate de carreras similares. Los resultados son importantes para tomar decisiones de mejoramiento para la implementación de estrategias que proporcionen mejor atención a los alumnos traduciéndose esto en mejores indicadores de la calidad de los programas de DIA y DUP.</w:t>
      </w:r>
    </w:p>
    <w:p w14:paraId="3FDF042C" w14:textId="282A631E" w:rsidR="00F325EA" w:rsidRDefault="00BC7B7D" w:rsidP="002363C6">
      <w:pPr>
        <w:spacing w:line="360" w:lineRule="auto"/>
        <w:jc w:val="both"/>
        <w:rPr>
          <w:rFonts w:ascii="Times New Roman" w:hAnsi="Times New Roman" w:cs="Times New Roman"/>
          <w:sz w:val="24"/>
          <w:szCs w:val="24"/>
        </w:rPr>
      </w:pPr>
      <w:r>
        <w:rPr>
          <w:rFonts w:ascii="Times New Roman" w:hAnsi="Times New Roman" w:cs="Times New Roman"/>
          <w:sz w:val="24"/>
          <w:szCs w:val="24"/>
        </w:rPr>
        <w:t>De acuerdo a la consideración de que el rendimiento académico es bajo cuando el promedio de calificaciones es mejor a ocho (8.0), se encuentra que la cohorte de DIA ha tenido este nivel de rendimiento, mientras que la cohorte de DUP en el Periodo 1 fue bajo y en el Periodo 2 logra un rendimiento académico medio (cuando el promedio de calificaciones es mayor o igual a ocho y menor que nueve). La reflexión colectiva respecto a las debilidades académica mostrad</w:t>
      </w:r>
      <w:r w:rsidR="007075C3">
        <w:rPr>
          <w:rFonts w:ascii="Times New Roman" w:hAnsi="Times New Roman" w:cs="Times New Roman"/>
          <w:sz w:val="24"/>
          <w:szCs w:val="24"/>
        </w:rPr>
        <w:t xml:space="preserve">as por los alumnos respecto a la exigencias de aprendizaje contenidas en las estrategias de evaluación, puede ayudar a mejorar estrategias de aprendizaje en cursos futuros, esta es una tarea importante para el grupo de profesores que impartirán los cursos durante el semestre enero-junio de 2015. El propósito de esta reflexión sobre la práctica </w:t>
      </w:r>
      <w:r w:rsidR="007075C3">
        <w:rPr>
          <w:rFonts w:ascii="Times New Roman" w:hAnsi="Times New Roman" w:cs="Times New Roman"/>
          <w:sz w:val="24"/>
          <w:szCs w:val="24"/>
        </w:rPr>
        <w:lastRenderedPageBreak/>
        <w:t>docente es la elaboración de estrategias de intervención es elevar el rendimiento académico de las cohortes a partir del desempeño docente y gestión escolar más eficientes.</w:t>
      </w:r>
    </w:p>
    <w:p w14:paraId="341A59EE" w14:textId="2287A83A" w:rsidR="00136846" w:rsidRDefault="00265CC0" w:rsidP="002363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 aspecto relevante de este tipo de investigaciones es que se hace </w:t>
      </w:r>
      <w:r w:rsidR="00136846">
        <w:rPr>
          <w:rFonts w:ascii="Times New Roman" w:hAnsi="Times New Roman" w:cs="Times New Roman"/>
          <w:sz w:val="24"/>
          <w:szCs w:val="24"/>
        </w:rPr>
        <w:t xml:space="preserve">en el momento en que se está desarrollando el proceso formativo y se tiene la oportunidad de implementar estrategias de intervención de mejoramiento e incidir en los indicadores de calidad. Se está investigando, reflexionando, interviniendo, evaluando una serie de actos y resultados educativos en el momento mismo del proceso formativo, con ello, se pueden atender necesidades de docentes, alumnos y personal directivo, así mismo, de equipamiento e infraestructura todo ello producto del conocimiento de los indicadores de calidad y de las propuestas de mejora que los actores hacen como resultado de la reflexión colectiva sobre los aspectos en los que se considera pertinente innovar </w:t>
      </w:r>
      <w:r w:rsidR="008C3EF3">
        <w:rPr>
          <w:rFonts w:ascii="Times New Roman" w:hAnsi="Times New Roman" w:cs="Times New Roman"/>
          <w:sz w:val="24"/>
          <w:szCs w:val="24"/>
        </w:rPr>
        <w:t>con determinadas estrategias didácticas.</w:t>
      </w:r>
    </w:p>
    <w:p w14:paraId="4788A5FB" w14:textId="77777777" w:rsidR="00EA22B4" w:rsidRDefault="008C3EF3" w:rsidP="002363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Sorprende el hecho de que el rendimiento académico de los alumnos, la evaluación al desempeño docente y la antigüedad de la planta de profesores muestren correlaciones bajas o muy bajas, y sobre todo, en el caso de la antigüedad que muestra correlaciones negativas debido a que tradicionalmente se espera la existencia de correlaciones de moderadas a altas. </w:t>
      </w:r>
    </w:p>
    <w:p w14:paraId="7DB123B2" w14:textId="4704D112" w:rsidR="00AC7BF7" w:rsidRDefault="00AC7BF7" w:rsidP="002363C6">
      <w:pPr>
        <w:spacing w:line="360" w:lineRule="auto"/>
        <w:jc w:val="both"/>
        <w:rPr>
          <w:rFonts w:ascii="Times New Roman" w:hAnsi="Times New Roman" w:cs="Times New Roman"/>
          <w:sz w:val="24"/>
          <w:szCs w:val="24"/>
        </w:rPr>
      </w:pPr>
      <w:r>
        <w:rPr>
          <w:rFonts w:ascii="Times New Roman" w:hAnsi="Times New Roman" w:cs="Times New Roman"/>
          <w:sz w:val="24"/>
          <w:szCs w:val="24"/>
        </w:rPr>
        <w:t>El involucramiento cada vez mayor de profesores en el proceso de evaluación y planeación de cursos curriculares que se realiza cada inicio de semestre, se está convirtiendo en la mejor estrategia para la reflexión y el análisis de la práctica docente. El conocimiento de indicadores de la calidad académica por: alumno, unidades de aprendizaje, semestre,  cohorte y profesor son los principales estímulos para continuar dándole sentido a la planeación, a la elaboración de estrategias didácticas y al establecimiento de metas académicas por parte de los profesores y coordinadores de carreras. En general estos procesos son los que han detonado la mayor sinergia académica entre los colectivos de maestros</w:t>
      </w:r>
      <w:r w:rsidR="007A0865">
        <w:rPr>
          <w:rFonts w:ascii="Times New Roman" w:hAnsi="Times New Roman" w:cs="Times New Roman"/>
          <w:sz w:val="24"/>
          <w:szCs w:val="24"/>
        </w:rPr>
        <w:t xml:space="preserve"> y el equipo directivo porque cada sector y actor le encuentra sentido e interés para involucrarse en el proceso de mejoramiento que se vive en la FAUAS.</w:t>
      </w:r>
    </w:p>
    <w:p w14:paraId="2EF4D3E1" w14:textId="3F6EC380" w:rsidR="00503D17" w:rsidRDefault="00EA22B4" w:rsidP="002363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Lo importante de lo antes expuesto </w:t>
      </w:r>
      <w:r w:rsidR="008C3EF3">
        <w:rPr>
          <w:rFonts w:ascii="Times New Roman" w:hAnsi="Times New Roman" w:cs="Times New Roman"/>
          <w:sz w:val="24"/>
          <w:szCs w:val="24"/>
        </w:rPr>
        <w:t xml:space="preserve">es que se tiene la oportunidad de profundizar en la investigación y seguimiento a este estudio de caso, situación que invita a replicar otros casos de cualquier carrera en cualquier universidad. Hacerlo es una buena estrategia para </w:t>
      </w:r>
      <w:r w:rsidR="008C3EF3">
        <w:rPr>
          <w:rFonts w:ascii="Times New Roman" w:hAnsi="Times New Roman" w:cs="Times New Roman"/>
          <w:sz w:val="24"/>
          <w:szCs w:val="24"/>
        </w:rPr>
        <w:lastRenderedPageBreak/>
        <w:t xml:space="preserve">intervenir de manera oportuna en la mejora de los procesos educativos, con ello se estará colocando los procesos formativos a la par del avance científico y tecnológico, dejando atrás la constante lamentación de que en los sistemas educativos es donde los cambios están siempre a la saga </w:t>
      </w:r>
      <w:r w:rsidR="00FA5CA6">
        <w:rPr>
          <w:rFonts w:ascii="Times New Roman" w:hAnsi="Times New Roman" w:cs="Times New Roman"/>
          <w:sz w:val="24"/>
          <w:szCs w:val="24"/>
        </w:rPr>
        <w:t>o que son sistemas pesado para movilizarlos de manera inmediata a los cambios demandados por los sectores sociales y laborales.</w:t>
      </w:r>
      <w:r w:rsidR="00641F17">
        <w:rPr>
          <w:rFonts w:ascii="Times New Roman" w:hAnsi="Times New Roman" w:cs="Times New Roman"/>
          <w:sz w:val="24"/>
          <w:szCs w:val="24"/>
        </w:rPr>
        <w:t xml:space="preserve"> Es decir, la planeación, seguimiento y evaluación de los procesos educativos y el impacto en los indicadores de calidad es un campo que no está siendo debidamente atendido por los investigadores educativos en las instituciones de educación superior, lo cual es una necesidad ante las demandas de sociales producto del avance científico y tecnológico que le da al conocimiento cada vez más periodos más cortos de vigencia, por lo que los planes y programas de estudio tienes que actualizarse de acuerdo a esas demandas.</w:t>
      </w:r>
    </w:p>
    <w:p w14:paraId="3789A4C2" w14:textId="311165B8" w:rsidR="000F6E40" w:rsidRPr="00641F17" w:rsidRDefault="002363C6" w:rsidP="002363C6">
      <w:pPr>
        <w:spacing w:after="0" w:line="480" w:lineRule="auto"/>
        <w:contextualSpacing/>
        <w:rPr>
          <w:rFonts w:ascii="Times New Roman" w:hAnsi="Times New Roman" w:cs="Times New Roman"/>
          <w:b/>
          <w:sz w:val="24"/>
          <w:szCs w:val="24"/>
        </w:rPr>
      </w:pPr>
      <w:r>
        <w:rPr>
          <w:rFonts w:ascii="Calibri" w:eastAsiaTheme="minorEastAsia" w:hAnsi="Calibri" w:cs="Calibri"/>
          <w:color w:val="7030A0"/>
          <w:sz w:val="28"/>
          <w:szCs w:val="28"/>
          <w:lang w:val="es-ES_tradnl"/>
        </w:rPr>
        <w:t>Bibliografía</w:t>
      </w:r>
    </w:p>
    <w:p w14:paraId="56A163FF" w14:textId="77777777" w:rsidR="004C1356" w:rsidRPr="00C81823" w:rsidRDefault="004C1356" w:rsidP="00C81823">
      <w:pPr>
        <w:spacing w:after="240" w:line="360" w:lineRule="auto"/>
        <w:ind w:left="567" w:hanging="567"/>
        <w:rPr>
          <w:rFonts w:ascii="Times New Roman" w:hAnsi="Times New Roman" w:cs="Times New Roman"/>
          <w:bCs/>
          <w:sz w:val="24"/>
          <w:szCs w:val="24"/>
          <w:shd w:val="clear" w:color="auto" w:fill="FFFFFF"/>
        </w:rPr>
      </w:pPr>
      <w:r w:rsidRPr="00C81823">
        <w:rPr>
          <w:rFonts w:ascii="Times New Roman" w:hAnsi="Times New Roman" w:cs="Times New Roman"/>
          <w:sz w:val="24"/>
          <w:szCs w:val="24"/>
        </w:rPr>
        <w:t xml:space="preserve">Acreditadora Nacional de Programas de Arquitectura y Diseño del Espacio Habitable (ANPADEH, 2012). </w:t>
      </w:r>
      <w:r w:rsidRPr="00AE4EC1">
        <w:rPr>
          <w:rFonts w:ascii="Times New Roman" w:hAnsi="Times New Roman" w:cs="Times New Roman"/>
          <w:bCs/>
          <w:i/>
          <w:sz w:val="24"/>
          <w:szCs w:val="24"/>
          <w:shd w:val="clear" w:color="auto" w:fill="FFFFFF"/>
        </w:rPr>
        <w:t>Relación de programas académicos que participaron del proceso de acreditación 2012.</w:t>
      </w:r>
      <w:r w:rsidRPr="00C81823">
        <w:rPr>
          <w:rFonts w:ascii="Times New Roman" w:hAnsi="Times New Roman" w:cs="Times New Roman"/>
          <w:bCs/>
          <w:sz w:val="24"/>
          <w:szCs w:val="24"/>
          <w:shd w:val="clear" w:color="auto" w:fill="FFFFFF"/>
        </w:rPr>
        <w:t xml:space="preserve"> México. Consultado el día 1 de diciembre de 2014 en </w:t>
      </w:r>
      <w:hyperlink r:id="rId39" w:history="1">
        <w:r w:rsidRPr="00C81823">
          <w:rPr>
            <w:rStyle w:val="Hipervnculo"/>
            <w:rFonts w:ascii="Times New Roman" w:hAnsi="Times New Roman" w:cs="Times New Roman"/>
            <w:bCs/>
            <w:sz w:val="24"/>
            <w:szCs w:val="24"/>
            <w:shd w:val="clear" w:color="auto" w:fill="FFFFFF"/>
          </w:rPr>
          <w:t>http://www.anpadeh.org.mx/interiores/acreditacion2012.php</w:t>
        </w:r>
      </w:hyperlink>
    </w:p>
    <w:p w14:paraId="08861830" w14:textId="77777777" w:rsidR="004C1356" w:rsidRDefault="004C1356" w:rsidP="00E773E7">
      <w:pPr>
        <w:spacing w:line="360" w:lineRule="auto"/>
        <w:ind w:left="567" w:hanging="567"/>
        <w:rPr>
          <w:rFonts w:ascii="Times New Roman" w:hAnsi="Times New Roman" w:cs="Times New Roman"/>
          <w:bCs/>
          <w:sz w:val="24"/>
          <w:szCs w:val="24"/>
        </w:rPr>
      </w:pPr>
      <w:r>
        <w:rPr>
          <w:rFonts w:ascii="Times New Roman" w:hAnsi="Times New Roman" w:cs="Times New Roman"/>
          <w:bCs/>
          <w:sz w:val="24"/>
          <w:szCs w:val="24"/>
        </w:rPr>
        <w:t>Berenson, M.L.; Levine, D.M. y Krehbiel, T.C. (2001). Estadística para administración (2da. Edición). Estado de México, México: Pearson/Prentice Hall.</w:t>
      </w:r>
    </w:p>
    <w:p w14:paraId="1B5AA828" w14:textId="77777777" w:rsidR="004C1356" w:rsidRPr="00DB440A" w:rsidRDefault="004C1356" w:rsidP="00660903">
      <w:pPr>
        <w:spacing w:line="360" w:lineRule="auto"/>
        <w:ind w:left="567" w:hanging="567"/>
        <w:rPr>
          <w:rFonts w:ascii="Times New Roman" w:hAnsi="Times New Roman" w:cs="Times New Roman"/>
          <w:sz w:val="24"/>
          <w:szCs w:val="24"/>
        </w:rPr>
      </w:pPr>
      <w:r w:rsidRPr="00DB440A">
        <w:rPr>
          <w:rFonts w:ascii="Times New Roman" w:hAnsi="Times New Roman" w:cs="Times New Roman"/>
          <w:sz w:val="24"/>
          <w:szCs w:val="24"/>
        </w:rPr>
        <w:t xml:space="preserve">Carrillo Landazábal, M.S.; Pons Murguía, R.; Vergara Canchila, L. y Payares Padilla, J. (2010). Variables condicionantes de la calidad en instituciones de educación superior. Estudio de un caso. </w:t>
      </w:r>
      <w:r w:rsidRPr="00DB440A">
        <w:rPr>
          <w:rFonts w:ascii="Times New Roman" w:hAnsi="Times New Roman" w:cs="Times New Roman"/>
          <w:bCs/>
          <w:sz w:val="24"/>
          <w:szCs w:val="24"/>
        </w:rPr>
        <w:t>8th Latin American and Caribbean Conference for Engineering and Technology.</w:t>
      </w:r>
      <w:r w:rsidRPr="00DB440A">
        <w:rPr>
          <w:rFonts w:ascii="Times New Roman" w:hAnsi="Times New Roman" w:cs="Times New Roman"/>
          <w:b/>
          <w:bCs/>
          <w:sz w:val="24"/>
          <w:szCs w:val="24"/>
        </w:rPr>
        <w:t xml:space="preserve"> </w:t>
      </w:r>
      <w:r w:rsidRPr="00DB440A">
        <w:rPr>
          <w:rFonts w:ascii="Times New Roman" w:hAnsi="Times New Roman" w:cs="Times New Roman"/>
          <w:i/>
          <w:iCs/>
          <w:sz w:val="24"/>
          <w:szCs w:val="24"/>
        </w:rPr>
        <w:t xml:space="preserve">“Innovation and Development for the Americas”, Arequipa, Perú. Recuperado el 18 de diciembre de 2014 en el sitio http://www.laccei.org/LACCEI2010-Peru/published/ACC113_Carrillo.pdf </w:t>
      </w:r>
    </w:p>
    <w:p w14:paraId="7FF1BB47" w14:textId="77777777" w:rsidR="004C1356" w:rsidRPr="00C81823" w:rsidRDefault="004C1356" w:rsidP="00C81823">
      <w:pPr>
        <w:pStyle w:val="Textonotapie"/>
        <w:spacing w:after="240" w:line="360" w:lineRule="auto"/>
        <w:ind w:left="567" w:hanging="567"/>
        <w:rPr>
          <w:rFonts w:ascii="Times New Roman" w:hAnsi="Times New Roman" w:cs="Times New Roman"/>
          <w:sz w:val="24"/>
          <w:szCs w:val="24"/>
        </w:rPr>
      </w:pPr>
      <w:r w:rsidRPr="00C81823">
        <w:rPr>
          <w:rFonts w:ascii="Times New Roman" w:hAnsi="Times New Roman" w:cs="Times New Roman"/>
          <w:sz w:val="24"/>
          <w:szCs w:val="24"/>
        </w:rPr>
        <w:t xml:space="preserve">Corrales Burgueño, V.A. (2011, 16 de agosto). </w:t>
      </w:r>
      <w:r w:rsidRPr="00C81823">
        <w:rPr>
          <w:rFonts w:ascii="Times New Roman" w:hAnsi="Times New Roman" w:cs="Times New Roman"/>
          <w:i/>
          <w:sz w:val="24"/>
          <w:szCs w:val="24"/>
        </w:rPr>
        <w:t>UAS abrirá grupos para rechazados</w:t>
      </w:r>
      <w:r w:rsidRPr="00C81823">
        <w:rPr>
          <w:rFonts w:ascii="Times New Roman" w:hAnsi="Times New Roman" w:cs="Times New Roman"/>
          <w:sz w:val="24"/>
          <w:szCs w:val="24"/>
        </w:rPr>
        <w:t xml:space="preserve">. El Debate, Culiacán. Reportera Carola Rojo. Consultado en: </w:t>
      </w:r>
      <w:hyperlink r:id="rId40" w:history="1">
        <w:r w:rsidRPr="00C81823">
          <w:rPr>
            <w:rStyle w:val="Hipervnculo"/>
            <w:rFonts w:ascii="Times New Roman" w:hAnsi="Times New Roman" w:cs="Times New Roman"/>
            <w:sz w:val="24"/>
            <w:szCs w:val="24"/>
          </w:rPr>
          <w:t>http://www.debate.com.mx/eldebate/noticias/default.asp?IdArt=11209464&amp;IdCat=12302</w:t>
        </w:r>
      </w:hyperlink>
    </w:p>
    <w:p w14:paraId="77AA8E32" w14:textId="77777777" w:rsidR="004C1356" w:rsidRDefault="004C1356" w:rsidP="00C409DC">
      <w:pPr>
        <w:spacing w:line="360" w:lineRule="auto"/>
        <w:ind w:left="567" w:hanging="567"/>
        <w:rPr>
          <w:rFonts w:ascii="Times New Roman" w:hAnsi="Times New Roman" w:cs="Times New Roman"/>
          <w:sz w:val="24"/>
          <w:szCs w:val="24"/>
        </w:rPr>
      </w:pPr>
      <w:r w:rsidRPr="00D220AE">
        <w:rPr>
          <w:rFonts w:ascii="Times New Roman" w:hAnsi="Times New Roman" w:cs="Times New Roman"/>
          <w:sz w:val="24"/>
          <w:szCs w:val="24"/>
        </w:rPr>
        <w:lastRenderedPageBreak/>
        <w:t>González</w:t>
      </w:r>
      <w:r>
        <w:rPr>
          <w:rFonts w:ascii="Times New Roman" w:hAnsi="Times New Roman" w:cs="Times New Roman"/>
          <w:sz w:val="24"/>
          <w:szCs w:val="24"/>
        </w:rPr>
        <w:t xml:space="preserve"> Martínez</w:t>
      </w:r>
      <w:r w:rsidRPr="00D220AE">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D220AE">
        <w:rPr>
          <w:rFonts w:ascii="Times New Roman" w:hAnsi="Times New Roman" w:cs="Times New Roman"/>
          <w:sz w:val="24"/>
          <w:szCs w:val="24"/>
        </w:rPr>
        <w:t>Castro</w:t>
      </w:r>
      <w:r>
        <w:rPr>
          <w:rFonts w:ascii="Times New Roman" w:hAnsi="Times New Roman" w:cs="Times New Roman"/>
          <w:sz w:val="24"/>
          <w:szCs w:val="24"/>
        </w:rPr>
        <w:t xml:space="preserve"> Lara, E.</w:t>
      </w:r>
      <w:r w:rsidRPr="00D220AE">
        <w:rPr>
          <w:rFonts w:ascii="Times New Roman" w:hAnsi="Times New Roman" w:cs="Times New Roman"/>
          <w:sz w:val="24"/>
          <w:szCs w:val="24"/>
        </w:rPr>
        <w:t xml:space="preserve"> y Bañuelos</w:t>
      </w:r>
      <w:r>
        <w:rPr>
          <w:rFonts w:ascii="Times New Roman" w:hAnsi="Times New Roman" w:cs="Times New Roman"/>
          <w:sz w:val="24"/>
          <w:szCs w:val="24"/>
        </w:rPr>
        <w:t xml:space="preserve"> Ramírez, D.D.</w:t>
      </w:r>
      <w:r w:rsidRPr="00D220AE">
        <w:rPr>
          <w:rFonts w:ascii="Times New Roman" w:hAnsi="Times New Roman" w:cs="Times New Roman"/>
          <w:sz w:val="24"/>
          <w:szCs w:val="24"/>
        </w:rPr>
        <w:t xml:space="preserve"> (2011)</w:t>
      </w:r>
      <w:r>
        <w:rPr>
          <w:rFonts w:ascii="Times New Roman" w:hAnsi="Times New Roman" w:cs="Times New Roman"/>
          <w:sz w:val="24"/>
          <w:szCs w:val="24"/>
        </w:rPr>
        <w:t xml:space="preserve">. </w:t>
      </w:r>
      <w:r w:rsidRPr="00C409DC">
        <w:rPr>
          <w:rFonts w:ascii="Times New Roman" w:hAnsi="Times New Roman" w:cs="Times New Roman"/>
          <w:i/>
          <w:sz w:val="24"/>
          <w:szCs w:val="24"/>
        </w:rPr>
        <w:t>Trayectorias escolares. El perfil de ingreso de los estudiantes de Ciencias Químicas: un primer abordaje para contrastación ulterior con otras disciplinas</w:t>
      </w:r>
      <w:r>
        <w:rPr>
          <w:rFonts w:ascii="Times New Roman" w:hAnsi="Times New Roman" w:cs="Times New Roman"/>
          <w:sz w:val="24"/>
          <w:szCs w:val="24"/>
        </w:rPr>
        <w:t xml:space="preserve">. Revista Latinoamericana de Estudios Educativos (México), 41(3-4) pp. 119-138. Centro de Estudios Educativos. México. Consultado el 2 de diciembre de 2014 en </w:t>
      </w:r>
      <w:hyperlink r:id="rId41" w:history="1">
        <w:r w:rsidRPr="00C465AF">
          <w:rPr>
            <w:rStyle w:val="Hipervnculo"/>
            <w:rFonts w:ascii="Times New Roman" w:hAnsi="Times New Roman" w:cs="Times New Roman"/>
            <w:sz w:val="24"/>
            <w:szCs w:val="24"/>
          </w:rPr>
          <w:t>http://www.redalyc.org/articulo.oa?id=27022351006</w:t>
        </w:r>
      </w:hyperlink>
    </w:p>
    <w:p w14:paraId="651E1AA9" w14:textId="77777777" w:rsidR="004C1356" w:rsidRPr="00C81823" w:rsidRDefault="004C1356" w:rsidP="00C81823">
      <w:pPr>
        <w:pStyle w:val="Textonotapie"/>
        <w:spacing w:after="240" w:line="360" w:lineRule="auto"/>
        <w:ind w:left="567" w:hanging="567"/>
        <w:rPr>
          <w:rFonts w:ascii="Times New Roman" w:hAnsi="Times New Roman" w:cs="Times New Roman"/>
          <w:sz w:val="24"/>
          <w:szCs w:val="24"/>
        </w:rPr>
      </w:pPr>
      <w:r w:rsidRPr="00C81823">
        <w:rPr>
          <w:rFonts w:ascii="Times New Roman" w:hAnsi="Times New Roman" w:cs="Times New Roman"/>
          <w:sz w:val="24"/>
          <w:szCs w:val="24"/>
        </w:rPr>
        <w:t xml:space="preserve">Guerra Liera, J. E. (2014, 25 de mayo). </w:t>
      </w:r>
      <w:r w:rsidRPr="00C81823">
        <w:rPr>
          <w:rFonts w:ascii="Times New Roman" w:hAnsi="Times New Roman" w:cs="Times New Roman"/>
          <w:i/>
          <w:sz w:val="24"/>
          <w:szCs w:val="24"/>
        </w:rPr>
        <w:t>“45 mil jóvenes esperan entrar a la UAS”</w:t>
      </w:r>
      <w:r w:rsidRPr="00C81823">
        <w:rPr>
          <w:rFonts w:ascii="Times New Roman" w:hAnsi="Times New Roman" w:cs="Times New Roman"/>
          <w:sz w:val="24"/>
          <w:szCs w:val="24"/>
        </w:rPr>
        <w:t xml:space="preserve">. El Debate de Culiacán. Mario Kato (reportero).Consultado el día 27 de mayo de 2014 en </w:t>
      </w:r>
      <w:hyperlink r:id="rId42" w:history="1">
        <w:r w:rsidRPr="00C81823">
          <w:rPr>
            <w:rStyle w:val="Hipervnculo"/>
            <w:rFonts w:ascii="Times New Roman" w:hAnsi="Times New Roman" w:cs="Times New Roman"/>
            <w:sz w:val="24"/>
            <w:szCs w:val="24"/>
          </w:rPr>
          <w:t>http://www.debate.com.mx/eldebate/noticias/default.asp?IdArt=14419538&amp;IdCat=12302</w:t>
        </w:r>
      </w:hyperlink>
      <w:r w:rsidRPr="00C81823">
        <w:rPr>
          <w:rFonts w:ascii="Times New Roman" w:hAnsi="Times New Roman" w:cs="Times New Roman"/>
          <w:sz w:val="24"/>
          <w:szCs w:val="24"/>
        </w:rPr>
        <w:t>.</w:t>
      </w:r>
    </w:p>
    <w:p w14:paraId="4EF1A108" w14:textId="77777777" w:rsidR="004C1356" w:rsidRDefault="004C1356" w:rsidP="004C297B">
      <w:pPr>
        <w:spacing w:line="360" w:lineRule="auto"/>
        <w:ind w:left="567" w:hanging="567"/>
        <w:rPr>
          <w:rFonts w:ascii="Times New Roman" w:hAnsi="Times New Roman" w:cs="Times New Roman"/>
          <w:sz w:val="24"/>
          <w:szCs w:val="24"/>
        </w:rPr>
      </w:pPr>
      <w:r>
        <w:rPr>
          <w:rFonts w:ascii="Times New Roman" w:hAnsi="Times New Roman" w:cs="Times New Roman"/>
          <w:sz w:val="24"/>
          <w:szCs w:val="24"/>
        </w:rPr>
        <w:t>Hall, L. (2014). Administración matricial que sí funciona. La mejor guía para los gerentes que buscan comprometer a la gente y reducir la complejidad de las relaciones en la organización. México. Grupo Editorial Patria.</w:t>
      </w:r>
    </w:p>
    <w:p w14:paraId="26BB8F5E" w14:textId="77777777" w:rsidR="004C1356" w:rsidRDefault="004C1356" w:rsidP="00AE4EC1">
      <w:pPr>
        <w:spacing w:line="360" w:lineRule="auto"/>
        <w:ind w:left="567" w:hanging="567"/>
        <w:rPr>
          <w:rFonts w:ascii="Times New Roman" w:hAnsi="Times New Roman" w:cs="Times New Roman"/>
          <w:sz w:val="24"/>
          <w:szCs w:val="24"/>
        </w:rPr>
      </w:pPr>
      <w:r>
        <w:rPr>
          <w:rFonts w:ascii="Times New Roman" w:hAnsi="Times New Roman" w:cs="Times New Roman"/>
          <w:sz w:val="24"/>
          <w:szCs w:val="24"/>
        </w:rPr>
        <w:t>Morín, E. (1999). Los siete saberes necesarios para la educación del futuro (Vallejo-Gómez, M. trad.). Organización de las Naciones Unidas para la Educación, la Ciencia y la Cultura. Francia.</w:t>
      </w:r>
    </w:p>
    <w:p w14:paraId="0477CC5D" w14:textId="77777777" w:rsidR="004C1356" w:rsidRDefault="004C1356" w:rsidP="00660903">
      <w:pPr>
        <w:pStyle w:val="Textonotapie"/>
        <w:spacing w:after="240" w:line="360" w:lineRule="auto"/>
        <w:ind w:left="567" w:hanging="567"/>
        <w:jc w:val="both"/>
        <w:rPr>
          <w:rStyle w:val="Hipervnculo"/>
          <w:rFonts w:eastAsiaTheme="majorEastAsia"/>
          <w:sz w:val="24"/>
          <w:szCs w:val="24"/>
        </w:rPr>
      </w:pPr>
      <w:r w:rsidRPr="00C355B2">
        <w:rPr>
          <w:sz w:val="24"/>
          <w:szCs w:val="24"/>
        </w:rPr>
        <w:t xml:space="preserve">Pedraja, R. L. y Rodríguez P. E. (2004). Efectos del Estilo de Liderazgo sobre la Eficacia de la Organizaciones Públicas. Revista Facultad de Ingeniería, U.T.A. (Chile) Vol.12 N°2, pp. </w:t>
      </w:r>
      <w:r w:rsidRPr="00BC0787">
        <w:rPr>
          <w:sz w:val="24"/>
          <w:szCs w:val="24"/>
        </w:rPr>
        <w:t xml:space="preserve">63-73. </w:t>
      </w:r>
      <w:r>
        <w:rPr>
          <w:sz w:val="24"/>
          <w:szCs w:val="24"/>
        </w:rPr>
        <w:t>Recuperado</w:t>
      </w:r>
      <w:r w:rsidRPr="00BC0787">
        <w:rPr>
          <w:sz w:val="24"/>
          <w:szCs w:val="24"/>
        </w:rPr>
        <w:t xml:space="preserve"> el 25</w:t>
      </w:r>
      <w:r>
        <w:rPr>
          <w:sz w:val="24"/>
          <w:szCs w:val="24"/>
        </w:rPr>
        <w:t xml:space="preserve"> de septiembre de </w:t>
      </w:r>
      <w:r w:rsidRPr="00BC0787">
        <w:rPr>
          <w:sz w:val="24"/>
          <w:szCs w:val="24"/>
        </w:rPr>
        <w:t>2014</w:t>
      </w:r>
      <w:r>
        <w:rPr>
          <w:sz w:val="24"/>
          <w:szCs w:val="24"/>
        </w:rPr>
        <w:t>, del sitio web</w:t>
      </w:r>
      <w:r w:rsidRPr="00BC0787">
        <w:rPr>
          <w:sz w:val="24"/>
          <w:szCs w:val="24"/>
        </w:rPr>
        <w:t xml:space="preserve">: </w:t>
      </w:r>
      <w:hyperlink r:id="rId43" w:history="1">
        <w:r w:rsidRPr="00BC0787">
          <w:rPr>
            <w:rStyle w:val="Hipervnculo"/>
            <w:rFonts w:eastAsiaTheme="majorEastAsia"/>
            <w:sz w:val="24"/>
            <w:szCs w:val="24"/>
          </w:rPr>
          <w:t>http://www.scielo.cl/pdf/rfacing/v12n2/art09.pdf</w:t>
        </w:r>
      </w:hyperlink>
    </w:p>
    <w:p w14:paraId="02E7BCA4" w14:textId="77777777" w:rsidR="004C1356" w:rsidRDefault="004C1356" w:rsidP="00AE4EC1">
      <w:pPr>
        <w:spacing w:line="360" w:lineRule="auto"/>
        <w:ind w:left="567" w:hanging="567"/>
        <w:rPr>
          <w:rFonts w:ascii="Times New Roman" w:hAnsi="Times New Roman" w:cs="Times New Roman"/>
          <w:sz w:val="24"/>
          <w:szCs w:val="24"/>
        </w:rPr>
      </w:pPr>
      <w:r>
        <w:rPr>
          <w:rFonts w:ascii="Times New Roman" w:hAnsi="Times New Roman" w:cs="Times New Roman"/>
          <w:sz w:val="24"/>
          <w:szCs w:val="24"/>
        </w:rPr>
        <w:t xml:space="preserve">Piccone Ayala, C. (2008). </w:t>
      </w:r>
      <w:r w:rsidRPr="001219D1">
        <w:rPr>
          <w:rFonts w:ascii="Times New Roman" w:hAnsi="Times New Roman" w:cs="Times New Roman"/>
          <w:i/>
          <w:sz w:val="24"/>
          <w:szCs w:val="24"/>
        </w:rPr>
        <w:t>Normas de Evaluación para programas, proyectos y material educativo</w:t>
      </w:r>
      <w:r>
        <w:rPr>
          <w:rFonts w:ascii="Times New Roman" w:hAnsi="Times New Roman" w:cs="Times New Roman"/>
          <w:sz w:val="24"/>
          <w:szCs w:val="24"/>
        </w:rPr>
        <w:t xml:space="preserve">. (2da. Edición). México, D.F.,  México: Editorial Trillas. </w:t>
      </w:r>
    </w:p>
    <w:p w14:paraId="0F3CA38B" w14:textId="77777777" w:rsidR="004C1356" w:rsidRDefault="004C1356" w:rsidP="00265CC0">
      <w:pPr>
        <w:autoSpaceDE w:val="0"/>
        <w:autoSpaceDN w:val="0"/>
        <w:adjustRightInd w:val="0"/>
        <w:spacing w:after="0" w:line="360" w:lineRule="auto"/>
        <w:ind w:left="567" w:hanging="567"/>
        <w:rPr>
          <w:rFonts w:ascii="Times New Roman" w:hAnsi="Times New Roman" w:cs="Times New Roman"/>
          <w:sz w:val="24"/>
          <w:szCs w:val="24"/>
        </w:rPr>
      </w:pPr>
      <w:r w:rsidRPr="00265CC0">
        <w:rPr>
          <w:rFonts w:ascii="Times New Roman" w:hAnsi="Times New Roman" w:cs="Times New Roman"/>
          <w:sz w:val="24"/>
          <w:szCs w:val="24"/>
        </w:rPr>
        <w:t>Rodríguez Lagunas, J. y Leyva Piña, M.A. (2007) La deserción escolar universitaria. La experiencia de la UAM. Entre el déficit de la oferta educativa superior y las dificultades de la retención escolar. Red de Revistas Científicas de América Latina, el Caribe, España y Portugal</w:t>
      </w:r>
      <w:r>
        <w:rPr>
          <w:rFonts w:ascii="Times New Roman" w:hAnsi="Times New Roman" w:cs="Times New Roman"/>
          <w:sz w:val="24"/>
          <w:szCs w:val="24"/>
        </w:rPr>
        <w:t xml:space="preserve">. </w:t>
      </w:r>
      <w:r w:rsidRPr="00265CC0">
        <w:rPr>
          <w:rFonts w:ascii="Times New Roman" w:hAnsi="Times New Roman" w:cs="Times New Roman"/>
          <w:sz w:val="24"/>
          <w:szCs w:val="24"/>
        </w:rPr>
        <w:t xml:space="preserve">Sistema de Información Científica 22 (142), pp.98-111. México: Universidad Autónoma Metropolitana. Recuperado el 22 de diciembre de 2014 del sitio </w:t>
      </w:r>
      <w:hyperlink r:id="rId44" w:history="1">
        <w:r w:rsidRPr="002A2C7A">
          <w:rPr>
            <w:rStyle w:val="Hipervnculo"/>
            <w:rFonts w:ascii="Times New Roman" w:hAnsi="Times New Roman" w:cs="Times New Roman"/>
            <w:sz w:val="24"/>
            <w:szCs w:val="24"/>
          </w:rPr>
          <w:t>http://www.redalyc.org/articulo.oa?id=32514212</w:t>
        </w:r>
      </w:hyperlink>
    </w:p>
    <w:p w14:paraId="245AB54F" w14:textId="77777777" w:rsidR="004C1356" w:rsidRDefault="004C1356" w:rsidP="00E773E7">
      <w:pPr>
        <w:spacing w:line="360" w:lineRule="auto"/>
        <w:ind w:left="567" w:hanging="567"/>
        <w:rPr>
          <w:rFonts w:ascii="Times New Roman" w:hAnsi="Times New Roman" w:cs="Times New Roman"/>
          <w:sz w:val="24"/>
          <w:szCs w:val="24"/>
        </w:rPr>
      </w:pPr>
      <w:r w:rsidRPr="00DA0004">
        <w:rPr>
          <w:rFonts w:ascii="Times New Roman" w:hAnsi="Times New Roman" w:cs="Times New Roman"/>
          <w:sz w:val="24"/>
          <w:szCs w:val="24"/>
        </w:rPr>
        <w:lastRenderedPageBreak/>
        <w:t>Romero López, M.R.; Rodríguez, C.L. y Ruelas Sepúlveda, J.P. (2012). Exigencias del Mercado laboral a egresados de la Universidad Autónoma de Sinaloa. En Memorias del Congreso Internacional de Investigación (pp. 2634-2639), 4 (3). Celaya, Guanajuato, México. Academia Journals.</w:t>
      </w:r>
    </w:p>
    <w:p w14:paraId="46EA6FD1" w14:textId="77777777" w:rsidR="004C1356" w:rsidRDefault="004C1356" w:rsidP="00660903">
      <w:pPr>
        <w:spacing w:after="240" w:line="360" w:lineRule="auto"/>
        <w:ind w:left="567" w:hanging="567"/>
        <w:rPr>
          <w:rFonts w:ascii="Times New Roman" w:hAnsi="Times New Roman" w:cs="Times New Roman"/>
          <w:sz w:val="24"/>
          <w:szCs w:val="24"/>
        </w:rPr>
      </w:pPr>
      <w:r w:rsidRPr="00660903">
        <w:rPr>
          <w:rFonts w:ascii="Times New Roman" w:hAnsi="Times New Roman" w:cs="Times New Roman"/>
          <w:sz w:val="24"/>
          <w:szCs w:val="24"/>
        </w:rPr>
        <w:t xml:space="preserve">Romero López, M.R.; Rodríguez, C.L. y Velázquez Dimas, J.I. (2014). </w:t>
      </w:r>
      <w:bookmarkStart w:id="1" w:name="_Toc402260747"/>
      <w:r w:rsidRPr="00660903">
        <w:rPr>
          <w:rFonts w:ascii="Times New Roman" w:hAnsi="Times New Roman" w:cs="Times New Roman"/>
          <w:sz w:val="24"/>
          <w:szCs w:val="24"/>
        </w:rPr>
        <w:t>Gestión Escolar en las unidades académicas del Colegio de Ciencias Sociales y Administrativas de la UAS: Valoración de los egresados</w:t>
      </w:r>
      <w:bookmarkEnd w:id="1"/>
      <w:r>
        <w:rPr>
          <w:rFonts w:ascii="Times New Roman" w:hAnsi="Times New Roman" w:cs="Times New Roman"/>
          <w:sz w:val="24"/>
          <w:szCs w:val="24"/>
        </w:rPr>
        <w:t xml:space="preserve">. </w:t>
      </w:r>
      <w:r w:rsidRPr="00C81823">
        <w:rPr>
          <w:rFonts w:ascii="Times New Roman" w:hAnsi="Times New Roman" w:cs="Times New Roman"/>
          <w:i/>
          <w:sz w:val="24"/>
          <w:szCs w:val="24"/>
        </w:rPr>
        <w:t>MRRL y CLR</w:t>
      </w:r>
      <w:r>
        <w:rPr>
          <w:rFonts w:ascii="Times New Roman" w:hAnsi="Times New Roman" w:cs="Times New Roman"/>
          <w:sz w:val="24"/>
          <w:szCs w:val="24"/>
        </w:rPr>
        <w:t xml:space="preserve"> (Ed.), Memoria del Primer congreso de Evaluación de Necesidades Profesionales y Sociales (pp. 363-378). Mazatlán, Sinaloa, México. Universidad Autónoma de Sinaloa. Recuperado el 18 de diciembre de 2014 del sitio </w:t>
      </w:r>
      <w:hyperlink r:id="rId45" w:history="1">
        <w:r w:rsidRPr="005E4444">
          <w:rPr>
            <w:rStyle w:val="Hipervnculo"/>
            <w:rFonts w:ascii="Times New Roman" w:hAnsi="Times New Roman" w:cs="Times New Roman"/>
            <w:sz w:val="24"/>
            <w:szCs w:val="24"/>
          </w:rPr>
          <w:t>http://sau-enlinea.uas.edu.mx/cenpros2014/doc/MEM-CENPROS2014.pdf</w:t>
        </w:r>
      </w:hyperlink>
    </w:p>
    <w:p w14:paraId="2AD06FC8" w14:textId="77777777" w:rsidR="004C1356" w:rsidRPr="00C81823" w:rsidRDefault="004C1356" w:rsidP="00C81823">
      <w:pPr>
        <w:spacing w:after="240" w:line="360" w:lineRule="auto"/>
        <w:ind w:left="567" w:hanging="567"/>
        <w:jc w:val="both"/>
        <w:rPr>
          <w:rFonts w:ascii="Times New Roman" w:hAnsi="Times New Roman" w:cs="Times New Roman"/>
          <w:sz w:val="24"/>
          <w:szCs w:val="24"/>
        </w:rPr>
      </w:pPr>
      <w:r w:rsidRPr="00C81823">
        <w:rPr>
          <w:rFonts w:ascii="Times New Roman" w:hAnsi="Times New Roman" w:cs="Times New Roman"/>
          <w:sz w:val="24"/>
          <w:szCs w:val="24"/>
        </w:rPr>
        <w:t xml:space="preserve">Santos Rojas, M. A.; Ortiz Jiménez, M. B. y Arredondo Zárate, M. S. (2014). </w:t>
      </w:r>
      <w:r w:rsidRPr="00C81823">
        <w:rPr>
          <w:rFonts w:ascii="Times New Roman" w:hAnsi="Times New Roman" w:cs="Times New Roman"/>
          <w:i/>
          <w:sz w:val="24"/>
          <w:szCs w:val="24"/>
        </w:rPr>
        <w:t>Valoración de la formación recibida en las Escuelas Normales Públicas del Estado de México a partir de un Estudio de Seguimiento a Egresados. MRRL y CLR</w:t>
      </w:r>
      <w:r w:rsidRPr="00C81823">
        <w:rPr>
          <w:rFonts w:ascii="Times New Roman" w:hAnsi="Times New Roman" w:cs="Times New Roman"/>
          <w:sz w:val="24"/>
          <w:szCs w:val="24"/>
        </w:rPr>
        <w:t xml:space="preserve"> (Ed.). Primer Congreso de Evaluación de Necesidades Profesionales y Sociales (pp. 351-361). Mazatlán, Sinaloa, México.</w:t>
      </w:r>
    </w:p>
    <w:p w14:paraId="195D10BE" w14:textId="77777777" w:rsidR="004C1356" w:rsidRDefault="004C1356" w:rsidP="00AE4EC1">
      <w:pPr>
        <w:spacing w:line="360" w:lineRule="auto"/>
        <w:ind w:left="567" w:hanging="567"/>
        <w:rPr>
          <w:rFonts w:ascii="Times New Roman" w:hAnsi="Times New Roman" w:cs="Times New Roman"/>
          <w:sz w:val="24"/>
          <w:szCs w:val="24"/>
        </w:rPr>
      </w:pPr>
      <w:r>
        <w:rPr>
          <w:rFonts w:ascii="Times New Roman" w:hAnsi="Times New Roman" w:cs="Times New Roman"/>
          <w:sz w:val="24"/>
          <w:szCs w:val="24"/>
        </w:rPr>
        <w:t>Torres Delgado, G. y Rositas Martínez, J. (2011). Diseño de planes educativos bajo un enfoque de competencias. (1ra. Edición).</w:t>
      </w:r>
      <w:r w:rsidRPr="00E66948">
        <w:rPr>
          <w:rFonts w:ascii="Times New Roman" w:hAnsi="Times New Roman" w:cs="Times New Roman"/>
          <w:sz w:val="24"/>
          <w:szCs w:val="24"/>
        </w:rPr>
        <w:t xml:space="preserve"> </w:t>
      </w:r>
      <w:r>
        <w:rPr>
          <w:rFonts w:ascii="Times New Roman" w:hAnsi="Times New Roman" w:cs="Times New Roman"/>
          <w:sz w:val="24"/>
          <w:szCs w:val="24"/>
        </w:rPr>
        <w:t>México, D.F.,  México: Editorial Trillas.</w:t>
      </w:r>
    </w:p>
    <w:sectPr w:rsidR="004C1356">
      <w:headerReference w:type="default" r:id="rId46"/>
      <w:footerReference w:type="default" r:id="rId47"/>
      <w:pgSz w:w="12240" w:h="15840"/>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C7E91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99469" w14:textId="77777777" w:rsidR="00203CB0" w:rsidRDefault="00203CB0" w:rsidP="00DA737B">
      <w:pPr>
        <w:spacing w:after="0" w:line="240" w:lineRule="auto"/>
      </w:pPr>
      <w:r>
        <w:separator/>
      </w:r>
    </w:p>
  </w:endnote>
  <w:endnote w:type="continuationSeparator" w:id="0">
    <w:p w14:paraId="7F129E77" w14:textId="77777777" w:rsidR="00203CB0" w:rsidRDefault="00203CB0" w:rsidP="00DA73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Calibri"/>
        <w:b/>
        <w:lang w:val="es-ES" w:eastAsia="es-ES"/>
      </w:rPr>
      <w:id w:val="-610431678"/>
      <w:docPartObj>
        <w:docPartGallery w:val="Page Numbers (Bottom of Page)"/>
        <w:docPartUnique/>
      </w:docPartObj>
    </w:sdtPr>
    <w:sdtEndPr>
      <w:rPr>
        <w:rFonts w:asciiTheme="majorHAnsi" w:hAnsiTheme="majorHAnsi"/>
      </w:rPr>
    </w:sdtEndPr>
    <w:sdtContent>
      <w:p w14:paraId="59C1A03C" w14:textId="77777777" w:rsidR="002363C6" w:rsidRDefault="002363C6" w:rsidP="002363C6">
        <w:pPr>
          <w:pStyle w:val="Piedepgina"/>
          <w:jc w:val="center"/>
          <w:rPr>
            <w:rFonts w:asciiTheme="majorHAnsi" w:eastAsia="Times New Roman" w:hAnsiTheme="majorHAnsi" w:cs="Calibri"/>
            <w:b/>
            <w:lang w:val="es-ES" w:eastAsia="es-ES"/>
          </w:rPr>
        </w:pPr>
        <w:r w:rsidRPr="002656B8">
          <w:rPr>
            <w:rFonts w:eastAsia="Times New Roman" w:cs="Calibri"/>
            <w:b/>
            <w:lang w:val="es-ES" w:eastAsia="es-ES"/>
          </w:rPr>
          <w:t>Vol. 5, Núm. 10                  Enero – Junio  2015           RIDE</w:t>
        </w:r>
      </w:p>
    </w:sdtContent>
  </w:sdt>
  <w:p w14:paraId="59FC1D16" w14:textId="77777777" w:rsidR="002363C6" w:rsidRDefault="002363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4029B" w14:textId="77777777" w:rsidR="00203CB0" w:rsidRDefault="00203CB0" w:rsidP="00DA737B">
      <w:pPr>
        <w:spacing w:after="0" w:line="240" w:lineRule="auto"/>
      </w:pPr>
      <w:r>
        <w:separator/>
      </w:r>
    </w:p>
  </w:footnote>
  <w:footnote w:type="continuationSeparator" w:id="0">
    <w:p w14:paraId="613843C0" w14:textId="77777777" w:rsidR="00203CB0" w:rsidRDefault="00203CB0" w:rsidP="00DA73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3D9C4" w14:textId="77777777" w:rsidR="002363C6" w:rsidRDefault="002363C6" w:rsidP="002363C6">
    <w:pPr>
      <w:pStyle w:val="Encabezado"/>
    </w:pPr>
    <w:r w:rsidRPr="002656B8">
      <w:rPr>
        <w:rFonts w:eastAsia="Times New Roman" w:cs="Calibri"/>
        <w:b/>
        <w:i/>
        <w:lang w:val="es-ES" w:eastAsia="es-ES"/>
      </w:rPr>
      <w:t xml:space="preserve">Revista Iberoamericana para la Investigación y el Desarrollo Educativo            </w:t>
    </w:r>
    <w:r>
      <w:rPr>
        <w:rFonts w:eastAsia="Times New Roman" w:cs="Calibri"/>
        <w:b/>
        <w:i/>
        <w:lang w:val="es-ES" w:eastAsia="es-ES"/>
      </w:rPr>
      <w:t xml:space="preserve">    </w:t>
    </w:r>
    <w:r w:rsidRPr="002656B8">
      <w:rPr>
        <w:rFonts w:eastAsia="Times New Roman" w:cs="Calibri"/>
        <w:b/>
        <w:i/>
        <w:lang w:val="es-ES" w:eastAsia="es-ES"/>
      </w:rPr>
      <w:t xml:space="preserve"> </w:t>
    </w:r>
    <w:r w:rsidRPr="002656B8">
      <w:rPr>
        <w:rFonts w:eastAsia="Times New Roman" w:cs="Calibri"/>
        <w:b/>
        <w:lang w:val="es-ES" w:eastAsia="es-ES"/>
      </w:rPr>
      <w:t>ISSN 2007 - 7467</w:t>
    </w:r>
  </w:p>
  <w:p w14:paraId="2D4F12B0" w14:textId="77777777" w:rsidR="002363C6" w:rsidRDefault="002363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66F9"/>
    <w:multiLevelType w:val="multilevel"/>
    <w:tmpl w:val="54188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62000F"/>
    <w:multiLevelType w:val="hybridMultilevel"/>
    <w:tmpl w:val="014033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BC9097A"/>
    <w:multiLevelType w:val="hybridMultilevel"/>
    <w:tmpl w:val="53844C0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13574A8"/>
    <w:multiLevelType w:val="hybridMultilevel"/>
    <w:tmpl w:val="00C61056"/>
    <w:lvl w:ilvl="0" w:tplc="CE0AF288">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64E1EE6"/>
    <w:multiLevelType w:val="hybridMultilevel"/>
    <w:tmpl w:val="014033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7221E1B"/>
    <w:multiLevelType w:val="hybridMultilevel"/>
    <w:tmpl w:val="E25809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53982DEA"/>
    <w:multiLevelType w:val="hybridMultilevel"/>
    <w:tmpl w:val="014033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3B05FAE"/>
    <w:multiLevelType w:val="hybridMultilevel"/>
    <w:tmpl w:val="7BAC0F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A1C30BD"/>
    <w:multiLevelType w:val="hybridMultilevel"/>
    <w:tmpl w:val="E258099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D2D4113"/>
    <w:multiLevelType w:val="hybridMultilevel"/>
    <w:tmpl w:val="92A444B2"/>
    <w:lvl w:ilvl="0" w:tplc="6D24790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CFD6A1A"/>
    <w:multiLevelType w:val="hybridMultilevel"/>
    <w:tmpl w:val="07ACA3EC"/>
    <w:lvl w:ilvl="0" w:tplc="8B20F4D4">
      <w:start w:val="1"/>
      <w:numFmt w:val="lowerLetter"/>
      <w:lvlText w:val="%1."/>
      <w:lvlJc w:val="left"/>
      <w:pPr>
        <w:ind w:left="720" w:hanging="360"/>
      </w:pPr>
      <w:rPr>
        <w:rFonts w:ascii="Calibri" w:eastAsia="Times New Roman" w:hAnsi="Calibri"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DA867FC"/>
    <w:multiLevelType w:val="hybridMultilevel"/>
    <w:tmpl w:val="014033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0"/>
  </w:num>
  <w:num w:numId="5">
    <w:abstractNumId w:val="9"/>
  </w:num>
  <w:num w:numId="6">
    <w:abstractNumId w:val="11"/>
  </w:num>
  <w:num w:numId="7">
    <w:abstractNumId w:val="1"/>
  </w:num>
  <w:num w:numId="8">
    <w:abstractNumId w:val="6"/>
  </w:num>
  <w:num w:numId="9">
    <w:abstractNumId w:val="4"/>
  </w:num>
  <w:num w:numId="10">
    <w:abstractNumId w:val="3"/>
  </w:num>
  <w:num w:numId="11">
    <w:abstractNumId w:val="8"/>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ota Leticia Rodriguez">
    <w15:presenceInfo w15:providerId="Windows Live" w15:userId="27eb047d829383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4C8"/>
    <w:rsid w:val="00005BF6"/>
    <w:rsid w:val="00016EB5"/>
    <w:rsid w:val="0003224F"/>
    <w:rsid w:val="00035811"/>
    <w:rsid w:val="000450C6"/>
    <w:rsid w:val="000552C0"/>
    <w:rsid w:val="000554FE"/>
    <w:rsid w:val="000759E7"/>
    <w:rsid w:val="00083DB5"/>
    <w:rsid w:val="00094950"/>
    <w:rsid w:val="00097607"/>
    <w:rsid w:val="000A064A"/>
    <w:rsid w:val="000A21A7"/>
    <w:rsid w:val="000A77F7"/>
    <w:rsid w:val="000C28C2"/>
    <w:rsid w:val="000C3495"/>
    <w:rsid w:val="000C627A"/>
    <w:rsid w:val="000D2F0D"/>
    <w:rsid w:val="000D5043"/>
    <w:rsid w:val="000F5FD2"/>
    <w:rsid w:val="000F6E40"/>
    <w:rsid w:val="000F742D"/>
    <w:rsid w:val="001002E3"/>
    <w:rsid w:val="00113887"/>
    <w:rsid w:val="001219D1"/>
    <w:rsid w:val="0012263E"/>
    <w:rsid w:val="00126A16"/>
    <w:rsid w:val="00136846"/>
    <w:rsid w:val="00137928"/>
    <w:rsid w:val="001510F1"/>
    <w:rsid w:val="00160DD0"/>
    <w:rsid w:val="00165FCF"/>
    <w:rsid w:val="00173289"/>
    <w:rsid w:val="00174B2A"/>
    <w:rsid w:val="00176E3E"/>
    <w:rsid w:val="00181893"/>
    <w:rsid w:val="00183819"/>
    <w:rsid w:val="001877EB"/>
    <w:rsid w:val="00194570"/>
    <w:rsid w:val="001A12CD"/>
    <w:rsid w:val="001A5411"/>
    <w:rsid w:val="001B69A7"/>
    <w:rsid w:val="001C6EBA"/>
    <w:rsid w:val="001D12FA"/>
    <w:rsid w:val="001D2E44"/>
    <w:rsid w:val="001F2887"/>
    <w:rsid w:val="001F422E"/>
    <w:rsid w:val="00203CB0"/>
    <w:rsid w:val="00205391"/>
    <w:rsid w:val="002208F3"/>
    <w:rsid w:val="0022237C"/>
    <w:rsid w:val="002314EA"/>
    <w:rsid w:val="0023297C"/>
    <w:rsid w:val="002363C6"/>
    <w:rsid w:val="0023766D"/>
    <w:rsid w:val="00246DF1"/>
    <w:rsid w:val="0026024F"/>
    <w:rsid w:val="002624DB"/>
    <w:rsid w:val="00265CC0"/>
    <w:rsid w:val="002932A2"/>
    <w:rsid w:val="002B2E81"/>
    <w:rsid w:val="002B7792"/>
    <w:rsid w:val="002C2D9A"/>
    <w:rsid w:val="00336DCF"/>
    <w:rsid w:val="00336ED0"/>
    <w:rsid w:val="0033798E"/>
    <w:rsid w:val="00341801"/>
    <w:rsid w:val="00342E93"/>
    <w:rsid w:val="00350036"/>
    <w:rsid w:val="00354A07"/>
    <w:rsid w:val="0035594E"/>
    <w:rsid w:val="00357E9F"/>
    <w:rsid w:val="00363534"/>
    <w:rsid w:val="0036648C"/>
    <w:rsid w:val="00366916"/>
    <w:rsid w:val="00372386"/>
    <w:rsid w:val="003729D4"/>
    <w:rsid w:val="00390FD7"/>
    <w:rsid w:val="00391CAC"/>
    <w:rsid w:val="003B1236"/>
    <w:rsid w:val="003B2426"/>
    <w:rsid w:val="003B7270"/>
    <w:rsid w:val="003B7625"/>
    <w:rsid w:val="003D4539"/>
    <w:rsid w:val="003D67DE"/>
    <w:rsid w:val="003E2591"/>
    <w:rsid w:val="003E5C97"/>
    <w:rsid w:val="003F2AFD"/>
    <w:rsid w:val="003F3B14"/>
    <w:rsid w:val="004035A8"/>
    <w:rsid w:val="00404CBD"/>
    <w:rsid w:val="00405267"/>
    <w:rsid w:val="0040675E"/>
    <w:rsid w:val="00410655"/>
    <w:rsid w:val="00416E7A"/>
    <w:rsid w:val="00416EC8"/>
    <w:rsid w:val="00427A40"/>
    <w:rsid w:val="00436BDD"/>
    <w:rsid w:val="00437B4F"/>
    <w:rsid w:val="00443C8A"/>
    <w:rsid w:val="0046532D"/>
    <w:rsid w:val="00470BD8"/>
    <w:rsid w:val="004814EF"/>
    <w:rsid w:val="00495A09"/>
    <w:rsid w:val="004A21B1"/>
    <w:rsid w:val="004A4F21"/>
    <w:rsid w:val="004B026D"/>
    <w:rsid w:val="004C1356"/>
    <w:rsid w:val="004C297B"/>
    <w:rsid w:val="004D068E"/>
    <w:rsid w:val="004D68C2"/>
    <w:rsid w:val="004E286F"/>
    <w:rsid w:val="004F2940"/>
    <w:rsid w:val="00501FB6"/>
    <w:rsid w:val="00502D6C"/>
    <w:rsid w:val="00503A42"/>
    <w:rsid w:val="00503D17"/>
    <w:rsid w:val="00505A36"/>
    <w:rsid w:val="00510043"/>
    <w:rsid w:val="005124C8"/>
    <w:rsid w:val="005124CC"/>
    <w:rsid w:val="00514FF1"/>
    <w:rsid w:val="005212C9"/>
    <w:rsid w:val="00522346"/>
    <w:rsid w:val="0052283E"/>
    <w:rsid w:val="00530300"/>
    <w:rsid w:val="0053030F"/>
    <w:rsid w:val="00532EAE"/>
    <w:rsid w:val="005352DD"/>
    <w:rsid w:val="00545274"/>
    <w:rsid w:val="005463EB"/>
    <w:rsid w:val="00552A93"/>
    <w:rsid w:val="00553CB4"/>
    <w:rsid w:val="00566E49"/>
    <w:rsid w:val="0057387C"/>
    <w:rsid w:val="005823D8"/>
    <w:rsid w:val="00590956"/>
    <w:rsid w:val="005A743D"/>
    <w:rsid w:val="005B4836"/>
    <w:rsid w:val="005B7E20"/>
    <w:rsid w:val="005C1B86"/>
    <w:rsid w:val="005D1C5F"/>
    <w:rsid w:val="005F6ACF"/>
    <w:rsid w:val="00602445"/>
    <w:rsid w:val="00604359"/>
    <w:rsid w:val="00610B48"/>
    <w:rsid w:val="00610B97"/>
    <w:rsid w:val="00616789"/>
    <w:rsid w:val="00616D91"/>
    <w:rsid w:val="006172D0"/>
    <w:rsid w:val="00625010"/>
    <w:rsid w:val="0063269B"/>
    <w:rsid w:val="006345FD"/>
    <w:rsid w:val="00637161"/>
    <w:rsid w:val="00641F17"/>
    <w:rsid w:val="00643405"/>
    <w:rsid w:val="00654CA2"/>
    <w:rsid w:val="00660903"/>
    <w:rsid w:val="006712EE"/>
    <w:rsid w:val="0068540D"/>
    <w:rsid w:val="00686B7A"/>
    <w:rsid w:val="0068784B"/>
    <w:rsid w:val="00691DAC"/>
    <w:rsid w:val="00692B0C"/>
    <w:rsid w:val="006A11C3"/>
    <w:rsid w:val="006A6589"/>
    <w:rsid w:val="006A67F6"/>
    <w:rsid w:val="006B23E6"/>
    <w:rsid w:val="006B57A7"/>
    <w:rsid w:val="006B6CA8"/>
    <w:rsid w:val="006C4F34"/>
    <w:rsid w:val="006C52E4"/>
    <w:rsid w:val="006C5BAF"/>
    <w:rsid w:val="006C7916"/>
    <w:rsid w:val="006D3AE4"/>
    <w:rsid w:val="006D624A"/>
    <w:rsid w:val="006E7F30"/>
    <w:rsid w:val="006F365D"/>
    <w:rsid w:val="006F7EB4"/>
    <w:rsid w:val="00706C2F"/>
    <w:rsid w:val="007075C3"/>
    <w:rsid w:val="007178F4"/>
    <w:rsid w:val="00723FFE"/>
    <w:rsid w:val="00725267"/>
    <w:rsid w:val="00727057"/>
    <w:rsid w:val="00737C2A"/>
    <w:rsid w:val="00744CAE"/>
    <w:rsid w:val="007522BC"/>
    <w:rsid w:val="00755B6B"/>
    <w:rsid w:val="0075634D"/>
    <w:rsid w:val="00765718"/>
    <w:rsid w:val="00774C63"/>
    <w:rsid w:val="00781ECC"/>
    <w:rsid w:val="00782A85"/>
    <w:rsid w:val="00784949"/>
    <w:rsid w:val="007855AF"/>
    <w:rsid w:val="007973F8"/>
    <w:rsid w:val="007A0865"/>
    <w:rsid w:val="007A3EE1"/>
    <w:rsid w:val="007B43C8"/>
    <w:rsid w:val="007B4DDD"/>
    <w:rsid w:val="007B6F5D"/>
    <w:rsid w:val="007C6FB0"/>
    <w:rsid w:val="007D4359"/>
    <w:rsid w:val="007D7F2D"/>
    <w:rsid w:val="007E1446"/>
    <w:rsid w:val="007F344C"/>
    <w:rsid w:val="00800DC8"/>
    <w:rsid w:val="00852D41"/>
    <w:rsid w:val="008665DD"/>
    <w:rsid w:val="008771D7"/>
    <w:rsid w:val="00880B55"/>
    <w:rsid w:val="0088392E"/>
    <w:rsid w:val="00884076"/>
    <w:rsid w:val="008875E4"/>
    <w:rsid w:val="00891307"/>
    <w:rsid w:val="00892389"/>
    <w:rsid w:val="008B3129"/>
    <w:rsid w:val="008B5779"/>
    <w:rsid w:val="008C03A4"/>
    <w:rsid w:val="008C3EF3"/>
    <w:rsid w:val="008C4F74"/>
    <w:rsid w:val="008E1C3D"/>
    <w:rsid w:val="008E37D8"/>
    <w:rsid w:val="008F3FF7"/>
    <w:rsid w:val="00901FDC"/>
    <w:rsid w:val="00904CE8"/>
    <w:rsid w:val="009075EE"/>
    <w:rsid w:val="00910BBF"/>
    <w:rsid w:val="00911004"/>
    <w:rsid w:val="00921AB4"/>
    <w:rsid w:val="00931310"/>
    <w:rsid w:val="00936B54"/>
    <w:rsid w:val="00944488"/>
    <w:rsid w:val="00956EE3"/>
    <w:rsid w:val="0095746C"/>
    <w:rsid w:val="00964F6D"/>
    <w:rsid w:val="0096631B"/>
    <w:rsid w:val="00967D83"/>
    <w:rsid w:val="00975032"/>
    <w:rsid w:val="0098356E"/>
    <w:rsid w:val="00990ADE"/>
    <w:rsid w:val="0099224A"/>
    <w:rsid w:val="009947D3"/>
    <w:rsid w:val="009A5103"/>
    <w:rsid w:val="009C72BD"/>
    <w:rsid w:val="009D2422"/>
    <w:rsid w:val="009D305C"/>
    <w:rsid w:val="009D454E"/>
    <w:rsid w:val="009F263D"/>
    <w:rsid w:val="00A00A1D"/>
    <w:rsid w:val="00A11B4D"/>
    <w:rsid w:val="00A41672"/>
    <w:rsid w:val="00A45329"/>
    <w:rsid w:val="00A45A17"/>
    <w:rsid w:val="00A46521"/>
    <w:rsid w:val="00A4659B"/>
    <w:rsid w:val="00A51DE4"/>
    <w:rsid w:val="00A53E06"/>
    <w:rsid w:val="00A675C2"/>
    <w:rsid w:val="00A70B04"/>
    <w:rsid w:val="00A76C87"/>
    <w:rsid w:val="00A931C6"/>
    <w:rsid w:val="00A94E11"/>
    <w:rsid w:val="00AA73E1"/>
    <w:rsid w:val="00AC7BF7"/>
    <w:rsid w:val="00AD7B66"/>
    <w:rsid w:val="00AE05F4"/>
    <w:rsid w:val="00AE4A2D"/>
    <w:rsid w:val="00AE4EC1"/>
    <w:rsid w:val="00AE649D"/>
    <w:rsid w:val="00AF16D7"/>
    <w:rsid w:val="00AF3CDD"/>
    <w:rsid w:val="00AF4854"/>
    <w:rsid w:val="00B01E0D"/>
    <w:rsid w:val="00B07AD1"/>
    <w:rsid w:val="00B10275"/>
    <w:rsid w:val="00B105CD"/>
    <w:rsid w:val="00B10E89"/>
    <w:rsid w:val="00B116E4"/>
    <w:rsid w:val="00B131EB"/>
    <w:rsid w:val="00B354B5"/>
    <w:rsid w:val="00B35E1B"/>
    <w:rsid w:val="00B40801"/>
    <w:rsid w:val="00B40FA5"/>
    <w:rsid w:val="00B50F4E"/>
    <w:rsid w:val="00B629EB"/>
    <w:rsid w:val="00B65F5A"/>
    <w:rsid w:val="00B8011E"/>
    <w:rsid w:val="00B82AE1"/>
    <w:rsid w:val="00B85958"/>
    <w:rsid w:val="00B86035"/>
    <w:rsid w:val="00B977AC"/>
    <w:rsid w:val="00BA6B77"/>
    <w:rsid w:val="00BC22C0"/>
    <w:rsid w:val="00BC7B7D"/>
    <w:rsid w:val="00BD2A9C"/>
    <w:rsid w:val="00BD4546"/>
    <w:rsid w:val="00BD466E"/>
    <w:rsid w:val="00BD4DC6"/>
    <w:rsid w:val="00BE1321"/>
    <w:rsid w:val="00BE398F"/>
    <w:rsid w:val="00C1063E"/>
    <w:rsid w:val="00C12ED4"/>
    <w:rsid w:val="00C14D28"/>
    <w:rsid w:val="00C1651B"/>
    <w:rsid w:val="00C258C5"/>
    <w:rsid w:val="00C315A8"/>
    <w:rsid w:val="00C409DC"/>
    <w:rsid w:val="00C50337"/>
    <w:rsid w:val="00C60146"/>
    <w:rsid w:val="00C61862"/>
    <w:rsid w:val="00C81823"/>
    <w:rsid w:val="00C84B72"/>
    <w:rsid w:val="00C86F65"/>
    <w:rsid w:val="00C943CD"/>
    <w:rsid w:val="00C96179"/>
    <w:rsid w:val="00CB0576"/>
    <w:rsid w:val="00CB54D2"/>
    <w:rsid w:val="00CC1D2B"/>
    <w:rsid w:val="00CD064A"/>
    <w:rsid w:val="00CE7D0E"/>
    <w:rsid w:val="00D00701"/>
    <w:rsid w:val="00D03E58"/>
    <w:rsid w:val="00D07248"/>
    <w:rsid w:val="00D220AE"/>
    <w:rsid w:val="00D30A24"/>
    <w:rsid w:val="00D32E1D"/>
    <w:rsid w:val="00D43CBD"/>
    <w:rsid w:val="00D63383"/>
    <w:rsid w:val="00D64F46"/>
    <w:rsid w:val="00D72A98"/>
    <w:rsid w:val="00D76DBF"/>
    <w:rsid w:val="00D80964"/>
    <w:rsid w:val="00D940C8"/>
    <w:rsid w:val="00D96B13"/>
    <w:rsid w:val="00DA0004"/>
    <w:rsid w:val="00DA541C"/>
    <w:rsid w:val="00DA737B"/>
    <w:rsid w:val="00DB0FEE"/>
    <w:rsid w:val="00DB440A"/>
    <w:rsid w:val="00DB649C"/>
    <w:rsid w:val="00DB7A86"/>
    <w:rsid w:val="00DD04A6"/>
    <w:rsid w:val="00DD1436"/>
    <w:rsid w:val="00DF3797"/>
    <w:rsid w:val="00DF3EEC"/>
    <w:rsid w:val="00E00F48"/>
    <w:rsid w:val="00E05445"/>
    <w:rsid w:val="00E21EC6"/>
    <w:rsid w:val="00E22B5B"/>
    <w:rsid w:val="00E2640D"/>
    <w:rsid w:val="00E34554"/>
    <w:rsid w:val="00E35C30"/>
    <w:rsid w:val="00E426CF"/>
    <w:rsid w:val="00E44C11"/>
    <w:rsid w:val="00E471F2"/>
    <w:rsid w:val="00E50BB0"/>
    <w:rsid w:val="00E510FD"/>
    <w:rsid w:val="00E66948"/>
    <w:rsid w:val="00E773E7"/>
    <w:rsid w:val="00E805A7"/>
    <w:rsid w:val="00E835DD"/>
    <w:rsid w:val="00E87027"/>
    <w:rsid w:val="00E90581"/>
    <w:rsid w:val="00E905FD"/>
    <w:rsid w:val="00E922F4"/>
    <w:rsid w:val="00E95CA0"/>
    <w:rsid w:val="00EA1172"/>
    <w:rsid w:val="00EA22B4"/>
    <w:rsid w:val="00EB7917"/>
    <w:rsid w:val="00EC145E"/>
    <w:rsid w:val="00EC1D2D"/>
    <w:rsid w:val="00EC58FA"/>
    <w:rsid w:val="00ED1B99"/>
    <w:rsid w:val="00EE1846"/>
    <w:rsid w:val="00EF5385"/>
    <w:rsid w:val="00EF7663"/>
    <w:rsid w:val="00F10EAC"/>
    <w:rsid w:val="00F14A30"/>
    <w:rsid w:val="00F221BD"/>
    <w:rsid w:val="00F248D4"/>
    <w:rsid w:val="00F273FE"/>
    <w:rsid w:val="00F325EA"/>
    <w:rsid w:val="00F32EEB"/>
    <w:rsid w:val="00F347FA"/>
    <w:rsid w:val="00F406B9"/>
    <w:rsid w:val="00F52D0E"/>
    <w:rsid w:val="00F637FD"/>
    <w:rsid w:val="00F655FE"/>
    <w:rsid w:val="00F661D2"/>
    <w:rsid w:val="00F673C0"/>
    <w:rsid w:val="00F704D3"/>
    <w:rsid w:val="00F745F5"/>
    <w:rsid w:val="00F94D3B"/>
    <w:rsid w:val="00FA0197"/>
    <w:rsid w:val="00FA5CA6"/>
    <w:rsid w:val="00FB36A7"/>
    <w:rsid w:val="00FB478A"/>
    <w:rsid w:val="00FC15F5"/>
    <w:rsid w:val="00FC7BAA"/>
    <w:rsid w:val="00FD3510"/>
    <w:rsid w:val="00FE0B9E"/>
    <w:rsid w:val="00FE7189"/>
    <w:rsid w:val="00FE71F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A5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660903"/>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24C8"/>
    <w:rPr>
      <w:color w:val="0000FF" w:themeColor="hyperlink"/>
      <w:u w:val="single"/>
    </w:rPr>
  </w:style>
  <w:style w:type="paragraph" w:styleId="NormalWeb">
    <w:name w:val="Normal (Web)"/>
    <w:basedOn w:val="Normal"/>
    <w:uiPriority w:val="99"/>
    <w:semiHidden/>
    <w:unhideWhenUsed/>
    <w:rsid w:val="0033798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33798E"/>
    <w:rPr>
      <w:b/>
      <w:bCs/>
    </w:rPr>
  </w:style>
  <w:style w:type="table" w:styleId="Tablaconcuadrcula">
    <w:name w:val="Table Grid"/>
    <w:basedOn w:val="Tablanormal"/>
    <w:uiPriority w:val="59"/>
    <w:rsid w:val="000F6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DA737B"/>
    <w:pPr>
      <w:spacing w:after="0" w:line="240" w:lineRule="auto"/>
    </w:pPr>
    <w:rPr>
      <w:sz w:val="20"/>
      <w:szCs w:val="20"/>
    </w:rPr>
  </w:style>
  <w:style w:type="character" w:customStyle="1" w:styleId="TextonotapieCar">
    <w:name w:val="Texto nota pie Car"/>
    <w:basedOn w:val="Fuentedeprrafopredeter"/>
    <w:link w:val="Textonotapie"/>
    <w:uiPriority w:val="99"/>
    <w:rsid w:val="00DA737B"/>
    <w:rPr>
      <w:sz w:val="20"/>
      <w:szCs w:val="20"/>
    </w:rPr>
  </w:style>
  <w:style w:type="character" w:styleId="Refdenotaalpie">
    <w:name w:val="footnote reference"/>
    <w:basedOn w:val="Fuentedeprrafopredeter"/>
    <w:unhideWhenUsed/>
    <w:rsid w:val="00DA737B"/>
    <w:rPr>
      <w:vertAlign w:val="superscript"/>
    </w:rPr>
  </w:style>
  <w:style w:type="character" w:styleId="Refdecomentario">
    <w:name w:val="annotation reference"/>
    <w:basedOn w:val="Fuentedeprrafopredeter"/>
    <w:uiPriority w:val="99"/>
    <w:semiHidden/>
    <w:unhideWhenUsed/>
    <w:rsid w:val="005A743D"/>
    <w:rPr>
      <w:sz w:val="16"/>
      <w:szCs w:val="16"/>
    </w:rPr>
  </w:style>
  <w:style w:type="paragraph" w:styleId="Textocomentario">
    <w:name w:val="annotation text"/>
    <w:basedOn w:val="Normal"/>
    <w:link w:val="TextocomentarioCar"/>
    <w:uiPriority w:val="99"/>
    <w:semiHidden/>
    <w:unhideWhenUsed/>
    <w:rsid w:val="005A74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743D"/>
    <w:rPr>
      <w:sz w:val="20"/>
      <w:szCs w:val="20"/>
    </w:rPr>
  </w:style>
  <w:style w:type="paragraph" w:styleId="Asuntodelcomentario">
    <w:name w:val="annotation subject"/>
    <w:basedOn w:val="Textocomentario"/>
    <w:next w:val="Textocomentario"/>
    <w:link w:val="AsuntodelcomentarioCar"/>
    <w:uiPriority w:val="99"/>
    <w:semiHidden/>
    <w:unhideWhenUsed/>
    <w:rsid w:val="005A743D"/>
    <w:rPr>
      <w:b/>
      <w:bCs/>
    </w:rPr>
  </w:style>
  <w:style w:type="character" w:customStyle="1" w:styleId="AsuntodelcomentarioCar">
    <w:name w:val="Asunto del comentario Car"/>
    <w:basedOn w:val="TextocomentarioCar"/>
    <w:link w:val="Asuntodelcomentario"/>
    <w:uiPriority w:val="99"/>
    <w:semiHidden/>
    <w:rsid w:val="005A743D"/>
    <w:rPr>
      <w:b/>
      <w:bCs/>
      <w:sz w:val="20"/>
      <w:szCs w:val="20"/>
    </w:rPr>
  </w:style>
  <w:style w:type="paragraph" w:styleId="Textodeglobo">
    <w:name w:val="Balloon Text"/>
    <w:basedOn w:val="Normal"/>
    <w:link w:val="TextodegloboCar"/>
    <w:uiPriority w:val="99"/>
    <w:semiHidden/>
    <w:unhideWhenUsed/>
    <w:rsid w:val="005A74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743D"/>
    <w:rPr>
      <w:rFonts w:ascii="Tahoma" w:hAnsi="Tahoma" w:cs="Tahoma"/>
      <w:sz w:val="16"/>
      <w:szCs w:val="16"/>
    </w:rPr>
  </w:style>
  <w:style w:type="paragraph" w:styleId="Prrafodelista">
    <w:name w:val="List Paragraph"/>
    <w:basedOn w:val="Normal"/>
    <w:uiPriority w:val="34"/>
    <w:qFormat/>
    <w:rsid w:val="005F6ACF"/>
    <w:pPr>
      <w:ind w:left="720"/>
      <w:contextualSpacing/>
    </w:pPr>
  </w:style>
  <w:style w:type="character" w:styleId="Hipervnculovisitado">
    <w:name w:val="FollowedHyperlink"/>
    <w:basedOn w:val="Fuentedeprrafopredeter"/>
    <w:uiPriority w:val="99"/>
    <w:semiHidden/>
    <w:unhideWhenUsed/>
    <w:rsid w:val="003B7625"/>
    <w:rPr>
      <w:color w:val="800080" w:themeColor="followedHyperlink"/>
      <w:u w:val="single"/>
    </w:rPr>
  </w:style>
  <w:style w:type="paragraph" w:customStyle="1" w:styleId="Default">
    <w:name w:val="Default"/>
    <w:rsid w:val="00727057"/>
    <w:pPr>
      <w:autoSpaceDE w:val="0"/>
      <w:autoSpaceDN w:val="0"/>
      <w:adjustRightInd w:val="0"/>
      <w:spacing w:after="0" w:line="240" w:lineRule="auto"/>
    </w:pPr>
    <w:rPr>
      <w:rFonts w:ascii="Georgia" w:hAnsi="Georgia" w:cs="Georgia"/>
      <w:color w:val="000000"/>
      <w:sz w:val="24"/>
      <w:szCs w:val="24"/>
    </w:rPr>
  </w:style>
  <w:style w:type="table" w:customStyle="1" w:styleId="GridTable4Accent3">
    <w:name w:val="Grid Table 4 Accent 3"/>
    <w:basedOn w:val="Tablanormal"/>
    <w:uiPriority w:val="49"/>
    <w:rsid w:val="001F422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6">
    <w:name w:val="Grid Table 4 Accent 6"/>
    <w:basedOn w:val="Tablanormal"/>
    <w:uiPriority w:val="49"/>
    <w:rsid w:val="001F422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Accent6">
    <w:name w:val="List Table 3 Accent 6"/>
    <w:basedOn w:val="Tablanormal"/>
    <w:uiPriority w:val="48"/>
    <w:rsid w:val="00DD04A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Accent6">
    <w:name w:val="List Table 4 Accent 6"/>
    <w:basedOn w:val="Tablanormal"/>
    <w:uiPriority w:val="49"/>
    <w:rsid w:val="004E286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Ttulo2Car">
    <w:name w:val="Título 2 Car"/>
    <w:basedOn w:val="Fuentedeprrafopredeter"/>
    <w:link w:val="Ttulo2"/>
    <w:uiPriority w:val="9"/>
    <w:rsid w:val="00660903"/>
    <w:rPr>
      <w:rFonts w:asciiTheme="majorHAnsi" w:eastAsiaTheme="majorEastAsia" w:hAnsiTheme="majorHAnsi" w:cstheme="majorBidi"/>
      <w:color w:val="365F91" w:themeColor="accent1" w:themeShade="BF"/>
      <w:sz w:val="24"/>
      <w:szCs w:val="24"/>
    </w:rPr>
  </w:style>
  <w:style w:type="paragraph" w:styleId="Encabezado">
    <w:name w:val="header"/>
    <w:basedOn w:val="Normal"/>
    <w:link w:val="EncabezadoCar"/>
    <w:uiPriority w:val="99"/>
    <w:unhideWhenUsed/>
    <w:rsid w:val="002363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63C6"/>
  </w:style>
  <w:style w:type="paragraph" w:styleId="Piedepgina">
    <w:name w:val="footer"/>
    <w:basedOn w:val="Normal"/>
    <w:link w:val="PiedepginaCar"/>
    <w:uiPriority w:val="99"/>
    <w:unhideWhenUsed/>
    <w:rsid w:val="002363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63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660903"/>
    <w:pPr>
      <w:pBdr>
        <w:bottom w:val="single" w:sz="8" w:space="1" w:color="4F81BD" w:themeColor="accent1"/>
      </w:pBdr>
      <w:spacing w:before="200" w:after="80"/>
      <w:outlineLvl w:val="1"/>
    </w:pPr>
    <w:rPr>
      <w:rFonts w:asciiTheme="majorHAnsi" w:eastAsiaTheme="majorEastAsia" w:hAnsiTheme="majorHAnsi" w:cstheme="majorBidi"/>
      <w:color w:val="365F91" w:themeColor="accent1" w:themeShade="B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124C8"/>
    <w:rPr>
      <w:color w:val="0000FF" w:themeColor="hyperlink"/>
      <w:u w:val="single"/>
    </w:rPr>
  </w:style>
  <w:style w:type="paragraph" w:styleId="NormalWeb">
    <w:name w:val="Normal (Web)"/>
    <w:basedOn w:val="Normal"/>
    <w:uiPriority w:val="99"/>
    <w:semiHidden/>
    <w:unhideWhenUsed/>
    <w:rsid w:val="0033798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33798E"/>
    <w:rPr>
      <w:b/>
      <w:bCs/>
    </w:rPr>
  </w:style>
  <w:style w:type="table" w:styleId="Tablaconcuadrcula">
    <w:name w:val="Table Grid"/>
    <w:basedOn w:val="Tablanormal"/>
    <w:uiPriority w:val="59"/>
    <w:rsid w:val="000F6E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DA737B"/>
    <w:pPr>
      <w:spacing w:after="0" w:line="240" w:lineRule="auto"/>
    </w:pPr>
    <w:rPr>
      <w:sz w:val="20"/>
      <w:szCs w:val="20"/>
    </w:rPr>
  </w:style>
  <w:style w:type="character" w:customStyle="1" w:styleId="TextonotapieCar">
    <w:name w:val="Texto nota pie Car"/>
    <w:basedOn w:val="Fuentedeprrafopredeter"/>
    <w:link w:val="Textonotapie"/>
    <w:uiPriority w:val="99"/>
    <w:rsid w:val="00DA737B"/>
    <w:rPr>
      <w:sz w:val="20"/>
      <w:szCs w:val="20"/>
    </w:rPr>
  </w:style>
  <w:style w:type="character" w:styleId="Refdenotaalpie">
    <w:name w:val="footnote reference"/>
    <w:basedOn w:val="Fuentedeprrafopredeter"/>
    <w:unhideWhenUsed/>
    <w:rsid w:val="00DA737B"/>
    <w:rPr>
      <w:vertAlign w:val="superscript"/>
    </w:rPr>
  </w:style>
  <w:style w:type="character" w:styleId="Refdecomentario">
    <w:name w:val="annotation reference"/>
    <w:basedOn w:val="Fuentedeprrafopredeter"/>
    <w:uiPriority w:val="99"/>
    <w:semiHidden/>
    <w:unhideWhenUsed/>
    <w:rsid w:val="005A743D"/>
    <w:rPr>
      <w:sz w:val="16"/>
      <w:szCs w:val="16"/>
    </w:rPr>
  </w:style>
  <w:style w:type="paragraph" w:styleId="Textocomentario">
    <w:name w:val="annotation text"/>
    <w:basedOn w:val="Normal"/>
    <w:link w:val="TextocomentarioCar"/>
    <w:uiPriority w:val="99"/>
    <w:semiHidden/>
    <w:unhideWhenUsed/>
    <w:rsid w:val="005A743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A743D"/>
    <w:rPr>
      <w:sz w:val="20"/>
      <w:szCs w:val="20"/>
    </w:rPr>
  </w:style>
  <w:style w:type="paragraph" w:styleId="Asuntodelcomentario">
    <w:name w:val="annotation subject"/>
    <w:basedOn w:val="Textocomentario"/>
    <w:next w:val="Textocomentario"/>
    <w:link w:val="AsuntodelcomentarioCar"/>
    <w:uiPriority w:val="99"/>
    <w:semiHidden/>
    <w:unhideWhenUsed/>
    <w:rsid w:val="005A743D"/>
    <w:rPr>
      <w:b/>
      <w:bCs/>
    </w:rPr>
  </w:style>
  <w:style w:type="character" w:customStyle="1" w:styleId="AsuntodelcomentarioCar">
    <w:name w:val="Asunto del comentario Car"/>
    <w:basedOn w:val="TextocomentarioCar"/>
    <w:link w:val="Asuntodelcomentario"/>
    <w:uiPriority w:val="99"/>
    <w:semiHidden/>
    <w:rsid w:val="005A743D"/>
    <w:rPr>
      <w:b/>
      <w:bCs/>
      <w:sz w:val="20"/>
      <w:szCs w:val="20"/>
    </w:rPr>
  </w:style>
  <w:style w:type="paragraph" w:styleId="Textodeglobo">
    <w:name w:val="Balloon Text"/>
    <w:basedOn w:val="Normal"/>
    <w:link w:val="TextodegloboCar"/>
    <w:uiPriority w:val="99"/>
    <w:semiHidden/>
    <w:unhideWhenUsed/>
    <w:rsid w:val="005A74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A743D"/>
    <w:rPr>
      <w:rFonts w:ascii="Tahoma" w:hAnsi="Tahoma" w:cs="Tahoma"/>
      <w:sz w:val="16"/>
      <w:szCs w:val="16"/>
    </w:rPr>
  </w:style>
  <w:style w:type="paragraph" w:styleId="Prrafodelista">
    <w:name w:val="List Paragraph"/>
    <w:basedOn w:val="Normal"/>
    <w:uiPriority w:val="34"/>
    <w:qFormat/>
    <w:rsid w:val="005F6ACF"/>
    <w:pPr>
      <w:ind w:left="720"/>
      <w:contextualSpacing/>
    </w:pPr>
  </w:style>
  <w:style w:type="character" w:styleId="Hipervnculovisitado">
    <w:name w:val="FollowedHyperlink"/>
    <w:basedOn w:val="Fuentedeprrafopredeter"/>
    <w:uiPriority w:val="99"/>
    <w:semiHidden/>
    <w:unhideWhenUsed/>
    <w:rsid w:val="003B7625"/>
    <w:rPr>
      <w:color w:val="800080" w:themeColor="followedHyperlink"/>
      <w:u w:val="single"/>
    </w:rPr>
  </w:style>
  <w:style w:type="paragraph" w:customStyle="1" w:styleId="Default">
    <w:name w:val="Default"/>
    <w:rsid w:val="00727057"/>
    <w:pPr>
      <w:autoSpaceDE w:val="0"/>
      <w:autoSpaceDN w:val="0"/>
      <w:adjustRightInd w:val="0"/>
      <w:spacing w:after="0" w:line="240" w:lineRule="auto"/>
    </w:pPr>
    <w:rPr>
      <w:rFonts w:ascii="Georgia" w:hAnsi="Georgia" w:cs="Georgia"/>
      <w:color w:val="000000"/>
      <w:sz w:val="24"/>
      <w:szCs w:val="24"/>
    </w:rPr>
  </w:style>
  <w:style w:type="table" w:customStyle="1" w:styleId="GridTable4Accent3">
    <w:name w:val="Grid Table 4 Accent 3"/>
    <w:basedOn w:val="Tablanormal"/>
    <w:uiPriority w:val="49"/>
    <w:rsid w:val="001F422E"/>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6">
    <w:name w:val="Grid Table 4 Accent 6"/>
    <w:basedOn w:val="Tablanormal"/>
    <w:uiPriority w:val="49"/>
    <w:rsid w:val="001F422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Accent6">
    <w:name w:val="List Table 3 Accent 6"/>
    <w:basedOn w:val="Tablanormal"/>
    <w:uiPriority w:val="48"/>
    <w:rsid w:val="00DD04A6"/>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Accent6">
    <w:name w:val="List Table 4 Accent 6"/>
    <w:basedOn w:val="Tablanormal"/>
    <w:uiPriority w:val="49"/>
    <w:rsid w:val="004E286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Ttulo2Car">
    <w:name w:val="Título 2 Car"/>
    <w:basedOn w:val="Fuentedeprrafopredeter"/>
    <w:link w:val="Ttulo2"/>
    <w:uiPriority w:val="9"/>
    <w:rsid w:val="00660903"/>
    <w:rPr>
      <w:rFonts w:asciiTheme="majorHAnsi" w:eastAsiaTheme="majorEastAsia" w:hAnsiTheme="majorHAnsi" w:cstheme="majorBidi"/>
      <w:color w:val="365F91" w:themeColor="accent1" w:themeShade="BF"/>
      <w:sz w:val="24"/>
      <w:szCs w:val="24"/>
    </w:rPr>
  </w:style>
  <w:style w:type="paragraph" w:styleId="Encabezado">
    <w:name w:val="header"/>
    <w:basedOn w:val="Normal"/>
    <w:link w:val="EncabezadoCar"/>
    <w:uiPriority w:val="99"/>
    <w:unhideWhenUsed/>
    <w:rsid w:val="002363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63C6"/>
  </w:style>
  <w:style w:type="paragraph" w:styleId="Piedepgina">
    <w:name w:val="footer"/>
    <w:basedOn w:val="Normal"/>
    <w:link w:val="PiedepginaCar"/>
    <w:uiPriority w:val="99"/>
    <w:unhideWhenUsed/>
    <w:rsid w:val="002363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6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036165">
      <w:bodyDiv w:val="1"/>
      <w:marLeft w:val="0"/>
      <w:marRight w:val="0"/>
      <w:marTop w:val="0"/>
      <w:marBottom w:val="0"/>
      <w:divBdr>
        <w:top w:val="none" w:sz="0" w:space="0" w:color="auto"/>
        <w:left w:val="none" w:sz="0" w:space="0" w:color="auto"/>
        <w:bottom w:val="none" w:sz="0" w:space="0" w:color="auto"/>
        <w:right w:val="none" w:sz="0" w:space="0" w:color="auto"/>
      </w:divBdr>
    </w:div>
    <w:div w:id="100535879">
      <w:bodyDiv w:val="1"/>
      <w:marLeft w:val="0"/>
      <w:marRight w:val="0"/>
      <w:marTop w:val="0"/>
      <w:marBottom w:val="0"/>
      <w:divBdr>
        <w:top w:val="none" w:sz="0" w:space="0" w:color="auto"/>
        <w:left w:val="none" w:sz="0" w:space="0" w:color="auto"/>
        <w:bottom w:val="none" w:sz="0" w:space="0" w:color="auto"/>
        <w:right w:val="none" w:sz="0" w:space="0" w:color="auto"/>
      </w:divBdr>
    </w:div>
    <w:div w:id="137233400">
      <w:bodyDiv w:val="1"/>
      <w:marLeft w:val="0"/>
      <w:marRight w:val="0"/>
      <w:marTop w:val="0"/>
      <w:marBottom w:val="0"/>
      <w:divBdr>
        <w:top w:val="none" w:sz="0" w:space="0" w:color="auto"/>
        <w:left w:val="none" w:sz="0" w:space="0" w:color="auto"/>
        <w:bottom w:val="none" w:sz="0" w:space="0" w:color="auto"/>
        <w:right w:val="none" w:sz="0" w:space="0" w:color="auto"/>
      </w:divBdr>
    </w:div>
    <w:div w:id="154957975">
      <w:bodyDiv w:val="1"/>
      <w:marLeft w:val="0"/>
      <w:marRight w:val="0"/>
      <w:marTop w:val="0"/>
      <w:marBottom w:val="0"/>
      <w:divBdr>
        <w:top w:val="none" w:sz="0" w:space="0" w:color="auto"/>
        <w:left w:val="none" w:sz="0" w:space="0" w:color="auto"/>
        <w:bottom w:val="none" w:sz="0" w:space="0" w:color="auto"/>
        <w:right w:val="none" w:sz="0" w:space="0" w:color="auto"/>
      </w:divBdr>
    </w:div>
    <w:div w:id="165482742">
      <w:bodyDiv w:val="1"/>
      <w:marLeft w:val="0"/>
      <w:marRight w:val="0"/>
      <w:marTop w:val="0"/>
      <w:marBottom w:val="0"/>
      <w:divBdr>
        <w:top w:val="none" w:sz="0" w:space="0" w:color="auto"/>
        <w:left w:val="none" w:sz="0" w:space="0" w:color="auto"/>
        <w:bottom w:val="none" w:sz="0" w:space="0" w:color="auto"/>
        <w:right w:val="none" w:sz="0" w:space="0" w:color="auto"/>
      </w:divBdr>
    </w:div>
    <w:div w:id="331418115">
      <w:bodyDiv w:val="1"/>
      <w:marLeft w:val="0"/>
      <w:marRight w:val="0"/>
      <w:marTop w:val="0"/>
      <w:marBottom w:val="0"/>
      <w:divBdr>
        <w:top w:val="none" w:sz="0" w:space="0" w:color="auto"/>
        <w:left w:val="none" w:sz="0" w:space="0" w:color="auto"/>
        <w:bottom w:val="none" w:sz="0" w:space="0" w:color="auto"/>
        <w:right w:val="none" w:sz="0" w:space="0" w:color="auto"/>
      </w:divBdr>
    </w:div>
    <w:div w:id="445268986">
      <w:bodyDiv w:val="1"/>
      <w:marLeft w:val="0"/>
      <w:marRight w:val="0"/>
      <w:marTop w:val="0"/>
      <w:marBottom w:val="0"/>
      <w:divBdr>
        <w:top w:val="none" w:sz="0" w:space="0" w:color="auto"/>
        <w:left w:val="none" w:sz="0" w:space="0" w:color="auto"/>
        <w:bottom w:val="none" w:sz="0" w:space="0" w:color="auto"/>
        <w:right w:val="none" w:sz="0" w:space="0" w:color="auto"/>
      </w:divBdr>
    </w:div>
    <w:div w:id="542525398">
      <w:bodyDiv w:val="1"/>
      <w:marLeft w:val="0"/>
      <w:marRight w:val="0"/>
      <w:marTop w:val="0"/>
      <w:marBottom w:val="0"/>
      <w:divBdr>
        <w:top w:val="none" w:sz="0" w:space="0" w:color="auto"/>
        <w:left w:val="none" w:sz="0" w:space="0" w:color="auto"/>
        <w:bottom w:val="none" w:sz="0" w:space="0" w:color="auto"/>
        <w:right w:val="none" w:sz="0" w:space="0" w:color="auto"/>
      </w:divBdr>
    </w:div>
    <w:div w:id="680163600">
      <w:bodyDiv w:val="1"/>
      <w:marLeft w:val="0"/>
      <w:marRight w:val="0"/>
      <w:marTop w:val="0"/>
      <w:marBottom w:val="0"/>
      <w:divBdr>
        <w:top w:val="none" w:sz="0" w:space="0" w:color="auto"/>
        <w:left w:val="none" w:sz="0" w:space="0" w:color="auto"/>
        <w:bottom w:val="none" w:sz="0" w:space="0" w:color="auto"/>
        <w:right w:val="none" w:sz="0" w:space="0" w:color="auto"/>
      </w:divBdr>
    </w:div>
    <w:div w:id="887230903">
      <w:bodyDiv w:val="1"/>
      <w:marLeft w:val="0"/>
      <w:marRight w:val="0"/>
      <w:marTop w:val="0"/>
      <w:marBottom w:val="0"/>
      <w:divBdr>
        <w:top w:val="none" w:sz="0" w:space="0" w:color="auto"/>
        <w:left w:val="none" w:sz="0" w:space="0" w:color="auto"/>
        <w:bottom w:val="none" w:sz="0" w:space="0" w:color="auto"/>
        <w:right w:val="none" w:sz="0" w:space="0" w:color="auto"/>
      </w:divBdr>
    </w:div>
    <w:div w:id="989748742">
      <w:bodyDiv w:val="1"/>
      <w:marLeft w:val="0"/>
      <w:marRight w:val="0"/>
      <w:marTop w:val="0"/>
      <w:marBottom w:val="0"/>
      <w:divBdr>
        <w:top w:val="none" w:sz="0" w:space="0" w:color="auto"/>
        <w:left w:val="none" w:sz="0" w:space="0" w:color="auto"/>
        <w:bottom w:val="none" w:sz="0" w:space="0" w:color="auto"/>
        <w:right w:val="none" w:sz="0" w:space="0" w:color="auto"/>
      </w:divBdr>
    </w:div>
    <w:div w:id="1082408444">
      <w:bodyDiv w:val="1"/>
      <w:marLeft w:val="0"/>
      <w:marRight w:val="0"/>
      <w:marTop w:val="0"/>
      <w:marBottom w:val="0"/>
      <w:divBdr>
        <w:top w:val="none" w:sz="0" w:space="0" w:color="auto"/>
        <w:left w:val="none" w:sz="0" w:space="0" w:color="auto"/>
        <w:bottom w:val="none" w:sz="0" w:space="0" w:color="auto"/>
        <w:right w:val="none" w:sz="0" w:space="0" w:color="auto"/>
      </w:divBdr>
    </w:div>
    <w:div w:id="1231386759">
      <w:bodyDiv w:val="1"/>
      <w:marLeft w:val="0"/>
      <w:marRight w:val="0"/>
      <w:marTop w:val="0"/>
      <w:marBottom w:val="0"/>
      <w:divBdr>
        <w:top w:val="none" w:sz="0" w:space="0" w:color="auto"/>
        <w:left w:val="none" w:sz="0" w:space="0" w:color="auto"/>
        <w:bottom w:val="none" w:sz="0" w:space="0" w:color="auto"/>
        <w:right w:val="none" w:sz="0" w:space="0" w:color="auto"/>
      </w:divBdr>
    </w:div>
    <w:div w:id="1258099449">
      <w:bodyDiv w:val="1"/>
      <w:marLeft w:val="0"/>
      <w:marRight w:val="0"/>
      <w:marTop w:val="0"/>
      <w:marBottom w:val="0"/>
      <w:divBdr>
        <w:top w:val="none" w:sz="0" w:space="0" w:color="auto"/>
        <w:left w:val="none" w:sz="0" w:space="0" w:color="auto"/>
        <w:bottom w:val="none" w:sz="0" w:space="0" w:color="auto"/>
        <w:right w:val="none" w:sz="0" w:space="0" w:color="auto"/>
      </w:divBdr>
    </w:div>
    <w:div w:id="1333099643">
      <w:bodyDiv w:val="1"/>
      <w:marLeft w:val="0"/>
      <w:marRight w:val="0"/>
      <w:marTop w:val="0"/>
      <w:marBottom w:val="0"/>
      <w:divBdr>
        <w:top w:val="none" w:sz="0" w:space="0" w:color="auto"/>
        <w:left w:val="none" w:sz="0" w:space="0" w:color="auto"/>
        <w:bottom w:val="none" w:sz="0" w:space="0" w:color="auto"/>
        <w:right w:val="none" w:sz="0" w:space="0" w:color="auto"/>
      </w:divBdr>
    </w:div>
    <w:div w:id="1333876855">
      <w:bodyDiv w:val="1"/>
      <w:marLeft w:val="0"/>
      <w:marRight w:val="0"/>
      <w:marTop w:val="0"/>
      <w:marBottom w:val="0"/>
      <w:divBdr>
        <w:top w:val="none" w:sz="0" w:space="0" w:color="auto"/>
        <w:left w:val="none" w:sz="0" w:space="0" w:color="auto"/>
        <w:bottom w:val="none" w:sz="0" w:space="0" w:color="auto"/>
        <w:right w:val="none" w:sz="0" w:space="0" w:color="auto"/>
      </w:divBdr>
    </w:div>
    <w:div w:id="1519007928">
      <w:bodyDiv w:val="1"/>
      <w:marLeft w:val="0"/>
      <w:marRight w:val="0"/>
      <w:marTop w:val="0"/>
      <w:marBottom w:val="0"/>
      <w:divBdr>
        <w:top w:val="none" w:sz="0" w:space="0" w:color="auto"/>
        <w:left w:val="none" w:sz="0" w:space="0" w:color="auto"/>
        <w:bottom w:val="none" w:sz="0" w:space="0" w:color="auto"/>
        <w:right w:val="none" w:sz="0" w:space="0" w:color="auto"/>
      </w:divBdr>
    </w:div>
    <w:div w:id="1657414919">
      <w:bodyDiv w:val="1"/>
      <w:marLeft w:val="0"/>
      <w:marRight w:val="0"/>
      <w:marTop w:val="0"/>
      <w:marBottom w:val="0"/>
      <w:divBdr>
        <w:top w:val="none" w:sz="0" w:space="0" w:color="auto"/>
        <w:left w:val="none" w:sz="0" w:space="0" w:color="auto"/>
        <w:bottom w:val="none" w:sz="0" w:space="0" w:color="auto"/>
        <w:right w:val="none" w:sz="0" w:space="0" w:color="auto"/>
      </w:divBdr>
    </w:div>
    <w:div w:id="1711101636">
      <w:bodyDiv w:val="1"/>
      <w:marLeft w:val="0"/>
      <w:marRight w:val="0"/>
      <w:marTop w:val="0"/>
      <w:marBottom w:val="0"/>
      <w:divBdr>
        <w:top w:val="none" w:sz="0" w:space="0" w:color="auto"/>
        <w:left w:val="none" w:sz="0" w:space="0" w:color="auto"/>
        <w:bottom w:val="none" w:sz="0" w:space="0" w:color="auto"/>
        <w:right w:val="none" w:sz="0" w:space="0" w:color="auto"/>
      </w:divBdr>
    </w:div>
    <w:div w:id="1772123565">
      <w:bodyDiv w:val="1"/>
      <w:marLeft w:val="0"/>
      <w:marRight w:val="0"/>
      <w:marTop w:val="0"/>
      <w:marBottom w:val="0"/>
      <w:divBdr>
        <w:top w:val="none" w:sz="0" w:space="0" w:color="auto"/>
        <w:left w:val="none" w:sz="0" w:space="0" w:color="auto"/>
        <w:bottom w:val="none" w:sz="0" w:space="0" w:color="auto"/>
        <w:right w:val="none" w:sz="0" w:space="0" w:color="auto"/>
      </w:divBdr>
    </w:div>
    <w:div w:id="1809862750">
      <w:bodyDiv w:val="1"/>
      <w:marLeft w:val="0"/>
      <w:marRight w:val="0"/>
      <w:marTop w:val="0"/>
      <w:marBottom w:val="0"/>
      <w:divBdr>
        <w:top w:val="none" w:sz="0" w:space="0" w:color="auto"/>
        <w:left w:val="none" w:sz="0" w:space="0" w:color="auto"/>
        <w:bottom w:val="none" w:sz="0" w:space="0" w:color="auto"/>
        <w:right w:val="none" w:sz="0" w:space="0" w:color="auto"/>
      </w:divBdr>
    </w:div>
    <w:div w:id="1856651952">
      <w:bodyDiv w:val="1"/>
      <w:marLeft w:val="0"/>
      <w:marRight w:val="0"/>
      <w:marTop w:val="0"/>
      <w:marBottom w:val="0"/>
      <w:divBdr>
        <w:top w:val="none" w:sz="0" w:space="0" w:color="auto"/>
        <w:left w:val="none" w:sz="0" w:space="0" w:color="auto"/>
        <w:bottom w:val="none" w:sz="0" w:space="0" w:color="auto"/>
        <w:right w:val="none" w:sz="0" w:space="0" w:color="auto"/>
      </w:divBdr>
    </w:div>
    <w:div w:id="2006742538">
      <w:bodyDiv w:val="1"/>
      <w:marLeft w:val="0"/>
      <w:marRight w:val="0"/>
      <w:marTop w:val="0"/>
      <w:marBottom w:val="0"/>
      <w:divBdr>
        <w:top w:val="none" w:sz="0" w:space="0" w:color="auto"/>
        <w:left w:val="none" w:sz="0" w:space="0" w:color="auto"/>
        <w:bottom w:val="none" w:sz="0" w:space="0" w:color="auto"/>
        <w:right w:val="none" w:sz="0" w:space="0" w:color="auto"/>
      </w:divBdr>
    </w:div>
    <w:div w:id="204501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oleObject" Target="embeddings/oleObject6.bin"/><Relationship Id="rId26" Type="http://schemas.openxmlformats.org/officeDocument/2006/relationships/oleObject" Target="embeddings/oleObject13.bin"/><Relationship Id="rId39" Type="http://schemas.openxmlformats.org/officeDocument/2006/relationships/hyperlink" Target="http://www.anpadeh.org.mx/interiores/acreditacion2012.php" TargetMode="External"/><Relationship Id="rId3" Type="http://schemas.openxmlformats.org/officeDocument/2006/relationships/styles" Target="styles.xml"/><Relationship Id="rId21" Type="http://schemas.openxmlformats.org/officeDocument/2006/relationships/oleObject" Target="embeddings/oleObject9.bin"/><Relationship Id="rId34" Type="http://schemas.openxmlformats.org/officeDocument/2006/relationships/oleObject" Target="embeddings/oleObject21.bin"/><Relationship Id="rId42" Type="http://schemas.openxmlformats.org/officeDocument/2006/relationships/hyperlink" Target="http://www.debate.com.mx/eldebate/noticias/default.asp?IdArt=14419538&amp;IdCat=12302" TargetMode="External"/><Relationship Id="rId47" Type="http://schemas.openxmlformats.org/officeDocument/2006/relationships/footer" Target="footer1.xml"/><Relationship Id="rId50"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5.bin"/><Relationship Id="rId25" Type="http://schemas.openxmlformats.org/officeDocument/2006/relationships/image" Target="media/image4.wmf"/><Relationship Id="rId33" Type="http://schemas.openxmlformats.org/officeDocument/2006/relationships/oleObject" Target="embeddings/oleObject20.bin"/><Relationship Id="rId38" Type="http://schemas.openxmlformats.org/officeDocument/2006/relationships/oleObject" Target="embeddings/oleObject24.bin"/><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8.bin"/><Relationship Id="rId29" Type="http://schemas.openxmlformats.org/officeDocument/2006/relationships/oleObject" Target="embeddings/oleObject16.bin"/><Relationship Id="rId41" Type="http://schemas.openxmlformats.org/officeDocument/2006/relationships/hyperlink" Target="http://www.redalyc.org/articulo.oa?id=270223510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12.bin"/><Relationship Id="rId32" Type="http://schemas.openxmlformats.org/officeDocument/2006/relationships/oleObject" Target="embeddings/oleObject19.bin"/><Relationship Id="rId37" Type="http://schemas.openxmlformats.org/officeDocument/2006/relationships/image" Target="media/image5.wmf"/><Relationship Id="rId40" Type="http://schemas.openxmlformats.org/officeDocument/2006/relationships/hyperlink" Target="http://www.debate.com.mx/eldebate/noticias/default.asp?IdArt=11209464&amp;IdCat=12302" TargetMode="External"/><Relationship Id="rId45" Type="http://schemas.openxmlformats.org/officeDocument/2006/relationships/hyperlink" Target="http://sau-enlinea.uas.edu.mx/cenpros2014/doc/MEM-CENPROS2014.pdf" TargetMode="Externa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11.bin"/><Relationship Id="rId28" Type="http://schemas.openxmlformats.org/officeDocument/2006/relationships/oleObject" Target="embeddings/oleObject15.bin"/><Relationship Id="rId36" Type="http://schemas.openxmlformats.org/officeDocument/2006/relationships/oleObject" Target="embeddings/oleObject23.bin"/><Relationship Id="rId49" Type="http://schemas.openxmlformats.org/officeDocument/2006/relationships/theme" Target="theme/theme1.xml"/><Relationship Id="rId10" Type="http://schemas.openxmlformats.org/officeDocument/2006/relationships/image" Target="media/image1.wmf"/><Relationship Id="rId19" Type="http://schemas.openxmlformats.org/officeDocument/2006/relationships/oleObject" Target="embeddings/oleObject7.bin"/><Relationship Id="rId31" Type="http://schemas.openxmlformats.org/officeDocument/2006/relationships/oleObject" Target="embeddings/oleObject18.bin"/><Relationship Id="rId44" Type="http://schemas.openxmlformats.org/officeDocument/2006/relationships/hyperlink" Target="http://www.redalyc.org/articulo.oa?id=32514212" TargetMode="External"/><Relationship Id="rId4" Type="http://schemas.microsoft.com/office/2007/relationships/stylesWithEffects" Target="stylesWithEffects.xml"/><Relationship Id="rId9" Type="http://schemas.openxmlformats.org/officeDocument/2006/relationships/hyperlink" Target="mailto:mrodolfo@uas.edu.mx" TargetMode="External"/><Relationship Id="rId14" Type="http://schemas.openxmlformats.org/officeDocument/2006/relationships/image" Target="media/image3.wmf"/><Relationship Id="rId22" Type="http://schemas.openxmlformats.org/officeDocument/2006/relationships/oleObject" Target="embeddings/oleObject10.bin"/><Relationship Id="rId27" Type="http://schemas.openxmlformats.org/officeDocument/2006/relationships/oleObject" Target="embeddings/oleObject14.bin"/><Relationship Id="rId30" Type="http://schemas.openxmlformats.org/officeDocument/2006/relationships/oleObject" Target="embeddings/oleObject17.bin"/><Relationship Id="rId35" Type="http://schemas.openxmlformats.org/officeDocument/2006/relationships/oleObject" Target="embeddings/oleObject22.bin"/><Relationship Id="rId43" Type="http://schemas.openxmlformats.org/officeDocument/2006/relationships/hyperlink" Target="http://www.scielo.cl/pdf/rfacing/v12n2/art09.pdf" TargetMode="External"/><Relationship Id="rId48" Type="http://schemas.openxmlformats.org/officeDocument/2006/relationships/fontTable" Target="fontTable.xml"/><Relationship Id="rId8" Type="http://schemas.openxmlformats.org/officeDocument/2006/relationships/endnotes" Target="endnotes.xml"/><Relationship Id="rId51"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6A2B4-9DEB-45F8-920E-0F9FFC9F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45</Pages>
  <Words>14806</Words>
  <Characters>81438</Characters>
  <Application>Microsoft Office Word</Application>
  <DocSecurity>0</DocSecurity>
  <Lines>678</Lines>
  <Paragraphs>192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96052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Rodolfo</dc:creator>
  <cp:lastModifiedBy>Gustavo Toledo Andrade</cp:lastModifiedBy>
  <cp:revision>4</cp:revision>
  <dcterms:created xsi:type="dcterms:W3CDTF">2015-06-19T23:37:00Z</dcterms:created>
  <dcterms:modified xsi:type="dcterms:W3CDTF">2016-07-25T17:09:00Z</dcterms:modified>
</cp:coreProperties>
</file>