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83DD" w14:textId="384FBEA8" w:rsidR="00E327B7" w:rsidRPr="00FA1E61" w:rsidRDefault="00FA1E61" w:rsidP="00E327B7">
      <w:pPr>
        <w:pStyle w:val="NormalWeb"/>
        <w:spacing w:before="240" w:beforeAutospacing="0" w:after="240" w:afterAutospacing="0" w:line="360" w:lineRule="auto"/>
        <w:jc w:val="right"/>
        <w:rPr>
          <w:b/>
          <w:bCs/>
          <w:i/>
          <w:iCs/>
        </w:rPr>
      </w:pPr>
      <w:r w:rsidRPr="00FA1E61">
        <w:rPr>
          <w:b/>
          <w:bCs/>
          <w:i/>
          <w:iCs/>
        </w:rPr>
        <w:t>https://doi.org/10.23913/ride.v12i24.1138</w:t>
      </w:r>
    </w:p>
    <w:p w14:paraId="0171AD37" w14:textId="09EF7F8B" w:rsidR="00E327B7" w:rsidRPr="00F42A2D" w:rsidRDefault="00E327B7" w:rsidP="00E327B7">
      <w:pPr>
        <w:pStyle w:val="NormalWeb"/>
        <w:spacing w:before="240" w:beforeAutospacing="0" w:after="240" w:afterAutospacing="0" w:line="360" w:lineRule="auto"/>
        <w:jc w:val="right"/>
        <w:rPr>
          <w:rFonts w:ascii="TimesNewRomanPS" w:hAnsi="TimesNewRomanPS"/>
          <w:b/>
          <w:bCs/>
          <w:sz w:val="32"/>
          <w:szCs w:val="32"/>
        </w:rPr>
      </w:pPr>
      <w:r w:rsidRPr="00F42A2D">
        <w:rPr>
          <w:b/>
          <w:bCs/>
          <w:i/>
          <w:iCs/>
        </w:rPr>
        <w:t>Artículos científicos</w:t>
      </w:r>
    </w:p>
    <w:p w14:paraId="76F364CD" w14:textId="536C6BD5" w:rsidR="009F3EF3" w:rsidRPr="00F42A2D" w:rsidRDefault="006724D4" w:rsidP="00E327B7">
      <w:pPr>
        <w:pStyle w:val="NormalWeb"/>
        <w:spacing w:before="0" w:beforeAutospacing="0" w:after="0" w:afterAutospacing="0" w:line="276" w:lineRule="auto"/>
        <w:jc w:val="right"/>
        <w:rPr>
          <w:rFonts w:ascii="Calibri" w:hAnsi="Calibri" w:cs="Calibri"/>
          <w:b/>
          <w:color w:val="000000"/>
          <w:sz w:val="36"/>
          <w:szCs w:val="36"/>
          <w:lang w:eastAsia="es-MX"/>
        </w:rPr>
      </w:pPr>
      <w:r w:rsidRPr="00F42A2D">
        <w:rPr>
          <w:rFonts w:ascii="Calibri" w:hAnsi="Calibri" w:cs="Calibri"/>
          <w:b/>
          <w:color w:val="000000"/>
          <w:sz w:val="36"/>
          <w:szCs w:val="36"/>
          <w:lang w:eastAsia="es-MX"/>
        </w:rPr>
        <w:t xml:space="preserve">Microtitulación para la </w:t>
      </w:r>
      <w:r w:rsidR="00FC2758" w:rsidRPr="00F42A2D">
        <w:rPr>
          <w:rFonts w:ascii="Calibri" w:hAnsi="Calibri" w:cs="Calibri"/>
          <w:b/>
          <w:color w:val="000000"/>
          <w:sz w:val="36"/>
          <w:szCs w:val="36"/>
          <w:lang w:eastAsia="es-MX"/>
        </w:rPr>
        <w:t>determinaci</w:t>
      </w:r>
      <w:r w:rsidR="00FC2758" w:rsidRPr="00F42A2D">
        <w:rPr>
          <w:rFonts w:ascii="Calibri" w:hAnsi="Calibri" w:cs="Calibri" w:hint="eastAsia"/>
          <w:b/>
          <w:color w:val="000000"/>
          <w:sz w:val="36"/>
          <w:szCs w:val="36"/>
          <w:lang w:eastAsia="es-MX"/>
        </w:rPr>
        <w:t>ó</w:t>
      </w:r>
      <w:r w:rsidR="00FC2758" w:rsidRPr="00F42A2D">
        <w:rPr>
          <w:rFonts w:ascii="Calibri" w:hAnsi="Calibri" w:cs="Calibri"/>
          <w:b/>
          <w:color w:val="000000"/>
          <w:sz w:val="36"/>
          <w:szCs w:val="36"/>
          <w:lang w:eastAsia="es-MX"/>
        </w:rPr>
        <w:t>n de la acidez titulable de t</w:t>
      </w:r>
      <w:r w:rsidR="00FC2758" w:rsidRPr="00F42A2D">
        <w:rPr>
          <w:rFonts w:ascii="Calibri" w:hAnsi="Calibri" w:cs="Calibri" w:hint="eastAsia"/>
          <w:b/>
          <w:color w:val="000000"/>
          <w:sz w:val="36"/>
          <w:szCs w:val="36"/>
          <w:lang w:eastAsia="es-MX"/>
        </w:rPr>
        <w:t>é</w:t>
      </w:r>
      <w:r w:rsidR="00FC2758" w:rsidRPr="00F42A2D">
        <w:rPr>
          <w:rFonts w:ascii="Calibri" w:hAnsi="Calibri" w:cs="Calibri"/>
          <w:b/>
          <w:color w:val="000000"/>
          <w:sz w:val="36"/>
          <w:szCs w:val="36"/>
          <w:lang w:eastAsia="es-MX"/>
        </w:rPr>
        <w:t>s</w:t>
      </w:r>
      <w:r w:rsidRPr="00F42A2D">
        <w:rPr>
          <w:rFonts w:ascii="Calibri" w:hAnsi="Calibri" w:cs="Calibri"/>
          <w:b/>
          <w:color w:val="000000"/>
          <w:sz w:val="36"/>
          <w:szCs w:val="36"/>
          <w:lang w:eastAsia="es-MX"/>
        </w:rPr>
        <w:t xml:space="preserve"> (Came</w:t>
      </w:r>
      <w:r w:rsidR="0016286C" w:rsidRPr="00F42A2D">
        <w:rPr>
          <w:rFonts w:ascii="Calibri" w:hAnsi="Calibri" w:cs="Calibri"/>
          <w:b/>
          <w:color w:val="000000"/>
          <w:sz w:val="36"/>
          <w:szCs w:val="36"/>
          <w:lang w:eastAsia="es-MX"/>
        </w:rPr>
        <w:t>l</w:t>
      </w:r>
      <w:r w:rsidRPr="00F42A2D">
        <w:rPr>
          <w:rFonts w:ascii="Calibri" w:hAnsi="Calibri" w:cs="Calibri"/>
          <w:b/>
          <w:color w:val="000000"/>
          <w:sz w:val="36"/>
          <w:szCs w:val="36"/>
          <w:lang w:eastAsia="es-MX"/>
        </w:rPr>
        <w:t>lia sinensis)</w:t>
      </w:r>
    </w:p>
    <w:p w14:paraId="045858A4" w14:textId="16C72D50" w:rsidR="006724D4" w:rsidRPr="00D71CC0" w:rsidRDefault="00E327B7" w:rsidP="00E32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Calibri" w:hAnsi="Calibri" w:cs="Calibri"/>
          <w:b/>
          <w:i/>
          <w:iCs/>
          <w:color w:val="000000"/>
          <w:sz w:val="28"/>
          <w:szCs w:val="28"/>
          <w:lang w:val="en-US"/>
        </w:rPr>
      </w:pPr>
      <w:r w:rsidRPr="00081CBF">
        <w:rPr>
          <w:rFonts w:ascii="Calibri" w:hAnsi="Calibri" w:cs="Calibri"/>
          <w:b/>
          <w:i/>
          <w:iCs/>
          <w:color w:val="000000"/>
          <w:sz w:val="28"/>
          <w:szCs w:val="28"/>
          <w:lang w:val="en-US"/>
        </w:rPr>
        <w:br/>
      </w:r>
      <w:r w:rsidR="006724D4" w:rsidRPr="00D71CC0">
        <w:rPr>
          <w:rFonts w:ascii="Calibri" w:hAnsi="Calibri" w:cs="Calibri"/>
          <w:b/>
          <w:i/>
          <w:iCs/>
          <w:color w:val="000000"/>
          <w:sz w:val="28"/>
          <w:szCs w:val="28"/>
          <w:lang w:val="en-US"/>
        </w:rPr>
        <w:t xml:space="preserve">Microtiter for the Determination of </w:t>
      </w:r>
      <w:r w:rsidR="00E80B30" w:rsidRPr="00D71CC0">
        <w:rPr>
          <w:rFonts w:ascii="Calibri" w:hAnsi="Calibri" w:cs="Calibri"/>
          <w:b/>
          <w:i/>
          <w:iCs/>
          <w:color w:val="000000"/>
          <w:sz w:val="28"/>
          <w:szCs w:val="28"/>
          <w:lang w:val="en-US"/>
        </w:rPr>
        <w:t xml:space="preserve">Titratable </w:t>
      </w:r>
      <w:r w:rsidR="006724D4" w:rsidRPr="00D71CC0">
        <w:rPr>
          <w:rFonts w:ascii="Calibri" w:hAnsi="Calibri" w:cs="Calibri"/>
          <w:b/>
          <w:i/>
          <w:iCs/>
          <w:color w:val="000000"/>
          <w:sz w:val="28"/>
          <w:szCs w:val="28"/>
          <w:lang w:val="en-US"/>
        </w:rPr>
        <w:t>Acidity of Teas (Came</w:t>
      </w:r>
      <w:r w:rsidR="0016286C" w:rsidRPr="00D71CC0">
        <w:rPr>
          <w:rFonts w:ascii="Calibri" w:hAnsi="Calibri" w:cs="Calibri"/>
          <w:b/>
          <w:i/>
          <w:iCs/>
          <w:color w:val="000000"/>
          <w:sz w:val="28"/>
          <w:szCs w:val="28"/>
          <w:lang w:val="en-US"/>
        </w:rPr>
        <w:t>l</w:t>
      </w:r>
      <w:r w:rsidR="006724D4" w:rsidRPr="00D71CC0">
        <w:rPr>
          <w:rFonts w:ascii="Calibri" w:hAnsi="Calibri" w:cs="Calibri"/>
          <w:b/>
          <w:i/>
          <w:iCs/>
          <w:color w:val="000000"/>
          <w:sz w:val="28"/>
          <w:szCs w:val="28"/>
          <w:lang w:val="en-US"/>
        </w:rPr>
        <w:t>lia sinensis)</w:t>
      </w:r>
    </w:p>
    <w:p w14:paraId="18A5D398" w14:textId="72221094" w:rsidR="00E327B7" w:rsidRPr="00F42A2D" w:rsidRDefault="00E327B7" w:rsidP="00E327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Calibri" w:hAnsi="Calibri" w:cs="Calibri"/>
          <w:b/>
          <w:i/>
          <w:iCs/>
          <w:color w:val="000000"/>
          <w:sz w:val="28"/>
          <w:szCs w:val="28"/>
        </w:rPr>
      </w:pPr>
      <w:r w:rsidRPr="00081CBF">
        <w:rPr>
          <w:rFonts w:ascii="Calibri" w:hAnsi="Calibri" w:cs="Calibri"/>
          <w:b/>
          <w:i/>
          <w:iCs/>
          <w:color w:val="000000"/>
          <w:sz w:val="28"/>
          <w:szCs w:val="28"/>
        </w:rPr>
        <w:br/>
      </w:r>
      <w:proofErr w:type="spellStart"/>
      <w:r w:rsidRPr="00F42A2D">
        <w:rPr>
          <w:rFonts w:ascii="Calibri" w:hAnsi="Calibri" w:cs="Calibri"/>
          <w:b/>
          <w:i/>
          <w:iCs/>
          <w:color w:val="000000"/>
          <w:sz w:val="28"/>
          <w:szCs w:val="28"/>
        </w:rPr>
        <w:t>Microtitulação</w:t>
      </w:r>
      <w:proofErr w:type="spellEnd"/>
      <w:r w:rsidRPr="00F42A2D">
        <w:rPr>
          <w:rFonts w:ascii="Calibri" w:hAnsi="Calibri" w:cs="Calibri"/>
          <w:b/>
          <w:i/>
          <w:iCs/>
          <w:color w:val="000000"/>
          <w:sz w:val="28"/>
          <w:szCs w:val="28"/>
        </w:rPr>
        <w:t xml:space="preserve"> para </w:t>
      </w:r>
      <w:proofErr w:type="spellStart"/>
      <w:r w:rsidRPr="00F42A2D">
        <w:rPr>
          <w:rFonts w:ascii="Calibri" w:hAnsi="Calibri" w:cs="Calibri"/>
          <w:b/>
          <w:i/>
          <w:iCs/>
          <w:color w:val="000000"/>
          <w:sz w:val="28"/>
          <w:szCs w:val="28"/>
        </w:rPr>
        <w:t>determinação</w:t>
      </w:r>
      <w:proofErr w:type="spellEnd"/>
      <w:r w:rsidRPr="00F42A2D">
        <w:rPr>
          <w:rFonts w:ascii="Calibri" w:hAnsi="Calibri" w:cs="Calibri"/>
          <w:b/>
          <w:i/>
          <w:iCs/>
          <w:color w:val="000000"/>
          <w:sz w:val="28"/>
          <w:szCs w:val="28"/>
        </w:rPr>
        <w:t xml:space="preserve"> da acidez titulável de chás (Camellia sinensis)</w:t>
      </w:r>
    </w:p>
    <w:p w14:paraId="2B9C3E00" w14:textId="77777777" w:rsidR="00F3091A" w:rsidRPr="00F42A2D" w:rsidRDefault="00F3091A" w:rsidP="00E327B7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10942A2B" w14:textId="61807267" w:rsidR="009F3EF3" w:rsidRPr="00473B63" w:rsidRDefault="00F3091A" w:rsidP="00473B63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</w:rPr>
      </w:pPr>
      <w:r w:rsidRPr="00473B63">
        <w:rPr>
          <w:rFonts w:asciiTheme="minorHAnsi" w:hAnsiTheme="minorHAnsi" w:cstheme="minorHAnsi"/>
          <w:b/>
          <w:bCs/>
        </w:rPr>
        <w:t>Rafael Manuel de Jesús</w:t>
      </w:r>
      <w:r w:rsidR="00D71CC0" w:rsidRPr="00473B63">
        <w:rPr>
          <w:rFonts w:asciiTheme="minorHAnsi" w:hAnsiTheme="minorHAnsi" w:cstheme="minorHAnsi"/>
          <w:b/>
          <w:bCs/>
        </w:rPr>
        <w:t xml:space="preserve"> Mex-Álvarez</w:t>
      </w:r>
    </w:p>
    <w:p w14:paraId="08D08CEE" w14:textId="6F888FD0" w:rsidR="00D71CC0" w:rsidRDefault="00D71CC0" w:rsidP="00473B63">
      <w:pPr>
        <w:pStyle w:val="NormalWeb"/>
        <w:spacing w:before="0" w:beforeAutospacing="0" w:after="0" w:afterAutospacing="0" w:line="276" w:lineRule="auto"/>
        <w:jc w:val="right"/>
        <w:rPr>
          <w:rFonts w:ascii="TimesNewRomanPS" w:hAnsi="TimesNewRomanPS"/>
        </w:rPr>
      </w:pPr>
      <w:r>
        <w:rPr>
          <w:rFonts w:ascii="TimesNewRomanPS" w:hAnsi="TimesNewRomanPS"/>
        </w:rPr>
        <w:t>Universidad Autónoma de Campeche</w:t>
      </w:r>
      <w:r w:rsidR="00146032">
        <w:rPr>
          <w:rFonts w:ascii="TimesNewRomanPS" w:hAnsi="TimesNewRomanPS"/>
        </w:rPr>
        <w:t>, México</w:t>
      </w:r>
    </w:p>
    <w:p w14:paraId="10E5376C" w14:textId="295BCFF0" w:rsidR="00D71CC0" w:rsidRPr="00473B63" w:rsidRDefault="00D71CC0" w:rsidP="00473B63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  <w:r w:rsidRPr="00473B63">
        <w:rPr>
          <w:rFonts w:asciiTheme="minorHAnsi" w:hAnsiTheme="minorHAnsi" w:cstheme="minorHAnsi"/>
          <w:color w:val="FF0000"/>
        </w:rPr>
        <w:t>rafammex@uacam.mx</w:t>
      </w:r>
    </w:p>
    <w:p w14:paraId="7684DA09" w14:textId="6BC3FD35" w:rsidR="00D71CC0" w:rsidRPr="00473B63" w:rsidRDefault="00D71CC0" w:rsidP="00473B63">
      <w:pPr>
        <w:spacing w:line="276" w:lineRule="auto"/>
        <w:jc w:val="right"/>
        <w:rPr>
          <w:rFonts w:ascii="TimesNewRomanPSMT" w:hAnsi="TimesNewRomanPSMT"/>
          <w:color w:val="000000"/>
        </w:rPr>
      </w:pPr>
      <w:r w:rsidRPr="00473B63">
        <w:rPr>
          <w:rFonts w:ascii="TimesNewRomanPSMT" w:hAnsi="TimesNewRomanPSMT"/>
        </w:rPr>
        <w:t>https://orcid.org/0000-0003-1154-0566</w:t>
      </w:r>
    </w:p>
    <w:p w14:paraId="58A833FB" w14:textId="77777777" w:rsidR="00D71CC0" w:rsidRPr="00D71CC0" w:rsidRDefault="00D71CC0" w:rsidP="00473B63">
      <w:pPr>
        <w:spacing w:line="276" w:lineRule="auto"/>
        <w:jc w:val="right"/>
      </w:pPr>
    </w:p>
    <w:p w14:paraId="4AA6E9D3" w14:textId="1A58B892" w:rsidR="00D71CC0" w:rsidRPr="00473B63" w:rsidRDefault="00D71CC0" w:rsidP="00473B63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</w:rPr>
      </w:pPr>
      <w:r w:rsidRPr="00473B63">
        <w:rPr>
          <w:rFonts w:asciiTheme="minorHAnsi" w:hAnsiTheme="minorHAnsi" w:cstheme="minorHAnsi"/>
          <w:b/>
          <w:bCs/>
        </w:rPr>
        <w:t>Maria Magali Guillen-Morales</w:t>
      </w:r>
    </w:p>
    <w:p w14:paraId="056C42A7" w14:textId="654C3779" w:rsidR="00D71CC0" w:rsidRDefault="00D71CC0" w:rsidP="00473B63">
      <w:pPr>
        <w:pStyle w:val="NormalWeb"/>
        <w:spacing w:before="0" w:beforeAutospacing="0" w:after="0" w:afterAutospacing="0" w:line="276" w:lineRule="auto"/>
        <w:jc w:val="right"/>
        <w:rPr>
          <w:rFonts w:ascii="TimesNewRomanPS" w:hAnsi="TimesNewRomanPS"/>
        </w:rPr>
      </w:pPr>
      <w:r>
        <w:rPr>
          <w:rFonts w:ascii="TimesNewRomanPS" w:hAnsi="TimesNewRomanPS"/>
        </w:rPr>
        <w:t>Universidad Autónoma de Campeche</w:t>
      </w:r>
      <w:r w:rsidR="00146032">
        <w:rPr>
          <w:rFonts w:ascii="TimesNewRomanPS" w:hAnsi="TimesNewRomanPS"/>
        </w:rPr>
        <w:t>, México</w:t>
      </w:r>
    </w:p>
    <w:p w14:paraId="45450F64" w14:textId="1A1A2681" w:rsidR="00D71CC0" w:rsidRPr="00473B63" w:rsidRDefault="00D71CC0" w:rsidP="00473B63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  <w:r w:rsidRPr="00473B63">
        <w:rPr>
          <w:rFonts w:asciiTheme="minorHAnsi" w:hAnsiTheme="minorHAnsi" w:cstheme="minorHAnsi"/>
          <w:color w:val="FF0000"/>
        </w:rPr>
        <w:t>mmguille@uacam.mx</w:t>
      </w:r>
    </w:p>
    <w:p w14:paraId="398F70AE" w14:textId="60039C70" w:rsidR="00D71CC0" w:rsidRPr="00473B63" w:rsidRDefault="00D71CC0" w:rsidP="00473B63">
      <w:pPr>
        <w:spacing w:line="276" w:lineRule="auto"/>
        <w:jc w:val="right"/>
        <w:rPr>
          <w:rFonts w:ascii="TimesNewRomanPSMT" w:hAnsi="TimesNewRomanPSMT"/>
        </w:rPr>
      </w:pPr>
      <w:r w:rsidRPr="00473B63">
        <w:rPr>
          <w:rFonts w:ascii="TimesNewRomanPSMT" w:hAnsi="TimesNewRomanPSMT"/>
        </w:rPr>
        <w:t>https://orcid.org/0000-0003-3958-0420</w:t>
      </w:r>
    </w:p>
    <w:p w14:paraId="67EEA10E" w14:textId="1C675604" w:rsidR="00D71CC0" w:rsidRDefault="00D71CC0" w:rsidP="00473B63">
      <w:pPr>
        <w:spacing w:line="276" w:lineRule="auto"/>
        <w:jc w:val="right"/>
      </w:pPr>
    </w:p>
    <w:p w14:paraId="435B9FE9" w14:textId="4BE58507" w:rsidR="00D71CC0" w:rsidRDefault="00D71CC0" w:rsidP="00473B63">
      <w:pPr>
        <w:pStyle w:val="Normal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</w:rPr>
      </w:pPr>
      <w:r w:rsidRPr="00473B63">
        <w:rPr>
          <w:rFonts w:asciiTheme="minorHAnsi" w:hAnsiTheme="minorHAnsi" w:cstheme="minorHAnsi"/>
          <w:b/>
          <w:bCs/>
        </w:rPr>
        <w:t>Cristopher Alejandro Ceh-Ac</w:t>
      </w:r>
    </w:p>
    <w:p w14:paraId="3F2D44A5" w14:textId="51C4F6EC" w:rsidR="00E3175B" w:rsidRPr="00E3175B" w:rsidRDefault="00E3175B" w:rsidP="00E3175B">
      <w:pPr>
        <w:pStyle w:val="NormalWeb"/>
        <w:spacing w:before="0" w:beforeAutospacing="0" w:after="0" w:afterAutospacing="0" w:line="276" w:lineRule="auto"/>
        <w:jc w:val="right"/>
        <w:rPr>
          <w:rFonts w:ascii="TimesNewRomanPS" w:hAnsi="TimesNewRomanPS"/>
        </w:rPr>
      </w:pPr>
      <w:r>
        <w:rPr>
          <w:rFonts w:ascii="TimesNewRomanPS" w:hAnsi="TimesNewRomanPS"/>
        </w:rPr>
        <w:t>Universidad Autónoma de Campeche</w:t>
      </w:r>
      <w:r w:rsidR="00146032">
        <w:rPr>
          <w:rFonts w:ascii="TimesNewRomanPS" w:hAnsi="TimesNewRomanPS"/>
        </w:rPr>
        <w:t>, México</w:t>
      </w:r>
    </w:p>
    <w:p w14:paraId="1553C342" w14:textId="4C262063" w:rsidR="00D71CC0" w:rsidRPr="00473B63" w:rsidRDefault="00D71CC0" w:rsidP="00473B63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  <w:r w:rsidRPr="00473B63">
        <w:rPr>
          <w:rFonts w:asciiTheme="minorHAnsi" w:hAnsiTheme="minorHAnsi" w:cstheme="minorHAnsi"/>
          <w:color w:val="FF0000"/>
        </w:rPr>
        <w:t>al045308@uacam.mx</w:t>
      </w:r>
    </w:p>
    <w:p w14:paraId="7E1941FA" w14:textId="6013DFE3" w:rsidR="00D71CC0" w:rsidRPr="00473B63" w:rsidRDefault="00D71CC0" w:rsidP="00473B63">
      <w:pPr>
        <w:spacing w:line="276" w:lineRule="auto"/>
        <w:jc w:val="right"/>
        <w:rPr>
          <w:rFonts w:ascii="TimesNewRomanPSMT" w:hAnsi="TimesNewRomanPSMT"/>
        </w:rPr>
      </w:pPr>
      <w:r w:rsidRPr="00473B63">
        <w:rPr>
          <w:rFonts w:ascii="TimesNewRomanPSMT" w:hAnsi="TimesNewRomanPSMT"/>
        </w:rPr>
        <w:t>https://orcid.org/0000-0003-0346-8744</w:t>
      </w:r>
    </w:p>
    <w:p w14:paraId="47AC0BDB" w14:textId="77777777" w:rsidR="00D71CC0" w:rsidRPr="00473B63" w:rsidRDefault="00D71CC0" w:rsidP="00473B63">
      <w:pPr>
        <w:spacing w:line="276" w:lineRule="auto"/>
        <w:jc w:val="right"/>
        <w:rPr>
          <w:rFonts w:ascii="TimesNewRomanPSMT" w:hAnsi="TimesNewRomanPSMT"/>
        </w:rPr>
      </w:pPr>
    </w:p>
    <w:p w14:paraId="1FA36375" w14:textId="2AF2936D" w:rsidR="00F3091A" w:rsidRDefault="00F3091A" w:rsidP="00E35892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370E75B2" w14:textId="40C5F0E0" w:rsidR="00473B63" w:rsidRDefault="00473B63" w:rsidP="00E35892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04B69898" w14:textId="6C08C32D" w:rsidR="00473B63" w:rsidRDefault="00473B63" w:rsidP="00E35892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27348BE3" w14:textId="25E744BB" w:rsidR="00473B63" w:rsidRDefault="00473B63" w:rsidP="00E35892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3444756D" w14:textId="4159B8FB" w:rsidR="00473B63" w:rsidRDefault="00473B63" w:rsidP="00E35892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2A1A3B9E" w14:textId="4B6DEC59" w:rsidR="00473B63" w:rsidRDefault="00473B63" w:rsidP="00E35892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5310E4E7" w14:textId="4A2A5233" w:rsidR="00473B63" w:rsidRDefault="00473B63" w:rsidP="00E35892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1F2264C7" w14:textId="703AED02" w:rsidR="00076562" w:rsidRPr="00F42A2D" w:rsidRDefault="00F0018E" w:rsidP="00E327B7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F42A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lastRenderedPageBreak/>
        <w:t>Resumen</w:t>
      </w:r>
    </w:p>
    <w:p w14:paraId="0580DFC4" w14:textId="6FC99DF2" w:rsidR="00F0018E" w:rsidRPr="00F42A2D" w:rsidRDefault="00F0018E" w:rsidP="00FC2758">
      <w:pPr>
        <w:pStyle w:val="NormalWeb"/>
        <w:spacing w:before="0" w:beforeAutospacing="0" w:after="0" w:afterAutospacing="0" w:line="360" w:lineRule="auto"/>
        <w:jc w:val="both"/>
        <w:rPr>
          <w:rFonts w:ascii="TimesNewRomanPS" w:hAnsi="TimesNewRomanPS"/>
          <w:bCs/>
          <w:i/>
        </w:rPr>
      </w:pPr>
      <w:r w:rsidRPr="00F42A2D">
        <w:rPr>
          <w:rFonts w:ascii="TimesNewRomanPS" w:hAnsi="TimesNewRomanPS"/>
          <w:bCs/>
        </w:rPr>
        <w:t>Se desarrolló un método a microescala para la determinación de la acidez titulable de</w:t>
      </w:r>
      <w:r w:rsidR="00F93B1D" w:rsidRPr="00F42A2D">
        <w:rPr>
          <w:rFonts w:ascii="TimesNewRomanPS" w:hAnsi="TimesNewRomanPS"/>
          <w:bCs/>
        </w:rPr>
        <w:t xml:space="preserve"> té (</w:t>
      </w:r>
      <w:r w:rsidR="00F93B1D" w:rsidRPr="00F42A2D">
        <w:rPr>
          <w:rFonts w:ascii="TimesNewRomanPS" w:hAnsi="TimesNewRomanPS"/>
          <w:bCs/>
          <w:i/>
        </w:rPr>
        <w:t>Camel</w:t>
      </w:r>
      <w:r w:rsidR="00A10835" w:rsidRPr="00F42A2D">
        <w:rPr>
          <w:rFonts w:ascii="TimesNewRomanPS" w:hAnsi="TimesNewRomanPS"/>
          <w:bCs/>
          <w:i/>
        </w:rPr>
        <w:t>l</w:t>
      </w:r>
      <w:r w:rsidR="00F93B1D" w:rsidRPr="00F42A2D">
        <w:rPr>
          <w:rFonts w:ascii="TimesNewRomanPS" w:hAnsi="TimesNewRomanPS"/>
          <w:bCs/>
          <w:i/>
        </w:rPr>
        <w:t>ia sinensis</w:t>
      </w:r>
      <w:r w:rsidR="00F93B1D" w:rsidRPr="00F42A2D">
        <w:rPr>
          <w:rFonts w:ascii="TimesNewRomanPS" w:hAnsi="TimesNewRomanPS"/>
          <w:bCs/>
        </w:rPr>
        <w:t>) y se comparó con el método recomendado</w:t>
      </w:r>
      <w:r w:rsidR="00861044" w:rsidRPr="00F42A2D">
        <w:rPr>
          <w:rFonts w:ascii="TimesNewRomanPS" w:hAnsi="TimesNewRomanPS"/>
          <w:bCs/>
        </w:rPr>
        <w:t xml:space="preserve">. Los </w:t>
      </w:r>
      <w:r w:rsidR="00F93B1D" w:rsidRPr="00F42A2D">
        <w:rPr>
          <w:rFonts w:ascii="TimesNewRomanPS" w:hAnsi="TimesNewRomanPS"/>
          <w:bCs/>
        </w:rPr>
        <w:t>resultados obtenidos muestran que el método desarrollado es satisfactorio</w:t>
      </w:r>
      <w:r w:rsidR="00861044" w:rsidRPr="00F42A2D">
        <w:rPr>
          <w:rFonts w:ascii="TimesNewRomanPS" w:hAnsi="TimesNewRomanPS"/>
          <w:bCs/>
        </w:rPr>
        <w:t>:</w:t>
      </w:r>
      <w:r w:rsidR="00F93B1D" w:rsidRPr="00F42A2D">
        <w:rPr>
          <w:rFonts w:ascii="TimesNewRomanPS" w:hAnsi="TimesNewRomanPS"/>
          <w:bCs/>
        </w:rPr>
        <w:t xml:space="preserve"> los valores obtenidos son muy similares a los del método de referencia y mostraron una correlación lineal con un valor de R</w:t>
      </w:r>
      <w:r w:rsidR="00F93B1D" w:rsidRPr="00F42A2D">
        <w:rPr>
          <w:rFonts w:ascii="TimesNewRomanPS" w:hAnsi="TimesNewRomanPS"/>
          <w:bCs/>
          <w:vertAlign w:val="superscript"/>
        </w:rPr>
        <w:t>2</w:t>
      </w:r>
      <w:r w:rsidR="00861044" w:rsidRPr="00F42A2D">
        <w:rPr>
          <w:rFonts w:ascii="TimesNewRomanPS" w:hAnsi="TimesNewRomanPS"/>
          <w:bCs/>
          <w:vertAlign w:val="superscript"/>
        </w:rPr>
        <w:t> </w:t>
      </w:r>
      <w:r w:rsidR="00F93B1D" w:rsidRPr="00F42A2D">
        <w:rPr>
          <w:rFonts w:ascii="TimesNewRomanPS" w:hAnsi="TimesNewRomanPS"/>
          <w:bCs/>
        </w:rPr>
        <w:t>=</w:t>
      </w:r>
      <w:r w:rsidR="00861044" w:rsidRPr="00F42A2D">
        <w:rPr>
          <w:rFonts w:ascii="TimesNewRomanPS" w:hAnsi="TimesNewRomanPS"/>
          <w:bCs/>
        </w:rPr>
        <w:t> </w:t>
      </w:r>
      <w:r w:rsidR="00F93B1D" w:rsidRPr="00F42A2D">
        <w:rPr>
          <w:rFonts w:ascii="TimesNewRomanPS" w:hAnsi="TimesNewRomanPS"/>
          <w:bCs/>
        </w:rPr>
        <w:t>0.8901</w:t>
      </w:r>
      <w:r w:rsidR="00861044" w:rsidRPr="00F42A2D">
        <w:rPr>
          <w:rFonts w:ascii="TimesNewRomanPS" w:hAnsi="TimesNewRomanPS"/>
          <w:bCs/>
        </w:rPr>
        <w:t>.</w:t>
      </w:r>
      <w:r w:rsidR="00F93B1D" w:rsidRPr="00F42A2D">
        <w:rPr>
          <w:rFonts w:ascii="TimesNewRomanPS" w:hAnsi="TimesNewRomanPS"/>
          <w:bCs/>
        </w:rPr>
        <w:t xml:space="preserve"> </w:t>
      </w:r>
      <w:r w:rsidR="00861044" w:rsidRPr="00F42A2D">
        <w:rPr>
          <w:rFonts w:ascii="TimesNewRomanPS" w:hAnsi="TimesNewRomanPS"/>
          <w:bCs/>
        </w:rPr>
        <w:t xml:space="preserve">El </w:t>
      </w:r>
      <w:r w:rsidR="00F93B1D" w:rsidRPr="00F42A2D">
        <w:rPr>
          <w:rFonts w:ascii="TimesNewRomanPS" w:hAnsi="TimesNewRomanPS"/>
          <w:bCs/>
        </w:rPr>
        <w:t>método desarrollado se puede emplear como método de enseñanza en los laboratorios de química para la caracteri</w:t>
      </w:r>
      <w:r w:rsidR="00EF3F10" w:rsidRPr="00F42A2D">
        <w:rPr>
          <w:rFonts w:ascii="TimesNewRomanPS" w:hAnsi="TimesNewRomanPS"/>
          <w:bCs/>
        </w:rPr>
        <w:t>z</w:t>
      </w:r>
      <w:r w:rsidR="00F93B1D" w:rsidRPr="00F42A2D">
        <w:rPr>
          <w:rFonts w:ascii="TimesNewRomanPS" w:hAnsi="TimesNewRomanPS"/>
          <w:bCs/>
        </w:rPr>
        <w:t xml:space="preserve">ación fisicoquímica de bebidas elaboradas a base de </w:t>
      </w:r>
      <w:r w:rsidR="00F93B1D" w:rsidRPr="00F42A2D">
        <w:rPr>
          <w:rFonts w:ascii="TimesNewRomanPS" w:hAnsi="TimesNewRomanPS"/>
          <w:bCs/>
          <w:i/>
        </w:rPr>
        <w:t>Camel</w:t>
      </w:r>
      <w:r w:rsidR="00A10835" w:rsidRPr="00F42A2D">
        <w:rPr>
          <w:rFonts w:ascii="TimesNewRomanPS" w:hAnsi="TimesNewRomanPS"/>
          <w:bCs/>
          <w:i/>
        </w:rPr>
        <w:t>l</w:t>
      </w:r>
      <w:r w:rsidR="00F93B1D" w:rsidRPr="00F42A2D">
        <w:rPr>
          <w:rFonts w:ascii="TimesNewRomanPS" w:hAnsi="TimesNewRomanPS"/>
          <w:bCs/>
          <w:i/>
        </w:rPr>
        <w:t>ia sinensis.</w:t>
      </w:r>
    </w:p>
    <w:p w14:paraId="3C1521E5" w14:textId="7077A4F7" w:rsidR="00F0018E" w:rsidRPr="00F42A2D" w:rsidRDefault="006724D4" w:rsidP="00FC2758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Cs/>
        </w:rPr>
      </w:pPr>
      <w:r w:rsidRPr="00F42A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Palabras </w:t>
      </w:r>
      <w:r w:rsidR="00E35892" w:rsidRPr="00F42A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</w:t>
      </w:r>
      <w:r w:rsidRPr="00F42A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lave:</w:t>
      </w:r>
      <w:r w:rsidRPr="00F42A2D">
        <w:rPr>
          <w:rFonts w:ascii="TimesNewRomanPS" w:hAnsi="TimesNewRomanPS"/>
          <w:bCs/>
        </w:rPr>
        <w:t xml:space="preserve"> </w:t>
      </w:r>
      <w:r w:rsidR="00E35892" w:rsidRPr="00F42A2D">
        <w:rPr>
          <w:rFonts w:ascii="TimesNewRomanPS" w:hAnsi="TimesNewRomanPS"/>
          <w:bCs/>
        </w:rPr>
        <w:t>a</w:t>
      </w:r>
      <w:r w:rsidRPr="00F42A2D">
        <w:rPr>
          <w:rFonts w:ascii="TimesNewRomanPS" w:hAnsi="TimesNewRomanPS"/>
          <w:bCs/>
        </w:rPr>
        <w:t>lcalimetría</w:t>
      </w:r>
      <w:r w:rsidR="00220E12" w:rsidRPr="00F42A2D">
        <w:rPr>
          <w:rFonts w:ascii="TimesNewRomanPS" w:hAnsi="TimesNewRomanPS"/>
          <w:bCs/>
        </w:rPr>
        <w:t xml:space="preserve">, </w:t>
      </w:r>
      <w:r w:rsidR="00E35892" w:rsidRPr="00F42A2D">
        <w:rPr>
          <w:rFonts w:ascii="TimesNewRomanPS" w:hAnsi="TimesNewRomanPS"/>
          <w:bCs/>
        </w:rPr>
        <w:t>m</w:t>
      </w:r>
      <w:r w:rsidR="00220E12" w:rsidRPr="00F42A2D">
        <w:rPr>
          <w:rFonts w:ascii="TimesNewRomanPS" w:hAnsi="TimesNewRomanPS"/>
          <w:bCs/>
        </w:rPr>
        <w:t xml:space="preserve">icroescala, </w:t>
      </w:r>
      <w:r w:rsidR="00E35892" w:rsidRPr="00F42A2D">
        <w:rPr>
          <w:rFonts w:ascii="TimesNewRomanPS" w:hAnsi="TimesNewRomanPS"/>
          <w:bCs/>
        </w:rPr>
        <w:t>p</w:t>
      </w:r>
      <w:r w:rsidR="00220E12" w:rsidRPr="00F42A2D">
        <w:rPr>
          <w:rFonts w:ascii="TimesNewRomanPS" w:hAnsi="TimesNewRomanPS"/>
          <w:bCs/>
        </w:rPr>
        <w:t>otenciometría</w:t>
      </w:r>
      <w:r w:rsidR="00E35892" w:rsidRPr="00F42A2D">
        <w:rPr>
          <w:rFonts w:ascii="TimesNewRomanPS" w:hAnsi="TimesNewRomanPS"/>
          <w:bCs/>
        </w:rPr>
        <w:t>.</w:t>
      </w:r>
    </w:p>
    <w:p w14:paraId="14479475" w14:textId="77777777" w:rsidR="00F42A2D" w:rsidRPr="00F42A2D" w:rsidRDefault="00F42A2D" w:rsidP="00FC2758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/>
          <w:bCs/>
        </w:rPr>
      </w:pPr>
    </w:p>
    <w:p w14:paraId="11C210CE" w14:textId="77777777" w:rsidR="00F0018E" w:rsidRPr="00D71CC0" w:rsidRDefault="00F0018E" w:rsidP="00E327B7">
      <w:pPr>
        <w:spacing w:line="360" w:lineRule="auto"/>
        <w:jc w:val="both"/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/>
        </w:rPr>
      </w:pPr>
      <w:r w:rsidRPr="00D71CC0"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/>
        </w:rPr>
        <w:t>Abstract</w:t>
      </w:r>
    </w:p>
    <w:p w14:paraId="5D0B74AB" w14:textId="3AED2B44" w:rsidR="00F93B1D" w:rsidRPr="00F42A2D" w:rsidRDefault="00F93B1D" w:rsidP="00FC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222"/>
          <w:lang w:val="en" w:eastAsia="es-ES_tradnl"/>
        </w:rPr>
      </w:pPr>
      <w:r w:rsidRPr="00F42A2D">
        <w:rPr>
          <w:bCs/>
          <w:lang w:val="en-US" w:eastAsia="es-ES_tradnl"/>
        </w:rPr>
        <w:t>A microscale method was developed for the determination of titratable acidity of tea (</w:t>
      </w:r>
      <w:r w:rsidRPr="00F42A2D">
        <w:rPr>
          <w:bCs/>
          <w:i/>
          <w:lang w:val="en-US" w:eastAsia="es-ES_tradnl"/>
        </w:rPr>
        <w:t>Came</w:t>
      </w:r>
      <w:r w:rsidR="00A10835" w:rsidRPr="00F42A2D">
        <w:rPr>
          <w:bCs/>
          <w:i/>
          <w:lang w:val="en-US" w:eastAsia="es-ES_tradnl"/>
        </w:rPr>
        <w:t>l</w:t>
      </w:r>
      <w:r w:rsidRPr="00F42A2D">
        <w:rPr>
          <w:bCs/>
          <w:i/>
          <w:lang w:val="en-US" w:eastAsia="es-ES_tradnl"/>
        </w:rPr>
        <w:t>lia sinensis</w:t>
      </w:r>
      <w:r w:rsidRPr="00F42A2D">
        <w:rPr>
          <w:bCs/>
          <w:lang w:val="en-US" w:eastAsia="es-ES_tradnl"/>
        </w:rPr>
        <w:t>) and compared with the recommended method</w:t>
      </w:r>
      <w:r w:rsidR="00F80AD5" w:rsidRPr="00F42A2D">
        <w:rPr>
          <w:bCs/>
          <w:lang w:val="en-US" w:eastAsia="es-ES_tradnl"/>
        </w:rPr>
        <w:t xml:space="preserve">. The </w:t>
      </w:r>
      <w:r w:rsidRPr="00F42A2D">
        <w:rPr>
          <w:bCs/>
          <w:lang w:val="en-US" w:eastAsia="es-ES_tradnl"/>
        </w:rPr>
        <w:t>results obtained show that the method developed is satisfactory</w:t>
      </w:r>
      <w:r w:rsidR="00491BE2" w:rsidRPr="00F42A2D">
        <w:rPr>
          <w:bCs/>
          <w:lang w:val="en-US" w:eastAsia="es-ES_tradnl"/>
        </w:rPr>
        <w:t>:</w:t>
      </w:r>
      <w:r w:rsidRPr="00F42A2D">
        <w:rPr>
          <w:bCs/>
          <w:lang w:val="en-US" w:eastAsia="es-ES_tradnl"/>
        </w:rPr>
        <w:t xml:space="preserve"> the values obtained are very similar to those of the reference method and showed a linear correlation with a value of R</w:t>
      </w:r>
      <w:r w:rsidRPr="00F42A2D">
        <w:rPr>
          <w:bCs/>
          <w:vertAlign w:val="superscript"/>
          <w:lang w:val="en-US" w:eastAsia="es-ES_tradnl"/>
        </w:rPr>
        <w:t>2</w:t>
      </w:r>
      <w:r w:rsidRPr="00F42A2D">
        <w:rPr>
          <w:bCs/>
          <w:lang w:val="en-US" w:eastAsia="es-ES_tradnl"/>
        </w:rPr>
        <w:t xml:space="preserve"> = 0.8901</w:t>
      </w:r>
      <w:r w:rsidR="00491BE2" w:rsidRPr="00F42A2D">
        <w:rPr>
          <w:bCs/>
          <w:lang w:val="en-US" w:eastAsia="es-ES_tradnl"/>
        </w:rPr>
        <w:t>.</w:t>
      </w:r>
      <w:r w:rsidRPr="00F42A2D">
        <w:rPr>
          <w:bCs/>
          <w:lang w:val="en-US" w:eastAsia="es-ES_tradnl"/>
        </w:rPr>
        <w:t xml:space="preserve"> </w:t>
      </w:r>
      <w:r w:rsidR="00491BE2" w:rsidRPr="00F42A2D">
        <w:rPr>
          <w:bCs/>
          <w:lang w:val="en-US" w:eastAsia="es-ES_tradnl"/>
        </w:rPr>
        <w:t xml:space="preserve">The </w:t>
      </w:r>
      <w:r w:rsidRPr="00F42A2D">
        <w:rPr>
          <w:bCs/>
          <w:lang w:val="en-US" w:eastAsia="es-ES_tradnl"/>
        </w:rPr>
        <w:t>method developed can be used as a teaching</w:t>
      </w:r>
      <w:r w:rsidRPr="00F42A2D">
        <w:rPr>
          <w:color w:val="222222"/>
          <w:lang w:val="en" w:eastAsia="es-ES_tradnl"/>
        </w:rPr>
        <w:t xml:space="preserve"> method in chemistry laboratories for the physicochemical characterization of drinks made from </w:t>
      </w:r>
      <w:r w:rsidRPr="00F42A2D">
        <w:rPr>
          <w:i/>
          <w:color w:val="222222"/>
          <w:lang w:val="en" w:eastAsia="es-ES_tradnl"/>
        </w:rPr>
        <w:t>Camel</w:t>
      </w:r>
      <w:r w:rsidR="00491BE2" w:rsidRPr="00F42A2D">
        <w:rPr>
          <w:i/>
          <w:color w:val="222222"/>
          <w:lang w:val="en" w:eastAsia="es-ES_tradnl"/>
        </w:rPr>
        <w:t>l</w:t>
      </w:r>
      <w:r w:rsidRPr="00F42A2D">
        <w:rPr>
          <w:i/>
          <w:color w:val="222222"/>
          <w:lang w:val="en" w:eastAsia="es-ES_tradnl"/>
        </w:rPr>
        <w:t>ia sinensis</w:t>
      </w:r>
      <w:r w:rsidRPr="00F42A2D">
        <w:rPr>
          <w:color w:val="222222"/>
          <w:lang w:val="en" w:eastAsia="es-ES_tradnl"/>
        </w:rPr>
        <w:t>.</w:t>
      </w:r>
    </w:p>
    <w:p w14:paraId="1B87A90D" w14:textId="330EAE5B" w:rsidR="00F0018E" w:rsidRPr="00F42A2D" w:rsidRDefault="006724D4" w:rsidP="00FC2758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Cs/>
        </w:rPr>
      </w:pPr>
      <w:r w:rsidRPr="00F42A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Keywords:</w:t>
      </w:r>
      <w:r w:rsidRPr="00F42A2D">
        <w:rPr>
          <w:rFonts w:ascii="TimesNewRomanPS" w:hAnsi="TimesNewRomanPS"/>
          <w:bCs/>
        </w:rPr>
        <w:t xml:space="preserve"> </w:t>
      </w:r>
      <w:r w:rsidR="00E35892" w:rsidRPr="00F42A2D">
        <w:rPr>
          <w:rFonts w:ascii="TimesNewRomanPS" w:hAnsi="TimesNewRomanPS"/>
          <w:bCs/>
        </w:rPr>
        <w:t>a</w:t>
      </w:r>
      <w:r w:rsidRPr="00F42A2D">
        <w:rPr>
          <w:rFonts w:ascii="TimesNewRomanPS" w:hAnsi="TimesNewRomanPS"/>
          <w:bCs/>
        </w:rPr>
        <w:t>lkalimetry</w:t>
      </w:r>
      <w:r w:rsidR="00220E12" w:rsidRPr="00F42A2D">
        <w:rPr>
          <w:rFonts w:ascii="TimesNewRomanPS" w:hAnsi="TimesNewRomanPS"/>
          <w:bCs/>
        </w:rPr>
        <w:t xml:space="preserve">, </w:t>
      </w:r>
      <w:r w:rsidR="00E35892" w:rsidRPr="00F42A2D">
        <w:rPr>
          <w:rFonts w:ascii="TimesNewRomanPS" w:hAnsi="TimesNewRomanPS"/>
          <w:bCs/>
        </w:rPr>
        <w:t>m</w:t>
      </w:r>
      <w:r w:rsidR="00220E12" w:rsidRPr="00F42A2D">
        <w:rPr>
          <w:rFonts w:ascii="TimesNewRomanPS" w:hAnsi="TimesNewRomanPS"/>
          <w:bCs/>
        </w:rPr>
        <w:t xml:space="preserve">icroscale, </w:t>
      </w:r>
      <w:r w:rsidR="00CC508A" w:rsidRPr="00F42A2D">
        <w:rPr>
          <w:rFonts w:ascii="TimesNewRomanPS" w:hAnsi="TimesNewRomanPS"/>
          <w:bCs/>
        </w:rPr>
        <w:t>potentiometry</w:t>
      </w:r>
      <w:r w:rsidR="00E35892" w:rsidRPr="00F42A2D">
        <w:rPr>
          <w:rFonts w:ascii="TimesNewRomanPS" w:hAnsi="TimesNewRomanPS"/>
          <w:bCs/>
        </w:rPr>
        <w:t>.</w:t>
      </w:r>
    </w:p>
    <w:p w14:paraId="5543B30C" w14:textId="2138B2F8" w:rsidR="00E327B7" w:rsidRPr="00F42A2D" w:rsidRDefault="00E327B7" w:rsidP="00FC2758">
      <w:pPr>
        <w:pStyle w:val="NormalWeb"/>
        <w:spacing w:before="0" w:beforeAutospacing="0" w:after="0" w:afterAutospacing="0" w:line="360" w:lineRule="auto"/>
        <w:rPr>
          <w:rFonts w:ascii="TimesNewRomanPS" w:hAnsi="TimesNewRomanPS"/>
          <w:bCs/>
        </w:rPr>
      </w:pPr>
    </w:p>
    <w:p w14:paraId="1736A53E" w14:textId="1433EB18" w:rsidR="00E327B7" w:rsidRPr="00F42A2D" w:rsidRDefault="00E327B7" w:rsidP="00FC2758">
      <w:pPr>
        <w:pStyle w:val="NormalWeb"/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F42A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Resumo</w:t>
      </w:r>
    </w:p>
    <w:p w14:paraId="018C2A11" w14:textId="77777777" w:rsidR="00E327B7" w:rsidRPr="00D71CC0" w:rsidRDefault="00E327B7" w:rsidP="00E327B7">
      <w:pPr>
        <w:pStyle w:val="NormalWeb"/>
        <w:spacing w:before="0" w:beforeAutospacing="0" w:after="0" w:afterAutospacing="0" w:line="360" w:lineRule="auto"/>
        <w:jc w:val="both"/>
        <w:rPr>
          <w:bCs/>
        </w:rPr>
      </w:pPr>
      <w:r w:rsidRPr="00D71CC0">
        <w:rPr>
          <w:bCs/>
        </w:rPr>
        <w:t>Um método em microescala para a determinação da acidez titulável do chá (Camellia sinensis) foi desenvolvido e comparado com o método recomendado. Os resultados obtidos mostram que o método desenvolvido é satisfatório: os valores obtidos são muito semelhantes aos do método de referência e apresentaram uma correlação linear com um valor de R2 = 0,8901. O método desenvolvido pode ser utilizado como método de ensino em laboratórios de química para a caracterização físico-química de bebidas à base de Camellia sinensis.</w:t>
      </w:r>
    </w:p>
    <w:p w14:paraId="26CEB1CA" w14:textId="2CA465E2" w:rsidR="00E327B7" w:rsidRPr="00D71CC0" w:rsidRDefault="00E327B7" w:rsidP="00E327B7">
      <w:pPr>
        <w:pStyle w:val="NormalWeb"/>
        <w:spacing w:before="0" w:beforeAutospacing="0" w:after="0" w:afterAutospacing="0" w:line="360" w:lineRule="auto"/>
        <w:rPr>
          <w:bCs/>
        </w:rPr>
      </w:pPr>
      <w:r w:rsidRPr="00F42A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Palavras-chave:</w:t>
      </w:r>
      <w:r w:rsidRPr="00F42A2D">
        <w:rPr>
          <w:rFonts w:ascii="TimesNewRomanPS" w:hAnsi="TimesNewRomanPS"/>
          <w:b/>
        </w:rPr>
        <w:t xml:space="preserve"> </w:t>
      </w:r>
      <w:r w:rsidRPr="00D71CC0">
        <w:rPr>
          <w:bCs/>
        </w:rPr>
        <w:t>alcalimetria, microescala, potenciometria.</w:t>
      </w:r>
    </w:p>
    <w:p w14:paraId="4ED55FA8" w14:textId="77777777" w:rsidR="00F42A2D" w:rsidRPr="00F42A2D" w:rsidRDefault="00F42A2D" w:rsidP="00F42A2D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</w:rPr>
      </w:pPr>
      <w:r w:rsidRPr="00F42A2D">
        <w:rPr>
          <w:rFonts w:ascii="Times New Roman" w:hAnsi="Times New Roman"/>
          <w:b/>
          <w:color w:val="000000"/>
          <w:sz w:val="24"/>
        </w:rPr>
        <w:t>Fecha Recepción:</w:t>
      </w:r>
      <w:r w:rsidRPr="00F42A2D">
        <w:rPr>
          <w:rFonts w:ascii="Times New Roman" w:hAnsi="Times New Roman"/>
          <w:color w:val="000000"/>
          <w:sz w:val="24"/>
        </w:rPr>
        <w:t xml:space="preserve"> Julio 2021                               </w:t>
      </w:r>
      <w:r w:rsidRPr="00F42A2D">
        <w:rPr>
          <w:rFonts w:ascii="Times New Roman" w:hAnsi="Times New Roman"/>
          <w:b/>
          <w:color w:val="000000"/>
          <w:sz w:val="24"/>
        </w:rPr>
        <w:t>Fecha Aceptación:</w:t>
      </w:r>
      <w:r w:rsidRPr="00F42A2D">
        <w:rPr>
          <w:rFonts w:ascii="Times New Roman" w:hAnsi="Times New Roman"/>
          <w:color w:val="000000"/>
          <w:sz w:val="24"/>
        </w:rPr>
        <w:t xml:space="preserve"> Enero 2022</w:t>
      </w:r>
    </w:p>
    <w:p w14:paraId="6AC39B40" w14:textId="77777777" w:rsidR="00F42A2D" w:rsidRPr="00F42A2D" w:rsidRDefault="00000000" w:rsidP="00F42A2D">
      <w:pPr>
        <w:spacing w:before="100" w:after="100" w:line="360" w:lineRule="auto"/>
        <w:rPr>
          <w:b/>
          <w:sz w:val="28"/>
          <w:szCs w:val="28"/>
        </w:rPr>
      </w:pPr>
      <w:r>
        <w:rPr>
          <w:noProof/>
        </w:rPr>
        <w:pict w14:anchorId="60FC6C58">
          <v:rect id="_x0000_i1025" alt="" style="width:441.9pt;height:.05pt;mso-width-percent:0;mso-height-percent:0;mso-width-percent:0;mso-height-percent:0" o:hralign="center" o:hrstd="t" o:hr="t" fillcolor="#a0a0a0" stroked="f"/>
        </w:pict>
      </w:r>
    </w:p>
    <w:p w14:paraId="78B937D3" w14:textId="77777777" w:rsidR="00473B63" w:rsidRDefault="00473B63" w:rsidP="00F42A2D">
      <w:pPr>
        <w:pStyle w:val="NormalWeb"/>
        <w:spacing w:before="0" w:beforeAutospacing="0" w:after="0" w:afterAutospacing="0" w:line="360" w:lineRule="auto"/>
        <w:jc w:val="center"/>
        <w:rPr>
          <w:rFonts w:ascii="TimesNewRomanPS" w:hAnsi="TimesNewRomanPS"/>
          <w:b/>
          <w:bCs/>
          <w:sz w:val="32"/>
          <w:szCs w:val="32"/>
        </w:rPr>
      </w:pPr>
    </w:p>
    <w:p w14:paraId="7C2D68D6" w14:textId="265DD4CB" w:rsidR="00076562" w:rsidRPr="00F42A2D" w:rsidRDefault="00076562" w:rsidP="00F42A2D">
      <w:pPr>
        <w:pStyle w:val="NormalWeb"/>
        <w:spacing w:before="0" w:beforeAutospacing="0" w:after="0" w:afterAutospacing="0" w:line="360" w:lineRule="auto"/>
        <w:jc w:val="center"/>
        <w:rPr>
          <w:rFonts w:ascii="TimesNewRomanPS" w:hAnsi="TimesNewRomanPS"/>
          <w:b/>
          <w:bCs/>
          <w:sz w:val="32"/>
          <w:szCs w:val="32"/>
        </w:rPr>
      </w:pPr>
      <w:r w:rsidRPr="00F42A2D">
        <w:rPr>
          <w:rFonts w:ascii="TimesNewRomanPS" w:hAnsi="TimesNewRomanPS"/>
          <w:b/>
          <w:bCs/>
          <w:sz w:val="32"/>
          <w:szCs w:val="32"/>
        </w:rPr>
        <w:lastRenderedPageBreak/>
        <w:t>Introducción</w:t>
      </w:r>
    </w:p>
    <w:p w14:paraId="751BDF69" w14:textId="3FD1335F" w:rsidR="006C57AB" w:rsidRPr="00F42A2D" w:rsidRDefault="00076562" w:rsidP="00E327B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NewRomanPS" w:hAnsi="TimesNewRomanPS"/>
          <w:bCs/>
        </w:rPr>
      </w:pPr>
      <w:r w:rsidRPr="00F42A2D">
        <w:rPr>
          <w:rFonts w:ascii="TimesNewRomanPS" w:hAnsi="TimesNewRomanPS"/>
          <w:bCs/>
        </w:rPr>
        <w:t>El té (</w:t>
      </w:r>
      <w:r w:rsidRPr="00F42A2D">
        <w:rPr>
          <w:rFonts w:ascii="TimesNewRomanPS" w:hAnsi="TimesNewRomanPS"/>
          <w:bCs/>
          <w:i/>
        </w:rPr>
        <w:t>Came</w:t>
      </w:r>
      <w:r w:rsidR="00A10835" w:rsidRPr="00F42A2D">
        <w:rPr>
          <w:rFonts w:ascii="TimesNewRomanPS" w:hAnsi="TimesNewRomanPS"/>
          <w:bCs/>
          <w:i/>
        </w:rPr>
        <w:t>l</w:t>
      </w:r>
      <w:r w:rsidRPr="00F42A2D">
        <w:rPr>
          <w:rFonts w:ascii="TimesNewRomanPS" w:hAnsi="TimesNewRomanPS"/>
          <w:bCs/>
          <w:i/>
        </w:rPr>
        <w:t>lia sinensis</w:t>
      </w:r>
      <w:r w:rsidRPr="00F42A2D">
        <w:rPr>
          <w:rFonts w:ascii="TimesNewRomanPS" w:hAnsi="TimesNewRomanPS"/>
          <w:bCs/>
        </w:rPr>
        <w:t>) es una bebida muy popular</w:t>
      </w:r>
      <w:r w:rsidR="00F413F2" w:rsidRPr="00F42A2D">
        <w:rPr>
          <w:rFonts w:ascii="TimesNewRomanPS" w:hAnsi="TimesNewRomanPS"/>
          <w:bCs/>
        </w:rPr>
        <w:t xml:space="preserve"> y con un alto consumo por la población mundial</w:t>
      </w:r>
      <w:r w:rsidR="00A10835" w:rsidRPr="00F42A2D">
        <w:rPr>
          <w:rFonts w:ascii="TimesNewRomanPS" w:hAnsi="TimesNewRomanPS"/>
          <w:bCs/>
        </w:rPr>
        <w:t>.</w:t>
      </w:r>
      <w:r w:rsidR="00F413F2" w:rsidRPr="00F42A2D">
        <w:rPr>
          <w:rFonts w:ascii="TimesNewRomanPS" w:hAnsi="TimesNewRomanPS"/>
          <w:bCs/>
        </w:rPr>
        <w:t xml:space="preserve"> </w:t>
      </w:r>
      <w:r w:rsidR="00A10835" w:rsidRPr="00F42A2D">
        <w:rPr>
          <w:rFonts w:ascii="TimesNewRomanPS" w:hAnsi="TimesNewRomanPS"/>
          <w:bCs/>
        </w:rPr>
        <w:t xml:space="preserve">Como </w:t>
      </w:r>
      <w:r w:rsidR="00F413F2" w:rsidRPr="00F42A2D">
        <w:rPr>
          <w:rFonts w:ascii="TimesNewRomanPS" w:hAnsi="TimesNewRomanPS"/>
          <w:bCs/>
        </w:rPr>
        <w:t>alimento se debe garantizar su calidad</w:t>
      </w:r>
      <w:r w:rsidR="00A10835" w:rsidRPr="00F42A2D">
        <w:rPr>
          <w:rFonts w:ascii="TimesNewRomanPS" w:hAnsi="TimesNewRomanPS"/>
          <w:bCs/>
        </w:rPr>
        <w:t>,</w:t>
      </w:r>
      <w:r w:rsidR="00F413F2" w:rsidRPr="00F42A2D">
        <w:rPr>
          <w:rFonts w:ascii="TimesNewRomanPS" w:hAnsi="TimesNewRomanPS"/>
          <w:bCs/>
        </w:rPr>
        <w:t xml:space="preserve"> y dos de las caracter</w:t>
      </w:r>
      <w:r w:rsidR="00F10254" w:rsidRPr="00F42A2D">
        <w:rPr>
          <w:rFonts w:ascii="TimesNewRomanPS" w:hAnsi="TimesNewRomanPS"/>
          <w:bCs/>
        </w:rPr>
        <w:t>í</w:t>
      </w:r>
      <w:r w:rsidR="00F413F2" w:rsidRPr="00F42A2D">
        <w:rPr>
          <w:rFonts w:ascii="TimesNewRomanPS" w:hAnsi="TimesNewRomanPS"/>
          <w:bCs/>
        </w:rPr>
        <w:t>sticas fisicoquímicas principales en una bebida son el pH y la acidez titulable</w:t>
      </w:r>
      <w:r w:rsidR="005E7B4B" w:rsidRPr="00F42A2D">
        <w:rPr>
          <w:rFonts w:ascii="TimesNewRomanPS" w:hAnsi="TimesNewRomanPS"/>
          <w:bCs/>
        </w:rPr>
        <w:t xml:space="preserve">. Estos </w:t>
      </w:r>
      <w:r w:rsidR="00F413F2" w:rsidRPr="00F42A2D">
        <w:rPr>
          <w:rFonts w:ascii="TimesNewRomanPS" w:hAnsi="TimesNewRomanPS"/>
          <w:bCs/>
        </w:rPr>
        <w:t>parámetros ayudan a detectar alteraciones o adulteraciones en las bebidas</w:t>
      </w:r>
      <w:r w:rsidR="006C57AB" w:rsidRPr="00F42A2D">
        <w:rPr>
          <w:rFonts w:ascii="TimesNewRomanPS" w:hAnsi="TimesNewRomanPS"/>
          <w:bCs/>
        </w:rPr>
        <w:t xml:space="preserve"> como son la dilución con agua o la adición de minerales</w:t>
      </w:r>
      <w:r w:rsidR="006724D4" w:rsidRPr="00F42A2D">
        <w:rPr>
          <w:rFonts w:ascii="TimesNewRomanPS" w:hAnsi="TimesNewRomanPS"/>
          <w:bCs/>
        </w:rPr>
        <w:t xml:space="preserve"> (</w:t>
      </w:r>
      <w:r w:rsidR="00751C65" w:rsidRPr="00F42A2D">
        <w:rPr>
          <w:rFonts w:ascii="TimesNewRomanPS" w:hAnsi="TimesNewRomanPS"/>
          <w:bCs/>
        </w:rPr>
        <w:t>Dornelles y Porto, 2014</w:t>
      </w:r>
      <w:r w:rsidR="00220E12" w:rsidRPr="00F42A2D">
        <w:rPr>
          <w:rFonts w:ascii="TimesNewRomanPS" w:hAnsi="TimesNewRomanPS"/>
          <w:bCs/>
        </w:rPr>
        <w:t>;</w:t>
      </w:r>
      <w:r w:rsidR="00751C65" w:rsidRPr="00F42A2D">
        <w:rPr>
          <w:rFonts w:ascii="TimesNewRomanPS" w:hAnsi="TimesNewRomanPS"/>
          <w:bCs/>
        </w:rPr>
        <w:t xml:space="preserve"> </w:t>
      </w:r>
      <w:r w:rsidR="006724D4" w:rsidRPr="00F42A2D">
        <w:rPr>
          <w:rFonts w:ascii="TimesNewRomanPS" w:hAnsi="TimesNewRomanPS"/>
          <w:bCs/>
        </w:rPr>
        <w:t>Lunkes y Hasizume, 2014)</w:t>
      </w:r>
      <w:r w:rsidR="006C57AB" w:rsidRPr="00F42A2D">
        <w:rPr>
          <w:rFonts w:ascii="TimesNewRomanPS" w:hAnsi="TimesNewRomanPS"/>
          <w:bCs/>
        </w:rPr>
        <w:t xml:space="preserve">. La acidez titulable de una bebida </w:t>
      </w:r>
      <w:r w:rsidR="00F413F2" w:rsidRPr="00F42A2D">
        <w:rPr>
          <w:rFonts w:ascii="TimesNewRomanPS" w:hAnsi="TimesNewRomanPS"/>
          <w:bCs/>
        </w:rPr>
        <w:t>se realiza frecuentemente por alcalimetría usando fenolftaleína como indicador (pH</w:t>
      </w:r>
      <w:r w:rsidR="00C567F8" w:rsidRPr="00F42A2D">
        <w:rPr>
          <w:rFonts w:ascii="TimesNewRomanPS" w:hAnsi="TimesNewRomanPS"/>
          <w:bCs/>
        </w:rPr>
        <w:t> </w:t>
      </w:r>
      <w:r w:rsidR="00F413F2" w:rsidRPr="00F42A2D">
        <w:rPr>
          <w:rFonts w:ascii="TimesNewRomanPS" w:hAnsi="TimesNewRomanPS"/>
          <w:bCs/>
        </w:rPr>
        <w:t>=</w:t>
      </w:r>
      <w:r w:rsidR="00C567F8" w:rsidRPr="00F42A2D">
        <w:rPr>
          <w:rFonts w:ascii="TimesNewRomanPS" w:hAnsi="TimesNewRomanPS"/>
          <w:bCs/>
        </w:rPr>
        <w:t> </w:t>
      </w:r>
      <w:r w:rsidR="00F413F2" w:rsidRPr="00F42A2D">
        <w:rPr>
          <w:rFonts w:ascii="TimesNewRomanPS" w:hAnsi="TimesNewRomanPS"/>
          <w:bCs/>
        </w:rPr>
        <w:t>8.3) y se expresa como la cantidad de ácido cítrico contenida en un volumen determinado de muestra</w:t>
      </w:r>
      <w:r w:rsidR="00751C65" w:rsidRPr="00F42A2D">
        <w:rPr>
          <w:rFonts w:ascii="TimesNewRomanPS" w:hAnsi="TimesNewRomanPS"/>
          <w:bCs/>
        </w:rPr>
        <w:t xml:space="preserve"> (Mettler y Weibel, 2018</w:t>
      </w:r>
      <w:r w:rsidR="000F4498" w:rsidRPr="00F42A2D">
        <w:rPr>
          <w:rFonts w:ascii="TimesNewRomanPS" w:hAnsi="TimesNewRomanPS"/>
          <w:bCs/>
        </w:rPr>
        <w:t>; Parra, 2013</w:t>
      </w:r>
      <w:r w:rsidR="00751C65" w:rsidRPr="00F42A2D">
        <w:rPr>
          <w:rFonts w:ascii="TimesNewRomanPS" w:hAnsi="TimesNewRomanPS"/>
          <w:bCs/>
        </w:rPr>
        <w:t>)</w:t>
      </w:r>
      <w:r w:rsidR="00F413F2" w:rsidRPr="00F42A2D">
        <w:rPr>
          <w:rFonts w:ascii="TimesNewRomanPS" w:hAnsi="TimesNewRomanPS"/>
          <w:bCs/>
        </w:rPr>
        <w:t>. Una dificultad en este proceso analítico es que el té presenta un color muy fuerte y aunque se diluya puede afectar en la determinación del punto final de la titulación, es decir, del viraje de la fenolftaleína</w:t>
      </w:r>
      <w:r w:rsidR="00751C65" w:rsidRPr="00F42A2D">
        <w:rPr>
          <w:rFonts w:ascii="TimesNewRomanPS" w:hAnsi="TimesNewRomanPS"/>
          <w:bCs/>
        </w:rPr>
        <w:t xml:space="preserve"> (</w:t>
      </w:r>
      <w:r w:rsidR="001514E5" w:rsidRPr="00F42A2D">
        <w:t>dos Santos, dos Santos, da Silva, Constant y Belmino</w:t>
      </w:r>
      <w:r w:rsidR="00AF5A71" w:rsidRPr="00F42A2D">
        <w:rPr>
          <w:rFonts w:ascii="TimesNewRomanPS" w:hAnsi="TimesNewRomanPS"/>
          <w:bCs/>
          <w:i/>
        </w:rPr>
        <w:t xml:space="preserve">, </w:t>
      </w:r>
      <w:r w:rsidR="00AF5A71" w:rsidRPr="00F42A2D">
        <w:rPr>
          <w:rFonts w:ascii="TimesNewRomanPS" w:hAnsi="TimesNewRomanPS"/>
          <w:bCs/>
        </w:rPr>
        <w:t>2014</w:t>
      </w:r>
      <w:r w:rsidR="00AD35A0" w:rsidRPr="00F42A2D">
        <w:rPr>
          <w:rFonts w:ascii="TimesNewRomanPS" w:hAnsi="TimesNewRomanPS"/>
          <w:bCs/>
        </w:rPr>
        <w:t>; Mettler y Weibel, 2018</w:t>
      </w:r>
      <w:r w:rsidR="00751C65" w:rsidRPr="00F42A2D">
        <w:rPr>
          <w:rFonts w:ascii="TimesNewRomanPS" w:hAnsi="TimesNewRomanPS"/>
          <w:bCs/>
        </w:rPr>
        <w:t>)</w:t>
      </w:r>
      <w:r w:rsidR="00F413F2" w:rsidRPr="00F42A2D">
        <w:rPr>
          <w:rFonts w:ascii="TimesNewRomanPS" w:hAnsi="TimesNewRomanPS"/>
          <w:bCs/>
        </w:rPr>
        <w:t>.</w:t>
      </w:r>
      <w:r w:rsidR="006C57AB" w:rsidRPr="00F42A2D">
        <w:rPr>
          <w:rFonts w:ascii="TimesNewRomanPS" w:hAnsi="TimesNewRomanPS"/>
          <w:bCs/>
        </w:rPr>
        <w:t xml:space="preserve"> En los métodos de cuantificación de analitos en solución por volumetría el aspecto más importante es la determinación del punto de equivalencia que representa a la cantidad de titulante que equivale a la sustancia que se está determinando</w:t>
      </w:r>
      <w:r w:rsidR="00EF7E5E" w:rsidRPr="00F42A2D">
        <w:rPr>
          <w:rFonts w:ascii="TimesNewRomanPS" w:hAnsi="TimesNewRomanPS"/>
          <w:bCs/>
        </w:rPr>
        <w:t>,</w:t>
      </w:r>
      <w:r w:rsidR="006C57AB" w:rsidRPr="00F42A2D">
        <w:rPr>
          <w:rFonts w:ascii="TimesNewRomanPS" w:hAnsi="TimesNewRomanPS"/>
          <w:bCs/>
        </w:rPr>
        <w:t xml:space="preserve"> y debido a que en la práctica la determinación de este punto </w:t>
      </w:r>
      <w:r w:rsidR="00EF7E5E" w:rsidRPr="00F42A2D">
        <w:rPr>
          <w:rFonts w:ascii="TimesNewRomanPS" w:hAnsi="TimesNewRomanPS"/>
          <w:bCs/>
        </w:rPr>
        <w:t xml:space="preserve">se ve </w:t>
      </w:r>
      <w:r w:rsidR="006C57AB" w:rsidRPr="00F42A2D">
        <w:rPr>
          <w:rFonts w:ascii="TimesNewRomanPS" w:hAnsi="TimesNewRomanPS"/>
          <w:bCs/>
        </w:rPr>
        <w:t xml:space="preserve">afectada por distintos factores se denomina </w:t>
      </w:r>
      <w:r w:rsidR="006C57AB" w:rsidRPr="00F42A2D">
        <w:rPr>
          <w:rFonts w:ascii="TimesNewRomanPS" w:hAnsi="TimesNewRomanPS"/>
          <w:bCs/>
          <w:i/>
          <w:iCs/>
        </w:rPr>
        <w:t>punto final</w:t>
      </w:r>
      <w:r w:rsidR="006C57AB" w:rsidRPr="00F42A2D">
        <w:rPr>
          <w:rFonts w:ascii="TimesNewRomanPS" w:hAnsi="TimesNewRomanPS"/>
          <w:bCs/>
        </w:rPr>
        <w:t xml:space="preserve"> al punto de equivalencia experimental</w:t>
      </w:r>
      <w:r w:rsidR="00751C65" w:rsidRPr="00F42A2D">
        <w:rPr>
          <w:rFonts w:ascii="TimesNewRomanPS" w:hAnsi="TimesNewRomanPS"/>
          <w:bCs/>
        </w:rPr>
        <w:t xml:space="preserve"> (</w:t>
      </w:r>
      <w:r w:rsidR="00EF7E5E" w:rsidRPr="00F42A2D">
        <w:rPr>
          <w:rFonts w:ascii="TimesNewRomanPS" w:hAnsi="TimesNewRomanPS"/>
          <w:bCs/>
        </w:rPr>
        <w:t>Morale</w:t>
      </w:r>
      <w:r w:rsidR="00D86E1C" w:rsidRPr="00F42A2D">
        <w:rPr>
          <w:rFonts w:ascii="TimesNewRomanPS" w:hAnsi="TimesNewRomanPS"/>
          <w:bCs/>
        </w:rPr>
        <w:t>s</w:t>
      </w:r>
      <w:r w:rsidR="00EF7E5E" w:rsidRPr="00F42A2D">
        <w:rPr>
          <w:rFonts w:ascii="TimesNewRomanPS" w:hAnsi="TimesNewRomanPS"/>
          <w:bCs/>
        </w:rPr>
        <w:t>,</w:t>
      </w:r>
      <w:r w:rsidR="00D86E1C" w:rsidRPr="00F42A2D">
        <w:rPr>
          <w:rFonts w:ascii="TimesNewRomanPS" w:hAnsi="TimesNewRomanPS"/>
          <w:bCs/>
          <w:i/>
          <w:iCs/>
        </w:rPr>
        <w:t xml:space="preserve"> </w:t>
      </w:r>
      <w:r w:rsidR="00D86E1C" w:rsidRPr="00F42A2D">
        <w:rPr>
          <w:color w:val="000000"/>
        </w:rPr>
        <w:t>González, Abella y Ahumada,</w:t>
      </w:r>
      <w:r w:rsidR="00EF7E5E" w:rsidRPr="00F42A2D">
        <w:rPr>
          <w:rFonts w:ascii="TimesNewRomanPS" w:hAnsi="TimesNewRomanPS"/>
          <w:bCs/>
          <w:i/>
          <w:iCs/>
        </w:rPr>
        <w:t xml:space="preserve"> </w:t>
      </w:r>
      <w:r w:rsidR="00EF7E5E" w:rsidRPr="00F42A2D">
        <w:rPr>
          <w:rFonts w:ascii="TimesNewRomanPS" w:hAnsi="TimesNewRomanPS"/>
          <w:bCs/>
        </w:rPr>
        <w:t xml:space="preserve">2019; </w:t>
      </w:r>
      <w:r w:rsidR="00751C65" w:rsidRPr="00F42A2D">
        <w:rPr>
          <w:rFonts w:ascii="TimesNewRomanPS" w:hAnsi="TimesNewRomanPS"/>
          <w:bCs/>
        </w:rPr>
        <w:t>Morita,</w:t>
      </w:r>
      <w:r w:rsidR="00C7242D" w:rsidRPr="00F42A2D">
        <w:rPr>
          <w:rFonts w:ascii="TimesNewRomanPS" w:hAnsi="TimesNewRomanPS"/>
          <w:bCs/>
        </w:rPr>
        <w:t xml:space="preserve"> </w:t>
      </w:r>
      <w:r w:rsidR="00C7242D" w:rsidRPr="00F42A2D">
        <w:t>Yanagisawa, Maeda, Takatsu</w:t>
      </w:r>
      <w:r w:rsidR="00CE4C4C" w:rsidRPr="00F42A2D">
        <w:t xml:space="preserve"> y </w:t>
      </w:r>
      <w:r w:rsidR="00C7242D" w:rsidRPr="00F42A2D">
        <w:t>Ikka</w:t>
      </w:r>
      <w:r w:rsidR="00CE4C4C" w:rsidRPr="00F42A2D">
        <w:t>,</w:t>
      </w:r>
      <w:r w:rsidR="00751C65" w:rsidRPr="00F42A2D">
        <w:rPr>
          <w:rFonts w:ascii="TimesNewRomanPS" w:hAnsi="TimesNewRomanPS"/>
          <w:bCs/>
        </w:rPr>
        <w:t xml:space="preserve"> 2011</w:t>
      </w:r>
      <w:r w:rsidR="00D533B8" w:rsidRPr="00F42A2D">
        <w:rPr>
          <w:rFonts w:ascii="TimesNewRomanPS" w:hAnsi="TimesNewRomanPS"/>
          <w:bCs/>
        </w:rPr>
        <w:t>;</w:t>
      </w:r>
      <w:r w:rsidR="00EF7E5E" w:rsidRPr="00F42A2D">
        <w:rPr>
          <w:rFonts w:ascii="TimesNewRomanPS" w:hAnsi="TimesNewRomanPS"/>
          <w:bCs/>
        </w:rPr>
        <w:t xml:space="preserve"> Torres</w:t>
      </w:r>
      <w:r w:rsidR="00EF7E5E" w:rsidRPr="00F42A2D">
        <w:rPr>
          <w:rFonts w:ascii="TimesNewRomanPS" w:hAnsi="TimesNewRomanPS"/>
          <w:bCs/>
          <w:i/>
        </w:rPr>
        <w:t>,</w:t>
      </w:r>
      <w:r w:rsidR="003A4D97" w:rsidRPr="00F42A2D">
        <w:rPr>
          <w:rFonts w:ascii="TimesNewRomanPS" w:hAnsi="TimesNewRomanPS"/>
          <w:bCs/>
          <w:i/>
        </w:rPr>
        <w:t xml:space="preserve"> </w:t>
      </w:r>
      <w:r w:rsidR="003A4D97" w:rsidRPr="00F42A2D">
        <w:t>Durán y Rodríguez,</w:t>
      </w:r>
      <w:r w:rsidR="00EF7E5E" w:rsidRPr="00F42A2D">
        <w:rPr>
          <w:rFonts w:ascii="TimesNewRomanPS" w:hAnsi="TimesNewRomanPS"/>
          <w:bCs/>
        </w:rPr>
        <w:t xml:space="preserve"> 2009</w:t>
      </w:r>
      <w:r w:rsidR="00751C65" w:rsidRPr="00F42A2D">
        <w:rPr>
          <w:rFonts w:ascii="TimesNewRomanPS" w:hAnsi="TimesNewRomanPS"/>
          <w:bCs/>
        </w:rPr>
        <w:t>)</w:t>
      </w:r>
      <w:r w:rsidR="006C57AB" w:rsidRPr="00F42A2D">
        <w:rPr>
          <w:rFonts w:ascii="TimesNewRomanPS" w:hAnsi="TimesNewRomanPS"/>
          <w:bCs/>
        </w:rPr>
        <w:t>.</w:t>
      </w:r>
    </w:p>
    <w:p w14:paraId="579FB318" w14:textId="6819003B" w:rsidR="0000628B" w:rsidRPr="00F42A2D" w:rsidRDefault="006C57AB" w:rsidP="005E7B4B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NewRomanPS" w:hAnsi="TimesNewRomanPS"/>
          <w:bCs/>
        </w:rPr>
      </w:pPr>
      <w:r w:rsidRPr="00F42A2D">
        <w:rPr>
          <w:rFonts w:ascii="TimesNewRomanPS" w:hAnsi="TimesNewRomanPS"/>
          <w:bCs/>
        </w:rPr>
        <w:t>Las técnicas experimentales permiten disminuir la variación y el error en la determinación del punto de equivalencia porque no se basan en la apreciación visual del analista</w:t>
      </w:r>
      <w:r w:rsidR="003A4D97" w:rsidRPr="00F42A2D">
        <w:rPr>
          <w:rFonts w:ascii="TimesNewRomanPS" w:hAnsi="TimesNewRomanPS"/>
          <w:bCs/>
        </w:rPr>
        <w:t>,</w:t>
      </w:r>
      <w:r w:rsidRPr="00F42A2D">
        <w:rPr>
          <w:rFonts w:ascii="TimesNewRomanPS" w:hAnsi="TimesNewRomanPS"/>
          <w:bCs/>
        </w:rPr>
        <w:t xml:space="preserve"> sino que mide</w:t>
      </w:r>
      <w:r w:rsidR="00291C71" w:rsidRPr="00F42A2D">
        <w:rPr>
          <w:rFonts w:ascii="TimesNewRomanPS" w:hAnsi="TimesNewRomanPS"/>
          <w:bCs/>
        </w:rPr>
        <w:t>n</w:t>
      </w:r>
      <w:r w:rsidRPr="00F42A2D">
        <w:rPr>
          <w:rFonts w:ascii="TimesNewRomanPS" w:hAnsi="TimesNewRomanPS"/>
          <w:bCs/>
        </w:rPr>
        <w:t xml:space="preserve"> una propiedad fisicoquímica asociada al analito como es el pH</w:t>
      </w:r>
      <w:r w:rsidR="00751C65" w:rsidRPr="00F42A2D">
        <w:rPr>
          <w:rFonts w:ascii="TimesNewRomanPS" w:hAnsi="TimesNewRomanPS"/>
          <w:bCs/>
        </w:rPr>
        <w:t xml:space="preserve"> (</w:t>
      </w:r>
      <w:r w:rsidR="00BD48C0" w:rsidRPr="00F42A2D">
        <w:t>Adiba, Rabia y Anwar</w:t>
      </w:r>
      <w:r w:rsidR="00751C65" w:rsidRPr="00F42A2D">
        <w:rPr>
          <w:rFonts w:ascii="TimesNewRomanPS" w:hAnsi="TimesNewRomanPS"/>
          <w:bCs/>
          <w:i/>
        </w:rPr>
        <w:t xml:space="preserve">, </w:t>
      </w:r>
      <w:r w:rsidR="00751C65" w:rsidRPr="00F42A2D">
        <w:rPr>
          <w:rFonts w:ascii="TimesNewRomanPS" w:hAnsi="TimesNewRomanPS"/>
          <w:bCs/>
        </w:rPr>
        <w:t>2018</w:t>
      </w:r>
      <w:r w:rsidR="00D533B8" w:rsidRPr="00F42A2D">
        <w:rPr>
          <w:rFonts w:ascii="TimesNewRomanPS" w:hAnsi="TimesNewRomanPS"/>
          <w:bCs/>
        </w:rPr>
        <w:t xml:space="preserve">; Morales </w:t>
      </w:r>
      <w:r w:rsidR="00D533B8" w:rsidRPr="00F42A2D">
        <w:rPr>
          <w:rFonts w:ascii="TimesNewRomanPS" w:hAnsi="TimesNewRomanPS"/>
          <w:bCs/>
          <w:i/>
          <w:iCs/>
        </w:rPr>
        <w:t>et al</w:t>
      </w:r>
      <w:r w:rsidR="00523A2B" w:rsidRPr="00F42A2D">
        <w:rPr>
          <w:rFonts w:ascii="TimesNewRomanPS" w:hAnsi="TimesNewRomanPS"/>
          <w:bCs/>
          <w:i/>
          <w:iCs/>
        </w:rPr>
        <w:t>.</w:t>
      </w:r>
      <w:r w:rsidR="00D533B8" w:rsidRPr="00F42A2D">
        <w:rPr>
          <w:rFonts w:ascii="TimesNewRomanPS" w:hAnsi="TimesNewRomanPS"/>
          <w:bCs/>
          <w:i/>
          <w:iCs/>
        </w:rPr>
        <w:t xml:space="preserve">, </w:t>
      </w:r>
      <w:r w:rsidR="00D533B8" w:rsidRPr="00F42A2D">
        <w:rPr>
          <w:rFonts w:ascii="TimesNewRomanPS" w:hAnsi="TimesNewRomanPS"/>
          <w:bCs/>
        </w:rPr>
        <w:t>2019</w:t>
      </w:r>
      <w:r w:rsidR="008259E4" w:rsidRPr="00F42A2D">
        <w:rPr>
          <w:rFonts w:ascii="TimesNewRomanPS" w:hAnsi="TimesNewRomanPS"/>
          <w:bCs/>
        </w:rPr>
        <w:t xml:space="preserve">; Nunes </w:t>
      </w:r>
      <w:r w:rsidR="008259E4" w:rsidRPr="00F42A2D">
        <w:rPr>
          <w:rFonts w:ascii="TimesNewRomanPS" w:hAnsi="TimesNewRomanPS"/>
          <w:bCs/>
          <w:i/>
        </w:rPr>
        <w:t>et al.,</w:t>
      </w:r>
      <w:r w:rsidR="008259E4" w:rsidRPr="00F42A2D">
        <w:rPr>
          <w:rFonts w:ascii="TimesNewRomanPS" w:hAnsi="TimesNewRomanPS"/>
          <w:bCs/>
        </w:rPr>
        <w:t xml:space="preserve"> 2016</w:t>
      </w:r>
      <w:r w:rsidR="00751C65" w:rsidRPr="00F42A2D">
        <w:rPr>
          <w:rFonts w:ascii="TimesNewRomanPS" w:hAnsi="TimesNewRomanPS"/>
          <w:bCs/>
        </w:rPr>
        <w:t>)</w:t>
      </w:r>
      <w:r w:rsidRPr="00F42A2D">
        <w:rPr>
          <w:rFonts w:ascii="TimesNewRomanPS" w:hAnsi="TimesNewRomanPS"/>
          <w:bCs/>
        </w:rPr>
        <w:t xml:space="preserve">. </w:t>
      </w:r>
      <w:r w:rsidR="00F413F2" w:rsidRPr="00F42A2D">
        <w:rPr>
          <w:rFonts w:ascii="TimesNewRomanPS" w:hAnsi="TimesNewRomanPS"/>
          <w:bCs/>
        </w:rPr>
        <w:t>Una alternativa para realizar la valoración son las técnicas potenciométricas que</w:t>
      </w:r>
      <w:r w:rsidRPr="00F42A2D">
        <w:rPr>
          <w:rFonts w:ascii="TimesNewRomanPS" w:hAnsi="TimesNewRomanPS"/>
          <w:bCs/>
        </w:rPr>
        <w:t xml:space="preserve"> monitorean el pH durante la titulación y</w:t>
      </w:r>
      <w:r w:rsidR="00F413F2" w:rsidRPr="00F42A2D">
        <w:rPr>
          <w:rFonts w:ascii="TimesNewRomanPS" w:hAnsi="TimesNewRomanPS"/>
          <w:bCs/>
        </w:rPr>
        <w:t xml:space="preserve"> determinan el punto de equivalencia por el incremento abrupto de pH en respuesta a pequeños volúmenes de titulante añadido</w:t>
      </w:r>
      <w:r w:rsidR="00F00AED" w:rsidRPr="00F42A2D">
        <w:rPr>
          <w:rFonts w:ascii="TimesNewRomanPS" w:hAnsi="TimesNewRomanPS"/>
          <w:bCs/>
        </w:rPr>
        <w:t xml:space="preserve">. La </w:t>
      </w:r>
      <w:r w:rsidR="00F413F2" w:rsidRPr="00F42A2D">
        <w:rPr>
          <w:rFonts w:ascii="TimesNewRomanPS" w:hAnsi="TimesNewRomanPS"/>
          <w:bCs/>
        </w:rPr>
        <w:t>ventaja de este método es que el color de la bebida no interfiere en las mediciones</w:t>
      </w:r>
      <w:r w:rsidR="00751C65" w:rsidRPr="00F42A2D">
        <w:rPr>
          <w:rFonts w:ascii="TimesNewRomanPS" w:hAnsi="TimesNewRomanPS"/>
          <w:bCs/>
        </w:rPr>
        <w:t xml:space="preserve"> (</w:t>
      </w:r>
      <w:r w:rsidR="00F00AED" w:rsidRPr="00F42A2D">
        <w:t>Adiba</w:t>
      </w:r>
      <w:r w:rsidR="00F00AED" w:rsidRPr="00F42A2D" w:rsidDel="008259E4">
        <w:rPr>
          <w:rFonts w:ascii="TimesNewRomanPS" w:hAnsi="TimesNewRomanPS"/>
          <w:bCs/>
        </w:rPr>
        <w:t xml:space="preserve"> </w:t>
      </w:r>
      <w:r w:rsidR="00F00AED" w:rsidRPr="00F42A2D">
        <w:rPr>
          <w:rFonts w:ascii="TimesNewRomanPS" w:hAnsi="TimesNewRomanPS"/>
          <w:bCs/>
          <w:i/>
        </w:rPr>
        <w:t xml:space="preserve">et al., </w:t>
      </w:r>
      <w:r w:rsidR="00F00AED" w:rsidRPr="00F42A2D">
        <w:rPr>
          <w:rFonts w:ascii="TimesNewRomanPS" w:hAnsi="TimesNewRomanPS"/>
          <w:bCs/>
        </w:rPr>
        <w:t xml:space="preserve">2018; </w:t>
      </w:r>
      <w:r w:rsidR="00D533B8" w:rsidRPr="00F42A2D">
        <w:rPr>
          <w:rFonts w:ascii="TimesNewRomanPS" w:hAnsi="TimesNewRomanPS"/>
          <w:bCs/>
        </w:rPr>
        <w:t>Cáñez</w:t>
      </w:r>
      <w:r w:rsidR="00D533B8" w:rsidRPr="00F42A2D">
        <w:rPr>
          <w:rFonts w:ascii="TimesNewRomanPS" w:hAnsi="TimesNewRomanPS"/>
          <w:bCs/>
          <w:i/>
          <w:iCs/>
        </w:rPr>
        <w:t>,</w:t>
      </w:r>
      <w:r w:rsidR="00484CF8" w:rsidRPr="00F42A2D">
        <w:rPr>
          <w:rFonts w:ascii="TimesNewRomanPS" w:hAnsi="TimesNewRomanPS"/>
          <w:bCs/>
          <w:i/>
          <w:iCs/>
        </w:rPr>
        <w:t xml:space="preserve"> </w:t>
      </w:r>
      <w:r w:rsidR="00484CF8" w:rsidRPr="00F42A2D">
        <w:rPr>
          <w:color w:val="000000"/>
        </w:rPr>
        <w:t>García, Bernal, Federico y Wicochea,</w:t>
      </w:r>
      <w:r w:rsidR="00D533B8" w:rsidRPr="00F42A2D">
        <w:rPr>
          <w:rFonts w:ascii="TimesNewRomanPS" w:hAnsi="TimesNewRomanPS"/>
          <w:bCs/>
          <w:i/>
          <w:iCs/>
        </w:rPr>
        <w:t xml:space="preserve"> </w:t>
      </w:r>
      <w:r w:rsidR="00D533B8" w:rsidRPr="00F42A2D">
        <w:rPr>
          <w:rFonts w:ascii="TimesNewRomanPS" w:hAnsi="TimesNewRomanPS"/>
          <w:bCs/>
        </w:rPr>
        <w:t>2011;</w:t>
      </w:r>
      <w:r w:rsidR="00F00AED" w:rsidRPr="00F42A2D">
        <w:rPr>
          <w:rFonts w:ascii="TimesNewRomanPS" w:hAnsi="TimesNewRomanPS"/>
          <w:bCs/>
        </w:rPr>
        <w:t xml:space="preserve"> Friedman</w:t>
      </w:r>
      <w:r w:rsidR="00F00AED" w:rsidRPr="00F42A2D">
        <w:rPr>
          <w:rFonts w:ascii="TimesNewRomanPS" w:hAnsi="TimesNewRomanPS"/>
          <w:bCs/>
          <w:i/>
        </w:rPr>
        <w:t>,</w:t>
      </w:r>
      <w:r w:rsidR="00A03985" w:rsidRPr="00F42A2D">
        <w:rPr>
          <w:rFonts w:ascii="TimesNewRomanPS" w:hAnsi="TimesNewRomanPS"/>
          <w:bCs/>
          <w:i/>
        </w:rPr>
        <w:t xml:space="preserve"> </w:t>
      </w:r>
      <w:r w:rsidR="00A03985" w:rsidRPr="00F42A2D">
        <w:t>Levin, Lee y Kozukue,</w:t>
      </w:r>
      <w:r w:rsidR="00F00AED" w:rsidRPr="00F42A2D">
        <w:rPr>
          <w:rFonts w:ascii="TimesNewRomanPS" w:hAnsi="TimesNewRomanPS"/>
          <w:bCs/>
          <w:i/>
        </w:rPr>
        <w:t xml:space="preserve"> </w:t>
      </w:r>
      <w:r w:rsidR="00F00AED" w:rsidRPr="00F42A2D">
        <w:rPr>
          <w:rFonts w:ascii="TimesNewRomanPS" w:hAnsi="TimesNewRomanPS"/>
          <w:bCs/>
        </w:rPr>
        <w:t>2009</w:t>
      </w:r>
      <w:r w:rsidR="00751C65" w:rsidRPr="00F42A2D">
        <w:rPr>
          <w:rFonts w:ascii="TimesNewRomanPS" w:hAnsi="TimesNewRomanPS"/>
          <w:bCs/>
        </w:rPr>
        <w:t>)</w:t>
      </w:r>
      <w:r w:rsidR="00F413F2" w:rsidRPr="00F42A2D">
        <w:rPr>
          <w:rFonts w:ascii="TimesNewRomanPS" w:hAnsi="TimesNewRomanPS"/>
          <w:bCs/>
        </w:rPr>
        <w:t xml:space="preserve">. </w:t>
      </w:r>
    </w:p>
    <w:p w14:paraId="4956C125" w14:textId="222AD611" w:rsidR="00F413F2" w:rsidRPr="00F42A2D" w:rsidRDefault="00F413F2" w:rsidP="00E327B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NewRomanPS" w:hAnsi="TimesNewRomanPS"/>
          <w:bCs/>
        </w:rPr>
      </w:pPr>
      <w:r w:rsidRPr="00F42A2D">
        <w:rPr>
          <w:rFonts w:ascii="TimesNewRomanPS" w:hAnsi="TimesNewRomanPS"/>
          <w:bCs/>
        </w:rPr>
        <w:t>En esta investigación se implementó una técnica potenciométrica a microescala para la determinación de la acidez titulable del té y se comparó con la técnica a macroescala</w:t>
      </w:r>
      <w:r w:rsidR="006C57AB" w:rsidRPr="00F42A2D">
        <w:rPr>
          <w:rFonts w:ascii="TimesNewRomanPS" w:hAnsi="TimesNewRomanPS"/>
          <w:bCs/>
        </w:rPr>
        <w:t xml:space="preserve"> para contar con un método más sencillo y económico que permita realizar la cuantificación con menos reactivos y generar menos desechos químicos.</w:t>
      </w:r>
    </w:p>
    <w:p w14:paraId="203C87FA" w14:textId="77777777" w:rsidR="006C57AB" w:rsidRPr="00F42A2D" w:rsidRDefault="006C57AB" w:rsidP="00FC2758">
      <w:pPr>
        <w:pStyle w:val="NormalWeb"/>
        <w:spacing w:before="0" w:beforeAutospacing="0" w:after="0" w:afterAutospacing="0" w:line="360" w:lineRule="auto"/>
        <w:jc w:val="both"/>
        <w:rPr>
          <w:rFonts w:ascii="TimesNewRomanPS" w:hAnsi="TimesNewRomanPS"/>
          <w:bCs/>
          <w:sz w:val="20"/>
          <w:szCs w:val="20"/>
        </w:rPr>
      </w:pPr>
    </w:p>
    <w:p w14:paraId="4D394C00" w14:textId="77777777" w:rsidR="006C57AB" w:rsidRPr="00F42A2D" w:rsidRDefault="006C3F40" w:rsidP="00F42A2D">
      <w:pPr>
        <w:pStyle w:val="NormalWeb"/>
        <w:spacing w:before="0" w:beforeAutospacing="0" w:after="0" w:afterAutospacing="0" w:line="360" w:lineRule="auto"/>
        <w:jc w:val="center"/>
        <w:rPr>
          <w:rFonts w:ascii="TimesNewRomanPS" w:hAnsi="TimesNewRomanPS"/>
          <w:b/>
          <w:bCs/>
          <w:sz w:val="32"/>
          <w:szCs w:val="32"/>
        </w:rPr>
      </w:pPr>
      <w:r w:rsidRPr="00F42A2D">
        <w:rPr>
          <w:rFonts w:ascii="TimesNewRomanPS" w:hAnsi="TimesNewRomanPS"/>
          <w:b/>
          <w:bCs/>
          <w:sz w:val="32"/>
          <w:szCs w:val="32"/>
        </w:rPr>
        <w:lastRenderedPageBreak/>
        <w:t>Metodología</w:t>
      </w:r>
    </w:p>
    <w:p w14:paraId="2A256F19" w14:textId="17CD8535" w:rsidR="006C57AB" w:rsidRPr="00F42A2D" w:rsidRDefault="006C3F40" w:rsidP="00E327B7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NewRomanPS" w:hAnsi="TimesNewRomanPS"/>
          <w:bCs/>
        </w:rPr>
      </w:pPr>
      <w:r w:rsidRPr="00F42A2D">
        <w:rPr>
          <w:rFonts w:ascii="TimesNewRomanPS" w:hAnsi="TimesNewRomanPS"/>
          <w:bCs/>
        </w:rPr>
        <w:t>Se compró una caja de bolsitas de té (</w:t>
      </w:r>
      <w:r w:rsidRPr="00F42A2D">
        <w:rPr>
          <w:rFonts w:ascii="TimesNewRomanPS" w:hAnsi="TimesNewRomanPS"/>
          <w:bCs/>
          <w:i/>
        </w:rPr>
        <w:t>Came</w:t>
      </w:r>
      <w:r w:rsidR="00A10835" w:rsidRPr="00F42A2D">
        <w:rPr>
          <w:rFonts w:ascii="TimesNewRomanPS" w:hAnsi="TimesNewRomanPS"/>
          <w:bCs/>
          <w:i/>
        </w:rPr>
        <w:t>l</w:t>
      </w:r>
      <w:r w:rsidRPr="00F42A2D">
        <w:rPr>
          <w:rFonts w:ascii="TimesNewRomanPS" w:hAnsi="TimesNewRomanPS"/>
          <w:bCs/>
          <w:i/>
        </w:rPr>
        <w:t>lia sinensis</w:t>
      </w:r>
      <w:r w:rsidRPr="00F42A2D">
        <w:rPr>
          <w:rFonts w:ascii="TimesNewRomanPS" w:hAnsi="TimesNewRomanPS"/>
          <w:bCs/>
        </w:rPr>
        <w:t>) y se obtuvieron aproximadamente 250 mL de infusiones acuosas a partir de las bolsitas</w:t>
      </w:r>
      <w:r w:rsidR="001752DA" w:rsidRPr="00F42A2D">
        <w:rPr>
          <w:rFonts w:ascii="TimesNewRomanPS" w:hAnsi="TimesNewRomanPS"/>
          <w:bCs/>
        </w:rPr>
        <w:t>.</w:t>
      </w:r>
      <w:r w:rsidRPr="00F42A2D">
        <w:rPr>
          <w:rFonts w:ascii="TimesNewRomanPS" w:hAnsi="TimesNewRomanPS"/>
          <w:bCs/>
        </w:rPr>
        <w:t xml:space="preserve"> </w:t>
      </w:r>
      <w:r w:rsidR="001752DA" w:rsidRPr="00F42A2D">
        <w:rPr>
          <w:rFonts w:ascii="TimesNewRomanPS" w:hAnsi="TimesNewRomanPS"/>
          <w:bCs/>
        </w:rPr>
        <w:t xml:space="preserve">Las </w:t>
      </w:r>
      <w:r w:rsidRPr="00F42A2D">
        <w:rPr>
          <w:rFonts w:ascii="TimesNewRomanPS" w:hAnsi="TimesNewRomanPS"/>
          <w:bCs/>
        </w:rPr>
        <w:t>infusiones fueron acidificadas con unas gotas de limón y adicionadas con azúcar</w:t>
      </w:r>
      <w:r w:rsidR="001752DA" w:rsidRPr="00F42A2D">
        <w:rPr>
          <w:rFonts w:ascii="TimesNewRomanPS" w:hAnsi="TimesNewRomanPS"/>
          <w:bCs/>
        </w:rPr>
        <w:t>.</w:t>
      </w:r>
      <w:r w:rsidRPr="00F42A2D">
        <w:rPr>
          <w:rFonts w:ascii="TimesNewRomanPS" w:hAnsi="TimesNewRomanPS"/>
          <w:bCs/>
        </w:rPr>
        <w:t xml:space="preserve"> </w:t>
      </w:r>
      <w:r w:rsidR="001752DA" w:rsidRPr="00F42A2D">
        <w:rPr>
          <w:rFonts w:ascii="TimesNewRomanPS" w:hAnsi="TimesNewRomanPS"/>
          <w:bCs/>
        </w:rPr>
        <w:t xml:space="preserve">Este </w:t>
      </w:r>
      <w:r w:rsidRPr="00F42A2D">
        <w:rPr>
          <w:rFonts w:ascii="TimesNewRomanPS" w:hAnsi="TimesNewRomanPS"/>
          <w:bCs/>
        </w:rPr>
        <w:t xml:space="preserve">procedimiento se realizó 10 veces para obtener 10 muestras de té. </w:t>
      </w:r>
      <w:r w:rsidR="001752DA" w:rsidRPr="00F42A2D">
        <w:rPr>
          <w:rFonts w:ascii="TimesNewRomanPS" w:hAnsi="TimesNewRomanPS"/>
          <w:bCs/>
        </w:rPr>
        <w:t xml:space="preserve">En </w:t>
      </w:r>
      <w:r w:rsidRPr="00F42A2D">
        <w:rPr>
          <w:rFonts w:ascii="TimesNewRomanPS" w:hAnsi="TimesNewRomanPS"/>
          <w:bCs/>
        </w:rPr>
        <w:t>cada muestra de té se determinó el pH y la acidez titulable por dos métodos. El método a macroescala se realizó como se describe en la literatura: se transfirió en un matraz 10 mL de té a temperatura ambiente y se adicionaron 100 mL de agua destilada y cuatro gotas de fenolftaleína 0.1</w:t>
      </w:r>
      <w:r w:rsidR="001752DA" w:rsidRPr="00F42A2D">
        <w:rPr>
          <w:rFonts w:ascii="TimesNewRomanPS" w:hAnsi="TimesNewRomanPS"/>
          <w:bCs/>
        </w:rPr>
        <w:t> </w:t>
      </w:r>
      <w:r w:rsidRPr="00F42A2D">
        <w:rPr>
          <w:rFonts w:ascii="TimesNewRomanPS" w:hAnsi="TimesNewRomanPS"/>
          <w:bCs/>
        </w:rPr>
        <w:t>% en etanol</w:t>
      </w:r>
      <w:r w:rsidR="001B062C" w:rsidRPr="00F42A2D">
        <w:rPr>
          <w:rFonts w:ascii="TimesNewRomanPS" w:hAnsi="TimesNewRomanPS"/>
          <w:bCs/>
        </w:rPr>
        <w:t xml:space="preserve">. Se </w:t>
      </w:r>
      <w:r w:rsidRPr="00F42A2D">
        <w:rPr>
          <w:rFonts w:ascii="TimesNewRomanPS" w:hAnsi="TimesNewRomanPS"/>
          <w:bCs/>
        </w:rPr>
        <w:t>tituló la muestra con una solución de NaOH</w:t>
      </w:r>
      <w:r w:rsidR="00DA1007" w:rsidRPr="00F42A2D">
        <w:rPr>
          <w:rFonts w:ascii="TimesNewRomanPS" w:hAnsi="TimesNewRomanPS"/>
          <w:bCs/>
        </w:rPr>
        <w:t xml:space="preserve"> estandarizada de concentración aproximada de 0.01N hasta el vire del indicador. El método de microescala se realizó en un vaso de precipitado de 50</w:t>
      </w:r>
      <w:r w:rsidR="00220E12" w:rsidRPr="00F42A2D">
        <w:rPr>
          <w:rFonts w:ascii="TimesNewRomanPS" w:hAnsi="TimesNewRomanPS"/>
          <w:bCs/>
        </w:rPr>
        <w:t xml:space="preserve"> </w:t>
      </w:r>
      <w:r w:rsidR="00DA1007" w:rsidRPr="00F42A2D">
        <w:rPr>
          <w:rFonts w:ascii="TimesNewRomanPS" w:hAnsi="TimesNewRomanPS"/>
          <w:bCs/>
        </w:rPr>
        <w:t>mL al cual se le añadieron 10 mL de la infusión de té y 25 mL de agua</w:t>
      </w:r>
      <w:r w:rsidR="001B062C" w:rsidRPr="00F42A2D">
        <w:rPr>
          <w:rFonts w:ascii="TimesNewRomanPS" w:hAnsi="TimesNewRomanPS"/>
          <w:bCs/>
        </w:rPr>
        <w:t>.</w:t>
      </w:r>
      <w:r w:rsidR="00DA1007" w:rsidRPr="00F42A2D">
        <w:rPr>
          <w:rFonts w:ascii="TimesNewRomanPS" w:hAnsi="TimesNewRomanPS"/>
          <w:bCs/>
        </w:rPr>
        <w:t xml:space="preserve"> </w:t>
      </w:r>
      <w:r w:rsidR="001F4841" w:rsidRPr="00F42A2D">
        <w:rPr>
          <w:rFonts w:ascii="TimesNewRomanPS" w:hAnsi="TimesNewRomanPS"/>
          <w:bCs/>
        </w:rPr>
        <w:t>D</w:t>
      </w:r>
      <w:r w:rsidR="00DA1007" w:rsidRPr="00F42A2D">
        <w:rPr>
          <w:rFonts w:ascii="TimesNewRomanPS" w:hAnsi="TimesNewRomanPS"/>
          <w:bCs/>
        </w:rPr>
        <w:t xml:space="preserve">entro del vaso </w:t>
      </w:r>
      <w:r w:rsidR="001F4841" w:rsidRPr="00F42A2D">
        <w:rPr>
          <w:rFonts w:ascii="TimesNewRomanPS" w:hAnsi="TimesNewRomanPS"/>
          <w:bCs/>
        </w:rPr>
        <w:t xml:space="preserve">se colocó </w:t>
      </w:r>
      <w:r w:rsidR="00DA1007" w:rsidRPr="00F42A2D">
        <w:rPr>
          <w:rFonts w:ascii="TimesNewRomanPS" w:hAnsi="TimesNewRomanPS"/>
          <w:bCs/>
        </w:rPr>
        <w:t>un agitador magnético y se puso sobre una placa de agitación</w:t>
      </w:r>
      <w:r w:rsidR="001B062C" w:rsidRPr="00F42A2D">
        <w:rPr>
          <w:rFonts w:ascii="TimesNewRomanPS" w:hAnsi="TimesNewRomanPS"/>
          <w:bCs/>
        </w:rPr>
        <w:t>.</w:t>
      </w:r>
      <w:r w:rsidR="00DA1007" w:rsidRPr="00F42A2D">
        <w:rPr>
          <w:rFonts w:ascii="TimesNewRomanPS" w:hAnsi="TimesNewRomanPS"/>
          <w:bCs/>
        </w:rPr>
        <w:t xml:space="preserve"> </w:t>
      </w:r>
      <w:r w:rsidR="001B062C" w:rsidRPr="00F42A2D">
        <w:rPr>
          <w:rFonts w:ascii="TimesNewRomanPS" w:hAnsi="TimesNewRomanPS"/>
          <w:bCs/>
        </w:rPr>
        <w:t xml:space="preserve">Se </w:t>
      </w:r>
      <w:r w:rsidR="00DA1007" w:rsidRPr="00F42A2D">
        <w:rPr>
          <w:rFonts w:ascii="TimesNewRomanPS" w:hAnsi="TimesNewRomanPS"/>
          <w:bCs/>
        </w:rPr>
        <w:t xml:space="preserve">introdujo el potenciómetro y se monitoreó el pH después de incrementos de NaOH 0.1N de 50 </w:t>
      </w:r>
      <w:r w:rsidR="00DA1007" w:rsidRPr="00F42A2D">
        <w:rPr>
          <w:rFonts w:ascii="Symbol" w:hAnsi="Symbol"/>
          <w:bCs/>
        </w:rPr>
        <w:t></w:t>
      </w:r>
      <w:r w:rsidR="00DA1007" w:rsidRPr="00F42A2D">
        <w:rPr>
          <w:rFonts w:ascii="TimesNewRomanPS" w:hAnsi="TimesNewRomanPS"/>
          <w:bCs/>
        </w:rPr>
        <w:t>L hasta obtener un pH superior a 11.0</w:t>
      </w:r>
      <w:r w:rsidR="00404E8F" w:rsidRPr="00F42A2D">
        <w:rPr>
          <w:rFonts w:ascii="TimesNewRomanPS" w:hAnsi="TimesNewRomanPS"/>
          <w:bCs/>
        </w:rPr>
        <w:t>.</w:t>
      </w:r>
      <w:r w:rsidR="00DA1007" w:rsidRPr="00F42A2D">
        <w:rPr>
          <w:rFonts w:ascii="TimesNewRomanPS" w:hAnsi="TimesNewRomanPS"/>
          <w:bCs/>
        </w:rPr>
        <w:t xml:space="preserve"> </w:t>
      </w:r>
      <w:r w:rsidR="00404E8F" w:rsidRPr="00F42A2D">
        <w:rPr>
          <w:rFonts w:ascii="TimesNewRomanPS" w:hAnsi="TimesNewRomanPS"/>
          <w:bCs/>
        </w:rPr>
        <w:t xml:space="preserve">Con </w:t>
      </w:r>
      <w:r w:rsidR="00DA1007" w:rsidRPr="00F42A2D">
        <w:rPr>
          <w:rFonts w:ascii="TimesNewRomanPS" w:hAnsi="TimesNewRomanPS"/>
          <w:bCs/>
        </w:rPr>
        <w:t>los valores de pH obtenidos se graficó la curva de titulación y</w:t>
      </w:r>
      <w:r w:rsidR="00404E8F" w:rsidRPr="00F42A2D">
        <w:rPr>
          <w:rFonts w:ascii="TimesNewRomanPS" w:hAnsi="TimesNewRomanPS"/>
          <w:bCs/>
        </w:rPr>
        <w:t>,</w:t>
      </w:r>
      <w:r w:rsidR="00DA1007" w:rsidRPr="00F42A2D">
        <w:rPr>
          <w:rFonts w:ascii="TimesNewRomanPS" w:hAnsi="TimesNewRomanPS"/>
          <w:bCs/>
        </w:rPr>
        <w:t xml:space="preserve"> a</w:t>
      </w:r>
      <w:r w:rsidR="00404E8F" w:rsidRPr="00F42A2D">
        <w:rPr>
          <w:rFonts w:ascii="TimesNewRomanPS" w:hAnsi="TimesNewRomanPS"/>
          <w:bCs/>
        </w:rPr>
        <w:t xml:space="preserve"> </w:t>
      </w:r>
      <w:r w:rsidR="00DA1007" w:rsidRPr="00F42A2D">
        <w:rPr>
          <w:rFonts w:ascii="TimesNewRomanPS" w:hAnsi="TimesNewRomanPS"/>
          <w:bCs/>
        </w:rPr>
        <w:t>partir de estos datos</w:t>
      </w:r>
      <w:r w:rsidR="00404E8F" w:rsidRPr="00F42A2D">
        <w:rPr>
          <w:rFonts w:ascii="TimesNewRomanPS" w:hAnsi="TimesNewRomanPS"/>
          <w:bCs/>
        </w:rPr>
        <w:t>,</w:t>
      </w:r>
      <w:r w:rsidR="00DA1007" w:rsidRPr="00F42A2D">
        <w:rPr>
          <w:rFonts w:ascii="TimesNewRomanPS" w:hAnsi="TimesNewRomanPS"/>
          <w:bCs/>
        </w:rPr>
        <w:t xml:space="preserve"> se proces</w:t>
      </w:r>
      <w:r w:rsidR="00404E8F" w:rsidRPr="00F42A2D">
        <w:rPr>
          <w:rFonts w:ascii="TimesNewRomanPS" w:hAnsi="TimesNewRomanPS"/>
          <w:bCs/>
        </w:rPr>
        <w:t>ó</w:t>
      </w:r>
      <w:r w:rsidR="00DA1007" w:rsidRPr="00F42A2D">
        <w:rPr>
          <w:rFonts w:ascii="TimesNewRomanPS" w:hAnsi="TimesNewRomanPS"/>
          <w:bCs/>
        </w:rPr>
        <w:t xml:space="preserve"> para obtener el gráfico de la primera y segunda derivada</w:t>
      </w:r>
      <w:r w:rsidR="00404E8F" w:rsidRPr="00F42A2D">
        <w:rPr>
          <w:rFonts w:ascii="TimesNewRomanPS" w:hAnsi="TimesNewRomanPS"/>
          <w:bCs/>
        </w:rPr>
        <w:t>,</w:t>
      </w:r>
      <w:r w:rsidR="00DA1007" w:rsidRPr="00F42A2D">
        <w:rPr>
          <w:rFonts w:ascii="TimesNewRomanPS" w:hAnsi="TimesNewRomanPS"/>
          <w:bCs/>
        </w:rPr>
        <w:t xml:space="preserve"> que sirven para determinar el punto de equivalencia</w:t>
      </w:r>
      <w:r w:rsidR="00404E8F" w:rsidRPr="00F42A2D">
        <w:rPr>
          <w:rFonts w:ascii="TimesNewRomanPS" w:hAnsi="TimesNewRomanPS"/>
          <w:bCs/>
        </w:rPr>
        <w:t>.</w:t>
      </w:r>
      <w:r w:rsidR="00DA1007" w:rsidRPr="00F42A2D">
        <w:rPr>
          <w:rFonts w:ascii="TimesNewRomanPS" w:hAnsi="TimesNewRomanPS"/>
          <w:bCs/>
        </w:rPr>
        <w:t xml:space="preserve"> </w:t>
      </w:r>
      <w:r w:rsidR="00404E8F" w:rsidRPr="00F42A2D">
        <w:rPr>
          <w:rFonts w:ascii="TimesNewRomanPS" w:hAnsi="TimesNewRomanPS"/>
          <w:bCs/>
        </w:rPr>
        <w:t>Además</w:t>
      </w:r>
      <w:r w:rsidR="00DA1007" w:rsidRPr="00F42A2D">
        <w:rPr>
          <w:rFonts w:ascii="TimesNewRomanPS" w:hAnsi="TimesNewRomanPS"/>
          <w:bCs/>
        </w:rPr>
        <w:t>, se usó una solución de ácido cítrico 0.1M como control</w:t>
      </w:r>
      <w:r w:rsidR="006577E4" w:rsidRPr="00F42A2D">
        <w:rPr>
          <w:rFonts w:ascii="TimesNewRomanPS" w:hAnsi="TimesNewRomanPS"/>
          <w:bCs/>
        </w:rPr>
        <w:t>; se tituló</w:t>
      </w:r>
      <w:r w:rsidR="00DA1007" w:rsidRPr="00F42A2D">
        <w:rPr>
          <w:rFonts w:ascii="TimesNewRomanPS" w:hAnsi="TimesNewRomanPS"/>
          <w:bCs/>
        </w:rPr>
        <w:t xml:space="preserve"> 1.0 mL de la solución control con el NaOH 0.1M con ayuda del potenciómetro.</w:t>
      </w:r>
    </w:p>
    <w:p w14:paraId="7923D66A" w14:textId="77777777" w:rsidR="007B73CE" w:rsidRPr="00F42A2D" w:rsidRDefault="007B73CE" w:rsidP="00FC2758">
      <w:pPr>
        <w:spacing w:line="360" w:lineRule="auto"/>
      </w:pPr>
    </w:p>
    <w:p w14:paraId="6EE59385" w14:textId="77777777" w:rsidR="00DA1007" w:rsidRPr="00F42A2D" w:rsidRDefault="00DA1007" w:rsidP="00F42A2D">
      <w:pPr>
        <w:spacing w:line="360" w:lineRule="auto"/>
        <w:jc w:val="center"/>
        <w:rPr>
          <w:b/>
          <w:sz w:val="32"/>
          <w:szCs w:val="32"/>
        </w:rPr>
      </w:pPr>
      <w:r w:rsidRPr="00F42A2D">
        <w:rPr>
          <w:b/>
          <w:sz w:val="32"/>
          <w:szCs w:val="32"/>
        </w:rPr>
        <w:t>Resultados</w:t>
      </w:r>
    </w:p>
    <w:p w14:paraId="152A2CF7" w14:textId="78A0BAA9" w:rsidR="008E3B1F" w:rsidRPr="00F42A2D" w:rsidRDefault="008E3B1F" w:rsidP="00E327B7">
      <w:pPr>
        <w:spacing w:line="360" w:lineRule="auto"/>
        <w:ind w:firstLine="708"/>
        <w:jc w:val="both"/>
      </w:pPr>
      <w:r w:rsidRPr="00F42A2D">
        <w:t>Los resultados obtenidos en la determinación del pH y la acidez titulable de las infusiones analizadas se muestran en la tabla 1</w:t>
      </w:r>
      <w:r w:rsidR="001F4841" w:rsidRPr="00F42A2D">
        <w:t>.</w:t>
      </w:r>
      <w:r w:rsidRPr="00F42A2D">
        <w:t xml:space="preserve"> </w:t>
      </w:r>
      <w:r w:rsidR="001F4841" w:rsidRPr="00F42A2D">
        <w:t xml:space="preserve">Estos </w:t>
      </w:r>
      <w:r w:rsidRPr="00F42A2D">
        <w:t xml:space="preserve">valores corresponden a los referidos en la literatura para muestras de </w:t>
      </w:r>
      <w:r w:rsidRPr="00F42A2D">
        <w:rPr>
          <w:i/>
        </w:rPr>
        <w:t>Came</w:t>
      </w:r>
      <w:r w:rsidR="00A10835" w:rsidRPr="00F42A2D">
        <w:rPr>
          <w:i/>
        </w:rPr>
        <w:t>l</w:t>
      </w:r>
      <w:r w:rsidRPr="00F42A2D">
        <w:rPr>
          <w:i/>
        </w:rPr>
        <w:t>lia sinensis</w:t>
      </w:r>
      <w:r w:rsidR="001F4841" w:rsidRPr="00F42A2D">
        <w:t>.</w:t>
      </w:r>
      <w:r w:rsidRPr="00F42A2D">
        <w:t xml:space="preserve"> </w:t>
      </w:r>
      <w:r w:rsidR="001F4841" w:rsidRPr="00F42A2D">
        <w:t xml:space="preserve">Se </w:t>
      </w:r>
      <w:r w:rsidRPr="00F42A2D">
        <w:t xml:space="preserve">puede apreciar que la determinación de la acidez por el método potenciométrico a microescala arroja un valor menor y con menor desviación estándar, </w:t>
      </w:r>
      <w:r w:rsidR="001F4841" w:rsidRPr="00F42A2D">
        <w:t xml:space="preserve">lo cual </w:t>
      </w:r>
      <w:r w:rsidRPr="00F42A2D">
        <w:t>se debe a que el método visual requiere de un pequeño exceso de hidróxido de sodio para provocar el vire de la fenolftaleína</w:t>
      </w:r>
      <w:r w:rsidR="00FE2C71" w:rsidRPr="00F42A2D">
        <w:t>,</w:t>
      </w:r>
      <w:r w:rsidRPr="00F42A2D">
        <w:t xml:space="preserve"> que se ve opacado por el color que presentan las infusiones</w:t>
      </w:r>
      <w:r w:rsidR="001F4841" w:rsidRPr="00F42A2D">
        <w:t>, lo que provoca</w:t>
      </w:r>
      <w:r w:rsidRPr="00F42A2D">
        <w:t xml:space="preserve"> en algunas ocasiones dudas sobre si ya se alcanzó el punto final y para cerciorarse se adiciona más reactivo</w:t>
      </w:r>
      <w:r w:rsidR="001F4841" w:rsidRPr="00F42A2D">
        <w:t>.</w:t>
      </w:r>
      <w:r w:rsidRPr="00F42A2D">
        <w:t xml:space="preserve"> </w:t>
      </w:r>
      <w:r w:rsidR="001F4841" w:rsidRPr="00F42A2D">
        <w:t xml:space="preserve">En </w:t>
      </w:r>
      <w:r w:rsidRPr="00F42A2D">
        <w:t>cambio</w:t>
      </w:r>
      <w:r w:rsidR="001F4841" w:rsidRPr="00F42A2D">
        <w:t>,</w:t>
      </w:r>
      <w:r w:rsidRPr="00F42A2D">
        <w:t xml:space="preserve"> con el método potenciométrico el punto final se determina gráficamente</w:t>
      </w:r>
      <w:r w:rsidR="00465CB5" w:rsidRPr="00F42A2D">
        <w:t xml:space="preserve"> (Mansilla,</w:t>
      </w:r>
      <w:r w:rsidR="00465CB5" w:rsidRPr="00F42A2D">
        <w:rPr>
          <w:i/>
          <w:iCs/>
        </w:rPr>
        <w:t xml:space="preserve"> </w:t>
      </w:r>
      <w:r w:rsidR="00465CB5" w:rsidRPr="00F42A2D">
        <w:t xml:space="preserve">2014; Sotomayor </w:t>
      </w:r>
      <w:r w:rsidR="00465CB5" w:rsidRPr="00F42A2D">
        <w:rPr>
          <w:i/>
          <w:iCs/>
        </w:rPr>
        <w:t>et al</w:t>
      </w:r>
      <w:r w:rsidR="002C5F54" w:rsidRPr="00F42A2D">
        <w:rPr>
          <w:i/>
          <w:iCs/>
        </w:rPr>
        <w:t>.</w:t>
      </w:r>
      <w:r w:rsidR="00465CB5" w:rsidRPr="00F42A2D">
        <w:rPr>
          <w:i/>
          <w:iCs/>
        </w:rPr>
        <w:t>,</w:t>
      </w:r>
      <w:r w:rsidR="00465CB5" w:rsidRPr="00F42A2D">
        <w:t xml:space="preserve"> 2019)</w:t>
      </w:r>
      <w:r w:rsidRPr="00F42A2D">
        <w:t>.</w:t>
      </w:r>
    </w:p>
    <w:p w14:paraId="0E0BB54F" w14:textId="200860BB" w:rsidR="00DA1007" w:rsidRPr="00F42A2D" w:rsidRDefault="00DA1007" w:rsidP="00FC2758">
      <w:pPr>
        <w:spacing w:line="360" w:lineRule="auto"/>
      </w:pPr>
    </w:p>
    <w:p w14:paraId="7237464D" w14:textId="56FCA575" w:rsidR="00DA1007" w:rsidRPr="00F42A2D" w:rsidRDefault="008E3B1F" w:rsidP="00FC2758">
      <w:pPr>
        <w:spacing w:line="360" w:lineRule="auto"/>
        <w:jc w:val="center"/>
      </w:pPr>
      <w:r w:rsidRPr="00F42A2D">
        <w:rPr>
          <w:b/>
          <w:bCs/>
        </w:rPr>
        <w:lastRenderedPageBreak/>
        <w:t>Tabla 1</w:t>
      </w:r>
      <w:r w:rsidRPr="00F42A2D">
        <w:t>. Resultados de la determinación del pH y la acidez titulable de las muestras de té</w:t>
      </w:r>
    </w:p>
    <w:tbl>
      <w:tblPr>
        <w:tblStyle w:val="Tablaconcuadrcula"/>
        <w:tblW w:w="7800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</w:tblGrid>
      <w:tr w:rsidR="008E3B1F" w:rsidRPr="00F42A2D" w14:paraId="3BDDFFE5" w14:textId="77777777" w:rsidTr="00E327B7">
        <w:trPr>
          <w:trHeight w:val="300"/>
          <w:jc w:val="center"/>
        </w:trPr>
        <w:tc>
          <w:tcPr>
            <w:tcW w:w="1300" w:type="dxa"/>
          </w:tcPr>
          <w:p w14:paraId="4D90F76D" w14:textId="77777777" w:rsidR="008E3B1F" w:rsidRPr="00F42A2D" w:rsidRDefault="008E3B1F" w:rsidP="00FC2758">
            <w:pPr>
              <w:spacing w:line="360" w:lineRule="auto"/>
              <w:jc w:val="center"/>
              <w:rPr>
                <w:lang w:eastAsia="es-ES_tradnl"/>
              </w:rPr>
            </w:pPr>
            <w:r w:rsidRPr="00F42A2D">
              <w:rPr>
                <w:lang w:eastAsia="es-ES_tradnl"/>
              </w:rPr>
              <w:t>Muestra</w:t>
            </w:r>
          </w:p>
        </w:tc>
        <w:tc>
          <w:tcPr>
            <w:tcW w:w="1300" w:type="dxa"/>
            <w:noWrap/>
            <w:hideMark/>
          </w:tcPr>
          <w:p w14:paraId="4D70E963" w14:textId="77777777" w:rsidR="008E3B1F" w:rsidRPr="00F42A2D" w:rsidRDefault="008E3B1F" w:rsidP="00FC2758">
            <w:pPr>
              <w:spacing w:line="360" w:lineRule="auto"/>
              <w:jc w:val="center"/>
              <w:rPr>
                <w:lang w:eastAsia="es-ES_tradnl"/>
              </w:rPr>
            </w:pPr>
            <w:r w:rsidRPr="00F42A2D">
              <w:rPr>
                <w:lang w:eastAsia="es-ES_tradnl"/>
              </w:rPr>
              <w:t>pH</w:t>
            </w:r>
          </w:p>
        </w:tc>
        <w:tc>
          <w:tcPr>
            <w:tcW w:w="1300" w:type="dxa"/>
            <w:noWrap/>
            <w:hideMark/>
          </w:tcPr>
          <w:p w14:paraId="7FB65E2B" w14:textId="14B7F02B" w:rsidR="008E3B1F" w:rsidRPr="00F42A2D" w:rsidRDefault="008E3B1F" w:rsidP="00FC2758">
            <w:pPr>
              <w:spacing w:line="360" w:lineRule="auto"/>
              <w:jc w:val="center"/>
              <w:rPr>
                <w:lang w:eastAsia="es-ES_tradnl"/>
              </w:rPr>
            </w:pPr>
            <w:r w:rsidRPr="00F42A2D">
              <w:rPr>
                <w:lang w:eastAsia="es-ES_tradnl"/>
              </w:rPr>
              <w:t>ATP M</w:t>
            </w:r>
            <w:r w:rsidR="00885BFE" w:rsidRPr="00F42A2D">
              <w:rPr>
                <w:lang w:eastAsia="es-ES_tradnl"/>
              </w:rPr>
              <w:t>i</w:t>
            </w:r>
            <w:r w:rsidRPr="00F42A2D">
              <w:rPr>
                <w:lang w:eastAsia="es-ES_tradnl"/>
              </w:rPr>
              <w:t>cro</w:t>
            </w:r>
          </w:p>
        </w:tc>
        <w:tc>
          <w:tcPr>
            <w:tcW w:w="1300" w:type="dxa"/>
            <w:noWrap/>
            <w:hideMark/>
          </w:tcPr>
          <w:p w14:paraId="12478458" w14:textId="6CEFC5C8" w:rsidR="008E3B1F" w:rsidRPr="00F42A2D" w:rsidRDefault="008E3B1F" w:rsidP="00FC2758">
            <w:pPr>
              <w:spacing w:line="360" w:lineRule="auto"/>
              <w:jc w:val="center"/>
              <w:rPr>
                <w:lang w:eastAsia="es-ES_tradnl"/>
              </w:rPr>
            </w:pPr>
            <w:r w:rsidRPr="00F42A2D">
              <w:rPr>
                <w:lang w:eastAsia="es-ES_tradnl"/>
              </w:rPr>
              <w:t>ATD M</w:t>
            </w:r>
            <w:r w:rsidR="00885BFE" w:rsidRPr="00F42A2D">
              <w:rPr>
                <w:lang w:eastAsia="es-ES_tradnl"/>
              </w:rPr>
              <w:t>i</w:t>
            </w:r>
            <w:r w:rsidRPr="00F42A2D">
              <w:rPr>
                <w:lang w:eastAsia="es-ES_tradnl"/>
              </w:rPr>
              <w:t>cro</w:t>
            </w:r>
          </w:p>
        </w:tc>
        <w:tc>
          <w:tcPr>
            <w:tcW w:w="1300" w:type="dxa"/>
            <w:noWrap/>
            <w:hideMark/>
          </w:tcPr>
          <w:p w14:paraId="5CACED06" w14:textId="77777777" w:rsidR="008E3B1F" w:rsidRPr="00F42A2D" w:rsidRDefault="008E3B1F" w:rsidP="00FC2758">
            <w:pPr>
              <w:spacing w:line="360" w:lineRule="auto"/>
              <w:jc w:val="center"/>
              <w:rPr>
                <w:lang w:eastAsia="es-ES_tradnl"/>
              </w:rPr>
            </w:pPr>
            <w:r w:rsidRPr="00F42A2D">
              <w:rPr>
                <w:lang w:eastAsia="es-ES_tradnl"/>
              </w:rPr>
              <w:t>ATP Macro</w:t>
            </w:r>
          </w:p>
        </w:tc>
        <w:tc>
          <w:tcPr>
            <w:tcW w:w="1300" w:type="dxa"/>
            <w:noWrap/>
            <w:hideMark/>
          </w:tcPr>
          <w:p w14:paraId="710DDCD6" w14:textId="77777777" w:rsidR="008E3B1F" w:rsidRPr="00F42A2D" w:rsidRDefault="008E3B1F" w:rsidP="00FC2758">
            <w:pPr>
              <w:spacing w:line="360" w:lineRule="auto"/>
              <w:jc w:val="center"/>
              <w:rPr>
                <w:lang w:eastAsia="es-ES_tradnl"/>
              </w:rPr>
            </w:pPr>
            <w:r w:rsidRPr="00F42A2D">
              <w:rPr>
                <w:lang w:eastAsia="es-ES_tradnl"/>
              </w:rPr>
              <w:t>ATD Macro</w:t>
            </w:r>
          </w:p>
        </w:tc>
      </w:tr>
      <w:tr w:rsidR="00DF21AD" w:rsidRPr="00F42A2D" w14:paraId="1A30006A" w14:textId="77777777" w:rsidTr="00E327B7">
        <w:trPr>
          <w:trHeight w:val="300"/>
          <w:jc w:val="center"/>
        </w:trPr>
        <w:tc>
          <w:tcPr>
            <w:tcW w:w="1300" w:type="dxa"/>
          </w:tcPr>
          <w:p w14:paraId="4EAEBB4C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</w:t>
            </w:r>
          </w:p>
        </w:tc>
        <w:tc>
          <w:tcPr>
            <w:tcW w:w="1300" w:type="dxa"/>
            <w:noWrap/>
            <w:hideMark/>
          </w:tcPr>
          <w:p w14:paraId="20543AE9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5.75</w:t>
            </w:r>
          </w:p>
        </w:tc>
        <w:tc>
          <w:tcPr>
            <w:tcW w:w="1300" w:type="dxa"/>
            <w:noWrap/>
            <w:hideMark/>
          </w:tcPr>
          <w:p w14:paraId="5A64D07D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9.84</w:t>
            </w:r>
          </w:p>
        </w:tc>
        <w:tc>
          <w:tcPr>
            <w:tcW w:w="1300" w:type="dxa"/>
            <w:noWrap/>
            <w:hideMark/>
          </w:tcPr>
          <w:p w14:paraId="689F2F10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0.01</w:t>
            </w:r>
          </w:p>
        </w:tc>
        <w:tc>
          <w:tcPr>
            <w:tcW w:w="1300" w:type="dxa"/>
            <w:noWrap/>
            <w:hideMark/>
          </w:tcPr>
          <w:p w14:paraId="3DDD68FB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10.28</w:t>
            </w:r>
          </w:p>
        </w:tc>
        <w:tc>
          <w:tcPr>
            <w:tcW w:w="1300" w:type="dxa"/>
            <w:noWrap/>
            <w:hideMark/>
          </w:tcPr>
          <w:p w14:paraId="72113BCC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0.15</w:t>
            </w:r>
          </w:p>
        </w:tc>
      </w:tr>
      <w:tr w:rsidR="00DF21AD" w:rsidRPr="00F42A2D" w14:paraId="3EA09E0C" w14:textId="77777777" w:rsidTr="00E327B7">
        <w:trPr>
          <w:trHeight w:val="300"/>
          <w:jc w:val="center"/>
        </w:trPr>
        <w:tc>
          <w:tcPr>
            <w:tcW w:w="1300" w:type="dxa"/>
          </w:tcPr>
          <w:p w14:paraId="3E8CAD5D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2</w:t>
            </w:r>
          </w:p>
        </w:tc>
        <w:tc>
          <w:tcPr>
            <w:tcW w:w="1300" w:type="dxa"/>
            <w:noWrap/>
            <w:hideMark/>
          </w:tcPr>
          <w:p w14:paraId="35E38DDF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5.67</w:t>
            </w:r>
          </w:p>
        </w:tc>
        <w:tc>
          <w:tcPr>
            <w:tcW w:w="1300" w:type="dxa"/>
            <w:noWrap/>
            <w:hideMark/>
          </w:tcPr>
          <w:p w14:paraId="75C6699E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10.36</w:t>
            </w:r>
          </w:p>
        </w:tc>
        <w:tc>
          <w:tcPr>
            <w:tcW w:w="1300" w:type="dxa"/>
            <w:noWrap/>
            <w:hideMark/>
          </w:tcPr>
          <w:p w14:paraId="57CEC8C9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0.02</w:t>
            </w:r>
          </w:p>
        </w:tc>
        <w:tc>
          <w:tcPr>
            <w:tcW w:w="1300" w:type="dxa"/>
            <w:noWrap/>
            <w:hideMark/>
          </w:tcPr>
          <w:p w14:paraId="32F9A08F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11.66</w:t>
            </w:r>
          </w:p>
        </w:tc>
        <w:tc>
          <w:tcPr>
            <w:tcW w:w="1300" w:type="dxa"/>
            <w:noWrap/>
            <w:hideMark/>
          </w:tcPr>
          <w:p w14:paraId="2D916A1D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0.02</w:t>
            </w:r>
          </w:p>
        </w:tc>
      </w:tr>
      <w:tr w:rsidR="00DF21AD" w:rsidRPr="00F42A2D" w14:paraId="32D297F5" w14:textId="77777777" w:rsidTr="00E327B7">
        <w:trPr>
          <w:trHeight w:val="300"/>
          <w:jc w:val="center"/>
        </w:trPr>
        <w:tc>
          <w:tcPr>
            <w:tcW w:w="1300" w:type="dxa"/>
          </w:tcPr>
          <w:p w14:paraId="32DBFF16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3</w:t>
            </w:r>
          </w:p>
        </w:tc>
        <w:tc>
          <w:tcPr>
            <w:tcW w:w="1300" w:type="dxa"/>
            <w:noWrap/>
            <w:hideMark/>
          </w:tcPr>
          <w:p w14:paraId="3CD5C8D5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5.62</w:t>
            </w:r>
          </w:p>
        </w:tc>
        <w:tc>
          <w:tcPr>
            <w:tcW w:w="1300" w:type="dxa"/>
            <w:noWrap/>
            <w:hideMark/>
          </w:tcPr>
          <w:p w14:paraId="7086650C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10.67</w:t>
            </w:r>
          </w:p>
        </w:tc>
        <w:tc>
          <w:tcPr>
            <w:tcW w:w="1300" w:type="dxa"/>
            <w:noWrap/>
            <w:hideMark/>
          </w:tcPr>
          <w:p w14:paraId="6EDF7D1C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0.00</w:t>
            </w:r>
          </w:p>
        </w:tc>
        <w:tc>
          <w:tcPr>
            <w:tcW w:w="1300" w:type="dxa"/>
            <w:noWrap/>
            <w:hideMark/>
          </w:tcPr>
          <w:p w14:paraId="0ECF8FD7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11.76</w:t>
            </w:r>
          </w:p>
        </w:tc>
        <w:tc>
          <w:tcPr>
            <w:tcW w:w="1300" w:type="dxa"/>
            <w:noWrap/>
            <w:hideMark/>
          </w:tcPr>
          <w:p w14:paraId="4BCDD78A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0.04</w:t>
            </w:r>
          </w:p>
        </w:tc>
      </w:tr>
      <w:tr w:rsidR="00DF21AD" w:rsidRPr="00F42A2D" w14:paraId="49021723" w14:textId="77777777" w:rsidTr="00E327B7">
        <w:trPr>
          <w:trHeight w:val="300"/>
          <w:jc w:val="center"/>
        </w:trPr>
        <w:tc>
          <w:tcPr>
            <w:tcW w:w="1300" w:type="dxa"/>
          </w:tcPr>
          <w:p w14:paraId="541C6F24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4</w:t>
            </w:r>
          </w:p>
        </w:tc>
        <w:tc>
          <w:tcPr>
            <w:tcW w:w="1300" w:type="dxa"/>
            <w:noWrap/>
            <w:hideMark/>
          </w:tcPr>
          <w:p w14:paraId="61E08973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5.55</w:t>
            </w:r>
          </w:p>
        </w:tc>
        <w:tc>
          <w:tcPr>
            <w:tcW w:w="1300" w:type="dxa"/>
            <w:noWrap/>
            <w:hideMark/>
          </w:tcPr>
          <w:p w14:paraId="7E05E4A7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10.83</w:t>
            </w:r>
          </w:p>
        </w:tc>
        <w:tc>
          <w:tcPr>
            <w:tcW w:w="1300" w:type="dxa"/>
            <w:noWrap/>
            <w:hideMark/>
          </w:tcPr>
          <w:p w14:paraId="4321DFBE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0.02</w:t>
            </w:r>
          </w:p>
        </w:tc>
        <w:tc>
          <w:tcPr>
            <w:tcW w:w="1300" w:type="dxa"/>
            <w:noWrap/>
            <w:hideMark/>
          </w:tcPr>
          <w:p w14:paraId="05914648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11.98</w:t>
            </w:r>
          </w:p>
        </w:tc>
        <w:tc>
          <w:tcPr>
            <w:tcW w:w="1300" w:type="dxa"/>
            <w:noWrap/>
            <w:hideMark/>
          </w:tcPr>
          <w:p w14:paraId="3141EBDC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0.04</w:t>
            </w:r>
          </w:p>
        </w:tc>
      </w:tr>
      <w:tr w:rsidR="00DF21AD" w:rsidRPr="00F42A2D" w14:paraId="605A2E11" w14:textId="77777777" w:rsidTr="00E327B7">
        <w:trPr>
          <w:trHeight w:val="300"/>
          <w:jc w:val="center"/>
        </w:trPr>
        <w:tc>
          <w:tcPr>
            <w:tcW w:w="1300" w:type="dxa"/>
          </w:tcPr>
          <w:p w14:paraId="703E66BD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</w:t>
            </w:r>
          </w:p>
        </w:tc>
        <w:tc>
          <w:tcPr>
            <w:tcW w:w="1300" w:type="dxa"/>
            <w:noWrap/>
            <w:hideMark/>
          </w:tcPr>
          <w:p w14:paraId="24F85660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5.54</w:t>
            </w:r>
          </w:p>
        </w:tc>
        <w:tc>
          <w:tcPr>
            <w:tcW w:w="1300" w:type="dxa"/>
            <w:noWrap/>
            <w:hideMark/>
          </w:tcPr>
          <w:p w14:paraId="66166223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11.25</w:t>
            </w:r>
          </w:p>
        </w:tc>
        <w:tc>
          <w:tcPr>
            <w:tcW w:w="1300" w:type="dxa"/>
            <w:noWrap/>
            <w:hideMark/>
          </w:tcPr>
          <w:p w14:paraId="03BFBA93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0.02</w:t>
            </w:r>
          </w:p>
        </w:tc>
        <w:tc>
          <w:tcPr>
            <w:tcW w:w="1300" w:type="dxa"/>
            <w:noWrap/>
            <w:hideMark/>
          </w:tcPr>
          <w:p w14:paraId="6D65556B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12.11</w:t>
            </w:r>
          </w:p>
        </w:tc>
        <w:tc>
          <w:tcPr>
            <w:tcW w:w="1300" w:type="dxa"/>
            <w:noWrap/>
            <w:hideMark/>
          </w:tcPr>
          <w:p w14:paraId="638AD6AA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0.07</w:t>
            </w:r>
          </w:p>
        </w:tc>
      </w:tr>
      <w:tr w:rsidR="00DF21AD" w:rsidRPr="00F42A2D" w14:paraId="4C275C1B" w14:textId="77777777" w:rsidTr="00E327B7">
        <w:trPr>
          <w:trHeight w:val="300"/>
          <w:jc w:val="center"/>
        </w:trPr>
        <w:tc>
          <w:tcPr>
            <w:tcW w:w="1300" w:type="dxa"/>
          </w:tcPr>
          <w:p w14:paraId="7EA63B1B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6</w:t>
            </w:r>
          </w:p>
        </w:tc>
        <w:tc>
          <w:tcPr>
            <w:tcW w:w="1300" w:type="dxa"/>
            <w:noWrap/>
            <w:hideMark/>
          </w:tcPr>
          <w:p w14:paraId="4A368174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5.53</w:t>
            </w:r>
          </w:p>
        </w:tc>
        <w:tc>
          <w:tcPr>
            <w:tcW w:w="1300" w:type="dxa"/>
            <w:noWrap/>
            <w:hideMark/>
          </w:tcPr>
          <w:p w14:paraId="281128B7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11.34</w:t>
            </w:r>
          </w:p>
        </w:tc>
        <w:tc>
          <w:tcPr>
            <w:tcW w:w="1300" w:type="dxa"/>
            <w:noWrap/>
            <w:hideMark/>
          </w:tcPr>
          <w:p w14:paraId="3553CBB3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0.02</w:t>
            </w:r>
          </w:p>
        </w:tc>
        <w:tc>
          <w:tcPr>
            <w:tcW w:w="1300" w:type="dxa"/>
            <w:noWrap/>
            <w:hideMark/>
          </w:tcPr>
          <w:p w14:paraId="6ABA55FC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12.35</w:t>
            </w:r>
          </w:p>
        </w:tc>
        <w:tc>
          <w:tcPr>
            <w:tcW w:w="1300" w:type="dxa"/>
            <w:noWrap/>
            <w:hideMark/>
          </w:tcPr>
          <w:p w14:paraId="09819B16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0.11</w:t>
            </w:r>
          </w:p>
        </w:tc>
      </w:tr>
      <w:tr w:rsidR="00DF21AD" w:rsidRPr="00F42A2D" w14:paraId="121E35AA" w14:textId="77777777" w:rsidTr="00E327B7">
        <w:trPr>
          <w:trHeight w:val="300"/>
          <w:jc w:val="center"/>
        </w:trPr>
        <w:tc>
          <w:tcPr>
            <w:tcW w:w="1300" w:type="dxa"/>
          </w:tcPr>
          <w:p w14:paraId="1D054BBB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7</w:t>
            </w:r>
          </w:p>
        </w:tc>
        <w:tc>
          <w:tcPr>
            <w:tcW w:w="1300" w:type="dxa"/>
            <w:noWrap/>
            <w:hideMark/>
          </w:tcPr>
          <w:p w14:paraId="6F370931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5.47</w:t>
            </w:r>
          </w:p>
        </w:tc>
        <w:tc>
          <w:tcPr>
            <w:tcW w:w="1300" w:type="dxa"/>
            <w:noWrap/>
            <w:hideMark/>
          </w:tcPr>
          <w:p w14:paraId="2D6888D9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11.42</w:t>
            </w:r>
          </w:p>
        </w:tc>
        <w:tc>
          <w:tcPr>
            <w:tcW w:w="1300" w:type="dxa"/>
            <w:noWrap/>
            <w:hideMark/>
          </w:tcPr>
          <w:p w14:paraId="1E56C3FA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0.01</w:t>
            </w:r>
          </w:p>
        </w:tc>
        <w:tc>
          <w:tcPr>
            <w:tcW w:w="1300" w:type="dxa"/>
            <w:noWrap/>
            <w:hideMark/>
          </w:tcPr>
          <w:p w14:paraId="01A90AD1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12.50</w:t>
            </w:r>
          </w:p>
        </w:tc>
        <w:tc>
          <w:tcPr>
            <w:tcW w:w="1300" w:type="dxa"/>
            <w:noWrap/>
            <w:hideMark/>
          </w:tcPr>
          <w:p w14:paraId="4D10A1DB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0.06</w:t>
            </w:r>
          </w:p>
        </w:tc>
      </w:tr>
      <w:tr w:rsidR="00DF21AD" w:rsidRPr="00F42A2D" w14:paraId="231E5ECC" w14:textId="77777777" w:rsidTr="00E327B7">
        <w:trPr>
          <w:trHeight w:val="300"/>
          <w:jc w:val="center"/>
        </w:trPr>
        <w:tc>
          <w:tcPr>
            <w:tcW w:w="1300" w:type="dxa"/>
          </w:tcPr>
          <w:p w14:paraId="2BFD774D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8</w:t>
            </w:r>
          </w:p>
        </w:tc>
        <w:tc>
          <w:tcPr>
            <w:tcW w:w="1300" w:type="dxa"/>
            <w:noWrap/>
            <w:hideMark/>
          </w:tcPr>
          <w:p w14:paraId="35D695D2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5.33</w:t>
            </w:r>
          </w:p>
        </w:tc>
        <w:tc>
          <w:tcPr>
            <w:tcW w:w="1300" w:type="dxa"/>
            <w:noWrap/>
            <w:hideMark/>
          </w:tcPr>
          <w:p w14:paraId="043E72C2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11.64</w:t>
            </w:r>
          </w:p>
        </w:tc>
        <w:tc>
          <w:tcPr>
            <w:tcW w:w="1300" w:type="dxa"/>
            <w:noWrap/>
            <w:hideMark/>
          </w:tcPr>
          <w:p w14:paraId="6AC52B4E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0.01</w:t>
            </w:r>
          </w:p>
        </w:tc>
        <w:tc>
          <w:tcPr>
            <w:tcW w:w="1300" w:type="dxa"/>
            <w:noWrap/>
            <w:hideMark/>
          </w:tcPr>
          <w:p w14:paraId="291B3D55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12.48</w:t>
            </w:r>
          </w:p>
        </w:tc>
        <w:tc>
          <w:tcPr>
            <w:tcW w:w="1300" w:type="dxa"/>
            <w:noWrap/>
            <w:hideMark/>
          </w:tcPr>
          <w:p w14:paraId="150CB23C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0.04</w:t>
            </w:r>
          </w:p>
        </w:tc>
      </w:tr>
      <w:tr w:rsidR="00DF21AD" w:rsidRPr="00F42A2D" w14:paraId="3A790389" w14:textId="77777777" w:rsidTr="00E327B7">
        <w:trPr>
          <w:trHeight w:val="300"/>
          <w:jc w:val="center"/>
        </w:trPr>
        <w:tc>
          <w:tcPr>
            <w:tcW w:w="1300" w:type="dxa"/>
          </w:tcPr>
          <w:p w14:paraId="5F277806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9</w:t>
            </w:r>
          </w:p>
        </w:tc>
        <w:tc>
          <w:tcPr>
            <w:tcW w:w="1300" w:type="dxa"/>
            <w:noWrap/>
            <w:hideMark/>
          </w:tcPr>
          <w:p w14:paraId="083455B3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5.23</w:t>
            </w:r>
          </w:p>
        </w:tc>
        <w:tc>
          <w:tcPr>
            <w:tcW w:w="1300" w:type="dxa"/>
            <w:noWrap/>
            <w:hideMark/>
          </w:tcPr>
          <w:p w14:paraId="5AC86D7F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11.83</w:t>
            </w:r>
          </w:p>
        </w:tc>
        <w:tc>
          <w:tcPr>
            <w:tcW w:w="1300" w:type="dxa"/>
            <w:noWrap/>
            <w:hideMark/>
          </w:tcPr>
          <w:p w14:paraId="561D8730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0.01</w:t>
            </w:r>
          </w:p>
        </w:tc>
        <w:tc>
          <w:tcPr>
            <w:tcW w:w="1300" w:type="dxa"/>
            <w:noWrap/>
            <w:hideMark/>
          </w:tcPr>
          <w:p w14:paraId="45D82569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12.61</w:t>
            </w:r>
          </w:p>
        </w:tc>
        <w:tc>
          <w:tcPr>
            <w:tcW w:w="1300" w:type="dxa"/>
            <w:noWrap/>
            <w:hideMark/>
          </w:tcPr>
          <w:p w14:paraId="10201958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0.09</w:t>
            </w:r>
          </w:p>
        </w:tc>
      </w:tr>
      <w:tr w:rsidR="00DF21AD" w:rsidRPr="00F42A2D" w14:paraId="5E0A2DAC" w14:textId="77777777" w:rsidTr="00E327B7">
        <w:trPr>
          <w:trHeight w:val="300"/>
          <w:jc w:val="center"/>
        </w:trPr>
        <w:tc>
          <w:tcPr>
            <w:tcW w:w="1300" w:type="dxa"/>
          </w:tcPr>
          <w:p w14:paraId="4F896BF2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10</w:t>
            </w:r>
          </w:p>
        </w:tc>
        <w:tc>
          <w:tcPr>
            <w:tcW w:w="1300" w:type="dxa"/>
            <w:noWrap/>
            <w:hideMark/>
          </w:tcPr>
          <w:p w14:paraId="65FF0033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5.19</w:t>
            </w:r>
          </w:p>
        </w:tc>
        <w:tc>
          <w:tcPr>
            <w:tcW w:w="1300" w:type="dxa"/>
            <w:noWrap/>
            <w:hideMark/>
          </w:tcPr>
          <w:p w14:paraId="02B783D7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11.95</w:t>
            </w:r>
          </w:p>
        </w:tc>
        <w:tc>
          <w:tcPr>
            <w:tcW w:w="1300" w:type="dxa"/>
            <w:noWrap/>
            <w:hideMark/>
          </w:tcPr>
          <w:p w14:paraId="55498461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0.01</w:t>
            </w:r>
          </w:p>
        </w:tc>
        <w:tc>
          <w:tcPr>
            <w:tcW w:w="1300" w:type="dxa"/>
            <w:noWrap/>
            <w:hideMark/>
          </w:tcPr>
          <w:p w14:paraId="00685CB4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12.81</w:t>
            </w:r>
          </w:p>
        </w:tc>
        <w:tc>
          <w:tcPr>
            <w:tcW w:w="1300" w:type="dxa"/>
            <w:noWrap/>
            <w:hideMark/>
          </w:tcPr>
          <w:p w14:paraId="3EB9193E" w14:textId="77777777" w:rsidR="00DF21AD" w:rsidRPr="00F42A2D" w:rsidRDefault="00DF21AD" w:rsidP="00FC2758">
            <w:pPr>
              <w:spacing w:line="360" w:lineRule="auto"/>
              <w:jc w:val="center"/>
              <w:rPr>
                <w:color w:val="000000"/>
                <w:lang w:eastAsia="es-ES_tradnl"/>
              </w:rPr>
            </w:pPr>
            <w:r w:rsidRPr="00F42A2D">
              <w:rPr>
                <w:color w:val="000000"/>
                <w:lang w:eastAsia="es-ES_tradnl"/>
              </w:rPr>
              <w:t>0.06</w:t>
            </w:r>
          </w:p>
        </w:tc>
      </w:tr>
      <w:tr w:rsidR="001113DC" w:rsidRPr="00F42A2D" w14:paraId="23F2A064" w14:textId="77777777" w:rsidTr="00C640DD">
        <w:trPr>
          <w:trHeight w:val="300"/>
          <w:jc w:val="center"/>
        </w:trPr>
        <w:tc>
          <w:tcPr>
            <w:tcW w:w="7800" w:type="dxa"/>
            <w:gridSpan w:val="6"/>
          </w:tcPr>
          <w:p w14:paraId="0F78AF88" w14:textId="6839A1F8" w:rsidR="001113DC" w:rsidRPr="00F42A2D" w:rsidRDefault="001113DC" w:rsidP="00E327B7">
            <w:pPr>
              <w:spacing w:line="360" w:lineRule="auto"/>
              <w:rPr>
                <w:color w:val="000000"/>
                <w:sz w:val="20"/>
                <w:szCs w:val="20"/>
                <w:lang w:eastAsia="es-ES_tradnl"/>
              </w:rPr>
            </w:pPr>
            <w:r w:rsidRPr="00F42A2D">
              <w:rPr>
                <w:sz w:val="20"/>
                <w:szCs w:val="20"/>
              </w:rPr>
              <w:t>Nota: ATP = promedio de la acidez titulable, ATD = desviación de la acidez titulable.</w:t>
            </w:r>
          </w:p>
        </w:tc>
      </w:tr>
    </w:tbl>
    <w:p w14:paraId="47871905" w14:textId="0D406DBA" w:rsidR="008E3B1F" w:rsidRPr="00F42A2D" w:rsidRDefault="005E7B4B" w:rsidP="00FC2758">
      <w:pPr>
        <w:spacing w:line="360" w:lineRule="auto"/>
        <w:jc w:val="center"/>
      </w:pPr>
      <w:r w:rsidRPr="00F42A2D">
        <w:t>Fuente: Elaboración propia</w:t>
      </w:r>
    </w:p>
    <w:p w14:paraId="7F268DCA" w14:textId="4FAD7C74" w:rsidR="008E3B1F" w:rsidRPr="00F42A2D" w:rsidRDefault="00F93B1D" w:rsidP="00E327B7">
      <w:pPr>
        <w:spacing w:line="360" w:lineRule="auto"/>
        <w:ind w:firstLine="708"/>
        <w:jc w:val="both"/>
      </w:pPr>
      <w:r w:rsidRPr="00F42A2D">
        <w:t>Las gráficas de la curva de titulación del ácido cítrico se muestran en la figura 1</w:t>
      </w:r>
      <w:r w:rsidR="002C5F54" w:rsidRPr="00F42A2D">
        <w:t>.</w:t>
      </w:r>
      <w:r w:rsidRPr="00F42A2D">
        <w:t xml:space="preserve"> </w:t>
      </w:r>
      <w:r w:rsidR="002C5F54" w:rsidRPr="00F42A2D">
        <w:t xml:space="preserve">Allí se </w:t>
      </w:r>
      <w:r w:rsidRPr="00F42A2D">
        <w:t>puede observar que el punto de equivalencia distinguible corresponde a la neutralización total de hidróxido de sodio</w:t>
      </w:r>
      <w:r w:rsidR="002C5F54" w:rsidRPr="00F42A2D">
        <w:t>.</w:t>
      </w:r>
      <w:r w:rsidRPr="00F42A2D">
        <w:t xml:space="preserve"> </w:t>
      </w:r>
      <w:r w:rsidR="002C5F54" w:rsidRPr="00F42A2D">
        <w:t xml:space="preserve">Esto </w:t>
      </w:r>
      <w:r w:rsidRPr="00F42A2D">
        <w:t>se debe a que los valores de pKa del ácido cítrico son muy similares y por ello no se pu</w:t>
      </w:r>
      <w:r w:rsidR="002C5F54" w:rsidRPr="00F42A2D">
        <w:t>e</w:t>
      </w:r>
      <w:r w:rsidRPr="00F42A2D">
        <w:t>de</w:t>
      </w:r>
      <w:r w:rsidR="002C5F54" w:rsidRPr="00F42A2D">
        <w:t>n</w:t>
      </w:r>
      <w:r w:rsidRPr="00F42A2D">
        <w:t xml:space="preserve"> establecer los dos puntos anteriores</w:t>
      </w:r>
      <w:r w:rsidR="002C5F54" w:rsidRPr="00F42A2D">
        <w:t>,</w:t>
      </w:r>
      <w:r w:rsidRPr="00F42A2D">
        <w:t xml:space="preserve"> sino solamente cuando el cambio de pH es más notable por la neutralización completa del ácido</w:t>
      </w:r>
      <w:r w:rsidR="00D533B8" w:rsidRPr="00F42A2D">
        <w:t xml:space="preserve"> (Marín</w:t>
      </w:r>
      <w:r w:rsidR="00D533B8" w:rsidRPr="00F42A2D">
        <w:rPr>
          <w:i/>
          <w:iCs/>
        </w:rPr>
        <w:t>,</w:t>
      </w:r>
      <w:r w:rsidR="00D05671" w:rsidRPr="00F42A2D">
        <w:rPr>
          <w:i/>
          <w:iCs/>
        </w:rPr>
        <w:t xml:space="preserve"> </w:t>
      </w:r>
      <w:r w:rsidR="00D05671" w:rsidRPr="00F42A2D">
        <w:rPr>
          <w:color w:val="000000"/>
        </w:rPr>
        <w:t>García, Santiago y Baeza,</w:t>
      </w:r>
      <w:r w:rsidR="00D533B8" w:rsidRPr="00F42A2D">
        <w:rPr>
          <w:i/>
          <w:iCs/>
        </w:rPr>
        <w:t xml:space="preserve"> </w:t>
      </w:r>
      <w:r w:rsidR="00D533B8" w:rsidRPr="00F42A2D">
        <w:t>2014)</w:t>
      </w:r>
      <w:r w:rsidRPr="00F42A2D">
        <w:t>. La concentración de NaOH calculada con los valores de neutralización con ácido cítrico fueron los mismos a los obtenidos por el estándar de biftalato de potasio</w:t>
      </w:r>
      <w:r w:rsidR="009F3EF3" w:rsidRPr="00F42A2D">
        <w:t xml:space="preserve"> y esto corrobora que el punto distinguible en la titulación corresponde a la tercera neutralización.</w:t>
      </w:r>
    </w:p>
    <w:p w14:paraId="051A77FF" w14:textId="62AB1CA1" w:rsidR="008E3B1F" w:rsidRDefault="008E3B1F" w:rsidP="00FC2758">
      <w:pPr>
        <w:spacing w:line="360" w:lineRule="auto"/>
        <w:jc w:val="center"/>
        <w:rPr>
          <w:sz w:val="20"/>
          <w:szCs w:val="20"/>
        </w:rPr>
      </w:pPr>
    </w:p>
    <w:p w14:paraId="59762E45" w14:textId="25D9E87B" w:rsidR="00F42A2D" w:rsidRDefault="00F42A2D" w:rsidP="00FC2758">
      <w:pPr>
        <w:spacing w:line="360" w:lineRule="auto"/>
        <w:jc w:val="center"/>
        <w:rPr>
          <w:sz w:val="20"/>
          <w:szCs w:val="20"/>
        </w:rPr>
      </w:pPr>
    </w:p>
    <w:p w14:paraId="33B8813D" w14:textId="4842D0BC" w:rsidR="00F42A2D" w:rsidRDefault="00F42A2D" w:rsidP="00FC2758">
      <w:pPr>
        <w:spacing w:line="360" w:lineRule="auto"/>
        <w:jc w:val="center"/>
        <w:rPr>
          <w:sz w:val="20"/>
          <w:szCs w:val="20"/>
        </w:rPr>
      </w:pPr>
    </w:p>
    <w:p w14:paraId="464E9264" w14:textId="4F52D4DA" w:rsidR="00F42A2D" w:rsidRDefault="00F42A2D" w:rsidP="00FC2758">
      <w:pPr>
        <w:spacing w:line="360" w:lineRule="auto"/>
        <w:jc w:val="center"/>
        <w:rPr>
          <w:sz w:val="20"/>
          <w:szCs w:val="20"/>
        </w:rPr>
      </w:pPr>
    </w:p>
    <w:p w14:paraId="37BC96D2" w14:textId="58F2D825" w:rsidR="00F42A2D" w:rsidRDefault="00F42A2D" w:rsidP="00FC2758">
      <w:pPr>
        <w:spacing w:line="360" w:lineRule="auto"/>
        <w:jc w:val="center"/>
        <w:rPr>
          <w:sz w:val="20"/>
          <w:szCs w:val="20"/>
        </w:rPr>
      </w:pPr>
    </w:p>
    <w:p w14:paraId="775AE5D2" w14:textId="752F9615" w:rsidR="00F42A2D" w:rsidRDefault="00F42A2D" w:rsidP="00FC2758">
      <w:pPr>
        <w:spacing w:line="360" w:lineRule="auto"/>
        <w:jc w:val="center"/>
        <w:rPr>
          <w:sz w:val="20"/>
          <w:szCs w:val="20"/>
        </w:rPr>
      </w:pPr>
    </w:p>
    <w:p w14:paraId="3D9D99F1" w14:textId="62278532" w:rsidR="00F42A2D" w:rsidRDefault="00F42A2D" w:rsidP="00FC2758">
      <w:pPr>
        <w:spacing w:line="360" w:lineRule="auto"/>
        <w:jc w:val="center"/>
        <w:rPr>
          <w:sz w:val="20"/>
          <w:szCs w:val="20"/>
        </w:rPr>
      </w:pPr>
    </w:p>
    <w:p w14:paraId="212DB66B" w14:textId="77777777" w:rsidR="00F42A2D" w:rsidRPr="00F42A2D" w:rsidRDefault="00F42A2D" w:rsidP="00FC2758">
      <w:pPr>
        <w:spacing w:line="360" w:lineRule="auto"/>
        <w:jc w:val="center"/>
        <w:rPr>
          <w:sz w:val="20"/>
          <w:szCs w:val="20"/>
        </w:rPr>
      </w:pPr>
    </w:p>
    <w:p w14:paraId="4C43BC94" w14:textId="72A5E7F8" w:rsidR="008E3B1F" w:rsidRPr="00F42A2D" w:rsidRDefault="005E7B4B" w:rsidP="005E7B4B">
      <w:pPr>
        <w:spacing w:line="360" w:lineRule="auto"/>
        <w:jc w:val="center"/>
        <w:rPr>
          <w:sz w:val="20"/>
          <w:szCs w:val="20"/>
        </w:rPr>
      </w:pPr>
      <w:r w:rsidRPr="00F42A2D">
        <w:rPr>
          <w:b/>
          <w:bCs/>
        </w:rPr>
        <w:lastRenderedPageBreak/>
        <w:t>Figura 1</w:t>
      </w:r>
      <w:r w:rsidRPr="00F42A2D">
        <w:t>. Gráficos de primera derivada (izquierda) y segunda derivada (derecha) para la titulación de ácido cítrico con NaOH</w:t>
      </w:r>
    </w:p>
    <w:p w14:paraId="5DA648E3" w14:textId="615B6FF3" w:rsidR="00DA1007" w:rsidRPr="00F42A2D" w:rsidRDefault="000B6963" w:rsidP="00FC2758">
      <w:pPr>
        <w:spacing w:line="360" w:lineRule="auto"/>
        <w:rPr>
          <w:sz w:val="20"/>
          <w:szCs w:val="20"/>
          <w:vertAlign w:val="subscript"/>
          <w:lang w:val="en-US"/>
        </w:rPr>
      </w:pPr>
      <w:r w:rsidRPr="00F42A2D">
        <w:rPr>
          <w:noProof/>
          <w:sz w:val="20"/>
          <w:szCs w:val="20"/>
          <w:vertAlign w:val="subscript"/>
          <w:lang w:val="en-US"/>
        </w:rPr>
        <w:drawing>
          <wp:inline distT="0" distB="0" distL="0" distR="0" wp14:anchorId="0BE29A7E" wp14:editId="6C249BCB">
            <wp:extent cx="5612130" cy="2122170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72579" w14:textId="45EAE6E9" w:rsidR="008E3B1F" w:rsidRPr="00F42A2D" w:rsidRDefault="000B6963" w:rsidP="00E327B7">
      <w:pPr>
        <w:spacing w:line="360" w:lineRule="auto"/>
        <w:jc w:val="center"/>
      </w:pPr>
      <w:bookmarkStart w:id="0" w:name="OLE_LINK1"/>
      <w:r w:rsidRPr="00F42A2D">
        <w:t>Fuente: Elaboración propia</w:t>
      </w:r>
    </w:p>
    <w:bookmarkEnd w:id="0"/>
    <w:p w14:paraId="70DE28A1" w14:textId="70F17F90" w:rsidR="009F3EF3" w:rsidRPr="00F42A2D" w:rsidRDefault="009F3EF3" w:rsidP="001113DC">
      <w:pPr>
        <w:spacing w:line="360" w:lineRule="auto"/>
        <w:ind w:firstLine="708"/>
        <w:jc w:val="both"/>
      </w:pPr>
      <w:r w:rsidRPr="00F42A2D">
        <w:t>En la figura 2</w:t>
      </w:r>
      <w:r w:rsidR="001728B2" w:rsidRPr="00F42A2D">
        <w:t>, por su parte,</w:t>
      </w:r>
      <w:r w:rsidRPr="00F42A2D">
        <w:t xml:space="preserve"> se muestran los gráficos de la curva de titulación del té con NaOH</w:t>
      </w:r>
      <w:r w:rsidR="001728B2" w:rsidRPr="00F42A2D">
        <w:t>.</w:t>
      </w:r>
      <w:r w:rsidRPr="00F42A2D">
        <w:t xml:space="preserve"> </w:t>
      </w:r>
      <w:r w:rsidR="001728B2" w:rsidRPr="00F42A2D">
        <w:t>A</w:t>
      </w:r>
      <w:r w:rsidRPr="00F42A2D">
        <w:t>unque los gráficos presentan una mayor irregularidad (en comparación con la solución pura de ácido cítrico)</w:t>
      </w:r>
      <w:r w:rsidR="001728B2" w:rsidRPr="00F42A2D">
        <w:t>,</w:t>
      </w:r>
      <w:r w:rsidRPr="00F42A2D">
        <w:t xml:space="preserve"> se puede apreciar fácilmente el punto final (pico mayor en el caso de la primera derivada e intersección en el caso de la segunda derivada), pues</w:t>
      </w:r>
      <w:r w:rsidR="00C56590" w:rsidRPr="00F42A2D">
        <w:t xml:space="preserve">, si bien </w:t>
      </w:r>
      <w:r w:rsidRPr="00F42A2D">
        <w:t>los resultados de la acidez titulable se suelen expresar como gramos de ácido cítrico por volumen de muestra</w:t>
      </w:r>
      <w:r w:rsidR="00CF70D0" w:rsidRPr="00F42A2D">
        <w:t>,</w:t>
      </w:r>
      <w:r w:rsidRPr="00F42A2D">
        <w:t xml:space="preserve"> en realidad el té contiene otros ácidos orgánicos que aportan a la acidez total de la bebida</w:t>
      </w:r>
      <w:r w:rsidR="000F034F" w:rsidRPr="00F42A2D">
        <w:t>, por lo</w:t>
      </w:r>
      <w:r w:rsidRPr="00F42A2D">
        <w:t xml:space="preserve"> que el registro final correspondería a la neutralización total de todos los ácidos (cuando el pH se vuelve alcalino por el exceso de NaOH</w:t>
      </w:r>
      <w:r w:rsidR="00CF70D0" w:rsidRPr="00F42A2D">
        <w:t>)</w:t>
      </w:r>
      <w:r w:rsidR="00465CB5" w:rsidRPr="00F42A2D">
        <w:t xml:space="preserve"> </w:t>
      </w:r>
      <w:r w:rsidR="00CF70D0" w:rsidRPr="00F42A2D">
        <w:t>(Alarcón</w:t>
      </w:r>
      <w:r w:rsidR="00CF70D0" w:rsidRPr="00F42A2D">
        <w:rPr>
          <w:i/>
          <w:iCs/>
        </w:rPr>
        <w:t xml:space="preserve">, </w:t>
      </w:r>
      <w:r w:rsidR="00CF70D0" w:rsidRPr="00F42A2D">
        <w:rPr>
          <w:color w:val="000000"/>
        </w:rPr>
        <w:t>Barreiro, Boicet, Ramos y Morales,</w:t>
      </w:r>
      <w:r w:rsidR="00CF70D0" w:rsidRPr="00F42A2D">
        <w:t xml:space="preserve"> 2018; </w:t>
      </w:r>
      <w:r w:rsidR="00465CB5" w:rsidRPr="00F42A2D">
        <w:t>Beretta</w:t>
      </w:r>
      <w:r w:rsidR="00465CB5" w:rsidRPr="00F42A2D">
        <w:rPr>
          <w:i/>
          <w:iCs/>
        </w:rPr>
        <w:t>,</w:t>
      </w:r>
      <w:r w:rsidR="00CF70D0" w:rsidRPr="00F42A2D">
        <w:rPr>
          <w:i/>
          <w:iCs/>
        </w:rPr>
        <w:t xml:space="preserve"> </w:t>
      </w:r>
      <w:r w:rsidR="00CF70D0" w:rsidRPr="00F42A2D">
        <w:rPr>
          <w:color w:val="000000"/>
        </w:rPr>
        <w:t>Bassahun, Torres, Musselli y García,</w:t>
      </w:r>
      <w:r w:rsidR="00465CB5" w:rsidRPr="00F42A2D">
        <w:rPr>
          <w:i/>
          <w:iCs/>
        </w:rPr>
        <w:t xml:space="preserve"> </w:t>
      </w:r>
      <w:r w:rsidR="00465CB5" w:rsidRPr="00F42A2D">
        <w:t>2017</w:t>
      </w:r>
      <w:r w:rsidR="00CF70D0" w:rsidRPr="00F42A2D">
        <w:t xml:space="preserve">; Torres </w:t>
      </w:r>
      <w:r w:rsidR="00CF70D0" w:rsidRPr="00F42A2D">
        <w:rPr>
          <w:i/>
          <w:iCs/>
        </w:rPr>
        <w:t>et al</w:t>
      </w:r>
      <w:r w:rsidR="00ED1F67" w:rsidRPr="00F42A2D">
        <w:rPr>
          <w:i/>
          <w:iCs/>
        </w:rPr>
        <w:t>.</w:t>
      </w:r>
      <w:r w:rsidR="00CF70D0" w:rsidRPr="00F42A2D">
        <w:rPr>
          <w:i/>
          <w:iCs/>
        </w:rPr>
        <w:t xml:space="preserve">, </w:t>
      </w:r>
      <w:r w:rsidR="00CF70D0" w:rsidRPr="00F42A2D">
        <w:t>2009</w:t>
      </w:r>
      <w:r w:rsidRPr="00F42A2D">
        <w:t>).</w:t>
      </w:r>
    </w:p>
    <w:p w14:paraId="4E28BF45" w14:textId="71BBE5E2" w:rsidR="00B15DE5" w:rsidRDefault="00B15DE5" w:rsidP="00B15DE5">
      <w:pPr>
        <w:spacing w:line="360" w:lineRule="auto"/>
        <w:jc w:val="both"/>
      </w:pPr>
    </w:p>
    <w:p w14:paraId="506F0616" w14:textId="4E4964EA" w:rsidR="00F42A2D" w:rsidRDefault="00F42A2D" w:rsidP="00B15DE5">
      <w:pPr>
        <w:spacing w:line="360" w:lineRule="auto"/>
        <w:jc w:val="both"/>
      </w:pPr>
    </w:p>
    <w:p w14:paraId="70B14690" w14:textId="5BECEF2F" w:rsidR="00F42A2D" w:rsidRDefault="00F42A2D" w:rsidP="00B15DE5">
      <w:pPr>
        <w:spacing w:line="360" w:lineRule="auto"/>
        <w:jc w:val="both"/>
      </w:pPr>
    </w:p>
    <w:p w14:paraId="2BA0B511" w14:textId="4F4F2298" w:rsidR="00F42A2D" w:rsidRDefault="00F42A2D" w:rsidP="00B15DE5">
      <w:pPr>
        <w:spacing w:line="360" w:lineRule="auto"/>
        <w:jc w:val="both"/>
      </w:pPr>
    </w:p>
    <w:p w14:paraId="29EEFDC2" w14:textId="5089BB77" w:rsidR="00F42A2D" w:rsidRDefault="00F42A2D" w:rsidP="00B15DE5">
      <w:pPr>
        <w:spacing w:line="360" w:lineRule="auto"/>
        <w:jc w:val="both"/>
      </w:pPr>
    </w:p>
    <w:p w14:paraId="4EE9A2B7" w14:textId="74142231" w:rsidR="00F42A2D" w:rsidRDefault="00F42A2D" w:rsidP="00B15DE5">
      <w:pPr>
        <w:spacing w:line="360" w:lineRule="auto"/>
        <w:jc w:val="both"/>
      </w:pPr>
    </w:p>
    <w:p w14:paraId="4370983A" w14:textId="518CCE99" w:rsidR="00F42A2D" w:rsidRDefault="00F42A2D" w:rsidP="00B15DE5">
      <w:pPr>
        <w:spacing w:line="360" w:lineRule="auto"/>
        <w:jc w:val="both"/>
      </w:pPr>
    </w:p>
    <w:p w14:paraId="21DEA225" w14:textId="74FF21C1" w:rsidR="00F42A2D" w:rsidRDefault="00F42A2D" w:rsidP="00B15DE5">
      <w:pPr>
        <w:spacing w:line="360" w:lineRule="auto"/>
        <w:jc w:val="both"/>
      </w:pPr>
    </w:p>
    <w:p w14:paraId="7ABEF1C7" w14:textId="0A4E6B7D" w:rsidR="00F42A2D" w:rsidRDefault="00F42A2D" w:rsidP="00B15DE5">
      <w:pPr>
        <w:spacing w:line="360" w:lineRule="auto"/>
        <w:jc w:val="both"/>
      </w:pPr>
    </w:p>
    <w:p w14:paraId="7D7E4830" w14:textId="77777777" w:rsidR="00F42A2D" w:rsidRPr="00F42A2D" w:rsidRDefault="00F42A2D" w:rsidP="00B15DE5">
      <w:pPr>
        <w:spacing w:line="360" w:lineRule="auto"/>
        <w:jc w:val="both"/>
      </w:pPr>
    </w:p>
    <w:p w14:paraId="58E6D583" w14:textId="16C46801" w:rsidR="00B15DE5" w:rsidRPr="00F42A2D" w:rsidRDefault="00B15DE5" w:rsidP="00E327B7">
      <w:pPr>
        <w:spacing w:line="360" w:lineRule="auto"/>
        <w:jc w:val="center"/>
        <w:rPr>
          <w:sz w:val="36"/>
          <w:szCs w:val="36"/>
        </w:rPr>
      </w:pPr>
      <w:r w:rsidRPr="00F42A2D">
        <w:rPr>
          <w:b/>
          <w:bCs/>
        </w:rPr>
        <w:lastRenderedPageBreak/>
        <w:t>Figura 2</w:t>
      </w:r>
      <w:r w:rsidRPr="00F42A2D">
        <w:t>. Gráficos de primera derivada (izquierda) y segunda derivada (derecha) para la acidez titulable de las infusiones de té</w:t>
      </w:r>
    </w:p>
    <w:p w14:paraId="15C99F8D" w14:textId="5F39E014" w:rsidR="009F3EF3" w:rsidRPr="00F42A2D" w:rsidRDefault="000B6963" w:rsidP="00FC2758">
      <w:pPr>
        <w:spacing w:line="360" w:lineRule="auto"/>
        <w:rPr>
          <w:sz w:val="20"/>
          <w:szCs w:val="20"/>
        </w:rPr>
      </w:pPr>
      <w:r w:rsidRPr="00F42A2D">
        <w:rPr>
          <w:noProof/>
          <w:sz w:val="20"/>
          <w:szCs w:val="20"/>
        </w:rPr>
        <w:drawing>
          <wp:inline distT="0" distB="0" distL="0" distR="0" wp14:anchorId="4A56464B" wp14:editId="4929BB8E">
            <wp:extent cx="5612130" cy="1864995"/>
            <wp:effectExtent l="0" t="0" r="127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8160F" w14:textId="28D78132" w:rsidR="00014A46" w:rsidRPr="00F42A2D" w:rsidRDefault="000B6963" w:rsidP="00E327B7">
      <w:pPr>
        <w:spacing w:line="360" w:lineRule="auto"/>
        <w:jc w:val="center"/>
      </w:pPr>
      <w:r w:rsidRPr="00F42A2D">
        <w:t xml:space="preserve">Fuente: </w:t>
      </w:r>
      <w:r w:rsidR="00B15DE5" w:rsidRPr="00F42A2D">
        <w:t xml:space="preserve">Elaboración </w:t>
      </w:r>
      <w:r w:rsidRPr="00F42A2D">
        <w:t xml:space="preserve">propia </w:t>
      </w:r>
    </w:p>
    <w:p w14:paraId="6E1BEB62" w14:textId="7F5CE061" w:rsidR="009F3EF3" w:rsidRPr="00F42A2D" w:rsidRDefault="009F3EF3" w:rsidP="00E327B7">
      <w:pPr>
        <w:spacing w:line="360" w:lineRule="auto"/>
        <w:ind w:firstLine="708"/>
        <w:jc w:val="both"/>
      </w:pPr>
      <w:r w:rsidRPr="00F42A2D">
        <w:t>El pH y la acidez est</w:t>
      </w:r>
      <w:r w:rsidR="008C2498" w:rsidRPr="00F42A2D">
        <w:t>á</w:t>
      </w:r>
      <w:r w:rsidRPr="00F42A2D">
        <w:t>n relacionados porque el pH es una medida de la concentración de iones hidrógeno en la solución y</w:t>
      </w:r>
      <w:r w:rsidR="000306BA" w:rsidRPr="00F42A2D">
        <w:t>,</w:t>
      </w:r>
      <w:r w:rsidRPr="00F42A2D">
        <w:t xml:space="preserve"> aunque no lineal</w:t>
      </w:r>
      <w:r w:rsidR="000306BA" w:rsidRPr="00F42A2D">
        <w:t>,</w:t>
      </w:r>
      <w:r w:rsidRPr="00F42A2D">
        <w:t xml:space="preserve"> existe una relación proporcional entre la concentración de ácidos y el pH que se ve influenciada por el tipo de ácido, es decir, por </w:t>
      </w:r>
      <w:r w:rsidR="00DF21AD" w:rsidRPr="00F42A2D">
        <w:t>la naturaleza química de los ácidos presentes en</w:t>
      </w:r>
      <w:r w:rsidR="00B0208A" w:rsidRPr="00F42A2D">
        <w:t xml:space="preserve"> la</w:t>
      </w:r>
      <w:r w:rsidR="00DF21AD" w:rsidRPr="00F42A2D">
        <w:t xml:space="preserve"> solución, especialmente por su concentración y su pKa</w:t>
      </w:r>
      <w:r w:rsidR="00465CB5" w:rsidRPr="00F42A2D">
        <w:t xml:space="preserve"> (Alarcón </w:t>
      </w:r>
      <w:r w:rsidR="00465CB5" w:rsidRPr="00F42A2D">
        <w:rPr>
          <w:i/>
          <w:iCs/>
        </w:rPr>
        <w:t>et al</w:t>
      </w:r>
      <w:r w:rsidR="000306BA" w:rsidRPr="00F42A2D">
        <w:rPr>
          <w:i/>
          <w:iCs/>
        </w:rPr>
        <w:t>.</w:t>
      </w:r>
      <w:r w:rsidR="00465CB5" w:rsidRPr="00F42A2D">
        <w:rPr>
          <w:i/>
          <w:iCs/>
        </w:rPr>
        <w:t xml:space="preserve">, </w:t>
      </w:r>
      <w:r w:rsidR="00465CB5" w:rsidRPr="00F42A2D">
        <w:t>2018</w:t>
      </w:r>
      <w:r w:rsidR="005D4A70" w:rsidRPr="00F42A2D">
        <w:t>; Mansilla, 2014</w:t>
      </w:r>
      <w:r w:rsidR="00465CB5" w:rsidRPr="00F42A2D">
        <w:t>)</w:t>
      </w:r>
      <w:r w:rsidR="00DF21AD" w:rsidRPr="00F42A2D">
        <w:t xml:space="preserve">. En la figura 3 se aprecia que hay una </w:t>
      </w:r>
      <w:r w:rsidR="00016963" w:rsidRPr="00F42A2D">
        <w:t>correlación</w:t>
      </w:r>
      <w:r w:rsidR="00DF21AD" w:rsidRPr="00F42A2D">
        <w:t xml:space="preserve"> negativa entre la concentración de ácidos y el pH, pues al incrementarse la acidez el pH descender</w:t>
      </w:r>
      <w:r w:rsidR="00465CB5" w:rsidRPr="00F42A2D">
        <w:t>á</w:t>
      </w:r>
      <w:r w:rsidR="00DF21AD" w:rsidRPr="00F42A2D">
        <w:t xml:space="preserve"> porque aumenta la concentración de iones hidrógeno [pH</w:t>
      </w:r>
      <w:r w:rsidR="000306BA" w:rsidRPr="00F42A2D">
        <w:t xml:space="preserve"> </w:t>
      </w:r>
      <w:r w:rsidR="00DF21AD" w:rsidRPr="00F42A2D">
        <w:t>=</w:t>
      </w:r>
      <w:r w:rsidR="000306BA" w:rsidRPr="00F42A2D">
        <w:t xml:space="preserve"> </w:t>
      </w:r>
      <w:r w:rsidR="00DF21AD" w:rsidRPr="00F42A2D">
        <w:t>-log (</w:t>
      </w:r>
      <w:r w:rsidR="000306BA" w:rsidRPr="00F42A2D">
        <w:t xml:space="preserve">concentración </w:t>
      </w:r>
      <w:r w:rsidR="00DF21AD" w:rsidRPr="00F42A2D">
        <w:t>de iones hidrógenos)]</w:t>
      </w:r>
      <w:r w:rsidR="000306BA" w:rsidRPr="00F42A2D">
        <w:t>.</w:t>
      </w:r>
      <w:r w:rsidR="00465CB5" w:rsidRPr="00F42A2D">
        <w:t xml:space="preserve"> </w:t>
      </w:r>
      <w:r w:rsidR="000306BA" w:rsidRPr="00F42A2D">
        <w:t xml:space="preserve">En </w:t>
      </w:r>
      <w:r w:rsidR="00016963" w:rsidRPr="00F42A2D">
        <w:t xml:space="preserve">el método visual de titulación no se puede apreciar la Ka del ácido titulado (Mansilla, 2014; Sotomayor </w:t>
      </w:r>
      <w:r w:rsidR="00016963" w:rsidRPr="00F42A2D">
        <w:rPr>
          <w:i/>
          <w:iCs/>
        </w:rPr>
        <w:t>et al</w:t>
      </w:r>
      <w:r w:rsidR="002C5F54" w:rsidRPr="00F42A2D">
        <w:rPr>
          <w:i/>
          <w:iCs/>
        </w:rPr>
        <w:t>.</w:t>
      </w:r>
      <w:r w:rsidR="00016963" w:rsidRPr="00F42A2D">
        <w:t>, 2019).</w:t>
      </w:r>
    </w:p>
    <w:p w14:paraId="760C0D34" w14:textId="77777777" w:rsidR="009F3EF3" w:rsidRPr="00F42A2D" w:rsidRDefault="009F3EF3" w:rsidP="00FC2758">
      <w:pPr>
        <w:spacing w:line="360" w:lineRule="auto"/>
        <w:rPr>
          <w:sz w:val="20"/>
          <w:szCs w:val="20"/>
        </w:rPr>
      </w:pPr>
    </w:p>
    <w:p w14:paraId="692BD7E6" w14:textId="1B36CD3E" w:rsidR="00717AC5" w:rsidRPr="00F42A2D" w:rsidRDefault="00717AC5" w:rsidP="00E327B7">
      <w:pPr>
        <w:spacing w:line="360" w:lineRule="auto"/>
        <w:jc w:val="center"/>
      </w:pPr>
      <w:r w:rsidRPr="00F42A2D">
        <w:rPr>
          <w:b/>
          <w:bCs/>
        </w:rPr>
        <w:t>Figura 3</w:t>
      </w:r>
      <w:r w:rsidRPr="00F42A2D">
        <w:t>. Correlación entre el pH (abscisas) y la acidez titulable de las infusiones de té (ordenadas) obtenida por ambos métodos</w:t>
      </w:r>
    </w:p>
    <w:p w14:paraId="4763866A" w14:textId="7EB6205A" w:rsidR="00014A46" w:rsidRPr="00F42A2D" w:rsidRDefault="000B6963" w:rsidP="00FC2758">
      <w:pPr>
        <w:spacing w:line="360" w:lineRule="auto"/>
        <w:jc w:val="center"/>
        <w:rPr>
          <w:sz w:val="20"/>
          <w:szCs w:val="20"/>
          <w:lang w:val="en-US"/>
        </w:rPr>
      </w:pPr>
      <w:r w:rsidRPr="00F42A2D">
        <w:rPr>
          <w:noProof/>
          <w:sz w:val="20"/>
          <w:szCs w:val="20"/>
          <w:lang w:val="en-US"/>
        </w:rPr>
        <w:drawing>
          <wp:inline distT="0" distB="0" distL="0" distR="0" wp14:anchorId="2C0428F6" wp14:editId="0C119D44">
            <wp:extent cx="3771166" cy="2231636"/>
            <wp:effectExtent l="0" t="0" r="127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050" cy="224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87A88" w14:textId="16AA22C6" w:rsidR="00014A46" w:rsidRPr="00F42A2D" w:rsidRDefault="000B6963" w:rsidP="00FC2758">
      <w:pPr>
        <w:spacing w:line="360" w:lineRule="auto"/>
        <w:jc w:val="center"/>
      </w:pPr>
      <w:r w:rsidRPr="00F42A2D">
        <w:t xml:space="preserve">Fuente: Elaboración propia </w:t>
      </w:r>
    </w:p>
    <w:p w14:paraId="3CE41A23" w14:textId="2ACD0DBC" w:rsidR="00014A46" w:rsidRPr="00F42A2D" w:rsidRDefault="00DF21AD" w:rsidP="00717AC5">
      <w:pPr>
        <w:spacing w:line="360" w:lineRule="auto"/>
        <w:ind w:firstLine="708"/>
        <w:jc w:val="both"/>
      </w:pPr>
      <w:r w:rsidRPr="00F42A2D">
        <w:lastRenderedPageBreak/>
        <w:t>Finalmente, los valores de acidez titulable obtenido</w:t>
      </w:r>
      <w:r w:rsidR="00332451" w:rsidRPr="00F42A2D">
        <w:t>s</w:t>
      </w:r>
      <w:r w:rsidRPr="00F42A2D">
        <w:t xml:space="preserve"> por ambos métodos se correlacionan bien</w:t>
      </w:r>
      <w:r w:rsidR="00332451" w:rsidRPr="00F42A2D">
        <w:t>,</w:t>
      </w:r>
      <w:r w:rsidRPr="00F42A2D">
        <w:t xml:space="preserve"> como se puede apreciar en la fig</w:t>
      </w:r>
      <w:r w:rsidR="00220E12" w:rsidRPr="00F42A2D">
        <w:t>ura</w:t>
      </w:r>
      <w:r w:rsidRPr="00F42A2D">
        <w:t xml:space="preserve"> 4; sin embargo</w:t>
      </w:r>
      <w:r w:rsidR="00332451" w:rsidRPr="00F42A2D">
        <w:t>,</w:t>
      </w:r>
      <w:r w:rsidRPr="00F42A2D">
        <w:t xml:space="preserve"> la mayor variación en el método a macroescala disminuye el valor de la correlación con el método a microescala; faltaría evaluar la conducta del método por adición de estándar interno para estimar el porcentaje de recobro para corroborar esta afirmación.</w:t>
      </w:r>
    </w:p>
    <w:p w14:paraId="47C1A5B3" w14:textId="77777777" w:rsidR="00717AC5" w:rsidRPr="00F42A2D" w:rsidRDefault="00717AC5" w:rsidP="00717AC5">
      <w:pPr>
        <w:spacing w:line="360" w:lineRule="auto"/>
        <w:jc w:val="both"/>
      </w:pPr>
    </w:p>
    <w:p w14:paraId="1B157268" w14:textId="5D5198E5" w:rsidR="00717AC5" w:rsidRPr="00F42A2D" w:rsidRDefault="00717AC5" w:rsidP="00E327B7">
      <w:pPr>
        <w:spacing w:line="360" w:lineRule="auto"/>
        <w:jc w:val="center"/>
        <w:rPr>
          <w:sz w:val="36"/>
          <w:szCs w:val="36"/>
        </w:rPr>
      </w:pPr>
      <w:r w:rsidRPr="00F42A2D">
        <w:rPr>
          <w:b/>
          <w:bCs/>
        </w:rPr>
        <w:t>Figura 4</w:t>
      </w:r>
      <w:r w:rsidRPr="00F42A2D">
        <w:t>. Correlación entre los valores de acidez titulable obtenido por los dos métodos (abscisas método microescala potenciométrico y ordenadas método macroescala)</w:t>
      </w:r>
    </w:p>
    <w:p w14:paraId="15CB8324" w14:textId="01A2AE67" w:rsidR="00014A46" w:rsidRPr="00F42A2D" w:rsidRDefault="00D533B8" w:rsidP="00FC2758">
      <w:pPr>
        <w:spacing w:line="360" w:lineRule="auto"/>
        <w:jc w:val="center"/>
        <w:rPr>
          <w:sz w:val="20"/>
          <w:szCs w:val="20"/>
        </w:rPr>
      </w:pPr>
      <w:r w:rsidRPr="00F42A2D">
        <w:rPr>
          <w:noProof/>
          <w:sz w:val="20"/>
          <w:szCs w:val="20"/>
        </w:rPr>
        <w:drawing>
          <wp:inline distT="0" distB="0" distL="0" distR="0" wp14:anchorId="59094556" wp14:editId="785A1A8E">
            <wp:extent cx="2848573" cy="1715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898" cy="173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63931" w14:textId="24E60FF5" w:rsidR="00014A46" w:rsidRPr="00F42A2D" w:rsidRDefault="000B6963" w:rsidP="00E327B7">
      <w:pPr>
        <w:spacing w:line="360" w:lineRule="auto"/>
        <w:jc w:val="center"/>
      </w:pPr>
      <w:r w:rsidRPr="00F42A2D">
        <w:t>Fuente: Elaboración propia</w:t>
      </w:r>
    </w:p>
    <w:p w14:paraId="0918B279" w14:textId="77777777" w:rsidR="00717AC5" w:rsidRPr="00F42A2D" w:rsidRDefault="00717AC5" w:rsidP="00717AC5">
      <w:pPr>
        <w:spacing w:line="360" w:lineRule="auto"/>
        <w:rPr>
          <w:b/>
          <w:bCs/>
        </w:rPr>
      </w:pPr>
    </w:p>
    <w:p w14:paraId="49555B7F" w14:textId="28FEE5A6" w:rsidR="00D538B7" w:rsidRPr="00F42A2D" w:rsidRDefault="00D538B7" w:rsidP="00F42A2D">
      <w:pPr>
        <w:spacing w:line="360" w:lineRule="auto"/>
        <w:jc w:val="center"/>
        <w:rPr>
          <w:b/>
          <w:bCs/>
          <w:sz w:val="28"/>
          <w:szCs w:val="28"/>
        </w:rPr>
      </w:pPr>
      <w:r w:rsidRPr="00F42A2D">
        <w:rPr>
          <w:b/>
          <w:bCs/>
          <w:sz w:val="32"/>
          <w:szCs w:val="32"/>
        </w:rPr>
        <w:t>Discusión</w:t>
      </w:r>
    </w:p>
    <w:p w14:paraId="3179D4CD" w14:textId="517CE1C2" w:rsidR="00D538B7" w:rsidRPr="00F42A2D" w:rsidRDefault="00D538B7" w:rsidP="00E327B7">
      <w:pPr>
        <w:spacing w:line="360" w:lineRule="auto"/>
        <w:ind w:firstLine="708"/>
        <w:jc w:val="both"/>
      </w:pPr>
      <w:r w:rsidRPr="00F42A2D">
        <w:t>El método a microescala propuesto representa una alternativa viable para la cuantificación de la calidad de muestras comerciales</w:t>
      </w:r>
      <w:r w:rsidR="00912B47" w:rsidRPr="00F42A2D">
        <w:t xml:space="preserve"> de</w:t>
      </w:r>
      <w:r w:rsidRPr="00F42A2D">
        <w:t xml:space="preserve"> té porque los resultados obtenidos son analíticamente equivalentes con los obtenidos por el método tradicional</w:t>
      </w:r>
      <w:r w:rsidR="0089520A" w:rsidRPr="00F42A2D">
        <w:t>.</w:t>
      </w:r>
      <w:r w:rsidRPr="00F42A2D">
        <w:t xml:space="preserve"> </w:t>
      </w:r>
      <w:r w:rsidR="0089520A" w:rsidRPr="00F42A2D">
        <w:t xml:space="preserve">En </w:t>
      </w:r>
      <w:r w:rsidRPr="00F42A2D">
        <w:t>este caso particular</w:t>
      </w:r>
      <w:r w:rsidR="0089520A" w:rsidRPr="00F42A2D">
        <w:t>,</w:t>
      </w:r>
      <w:r w:rsidRPr="00F42A2D">
        <w:t xml:space="preserve"> debido a la colaración de la matriz de análisis</w:t>
      </w:r>
      <w:r w:rsidR="0089520A" w:rsidRPr="00F42A2D">
        <w:t>,</w:t>
      </w:r>
      <w:r w:rsidRPr="00F42A2D">
        <w:t xml:space="preserve"> se prefieren los métodos potenciométricos</w:t>
      </w:r>
      <w:r w:rsidR="007E72BC" w:rsidRPr="00F42A2D">
        <w:t>;</w:t>
      </w:r>
      <w:r w:rsidRPr="00F42A2D">
        <w:t xml:space="preserve"> la volumetría tradicional supone el uso de la fenolftaleína como indicador</w:t>
      </w:r>
      <w:r w:rsidR="0089520A" w:rsidRPr="00F42A2D">
        <w:t>,</w:t>
      </w:r>
      <w:r w:rsidRPr="00F42A2D">
        <w:t xml:space="preserve"> cuyo cambio de color se </w:t>
      </w:r>
      <w:r w:rsidR="00F7084E" w:rsidRPr="00F42A2D">
        <w:t xml:space="preserve">suele ver </w:t>
      </w:r>
      <w:r w:rsidRPr="00F42A2D">
        <w:t xml:space="preserve">enmascarado por la pigmentación de los metabolitos del </w:t>
      </w:r>
      <w:r w:rsidR="00545972" w:rsidRPr="00F42A2D">
        <w:t>t</w:t>
      </w:r>
      <w:r w:rsidRPr="00F42A2D">
        <w:t>é</w:t>
      </w:r>
      <w:r w:rsidR="00287907" w:rsidRPr="00F42A2D">
        <w:t xml:space="preserve"> (Dornelles y Porto, 2014</w:t>
      </w:r>
      <w:r w:rsidR="00502BE8" w:rsidRPr="00F42A2D">
        <w:t xml:space="preserve">; Friedman </w:t>
      </w:r>
      <w:r w:rsidR="00502BE8" w:rsidRPr="00F42A2D">
        <w:rPr>
          <w:i/>
          <w:iCs/>
        </w:rPr>
        <w:t>et al</w:t>
      </w:r>
      <w:r w:rsidR="00FC5D26" w:rsidRPr="00F42A2D">
        <w:rPr>
          <w:i/>
          <w:iCs/>
        </w:rPr>
        <w:t>.</w:t>
      </w:r>
      <w:r w:rsidR="00502BE8" w:rsidRPr="00F42A2D">
        <w:rPr>
          <w:i/>
          <w:iCs/>
        </w:rPr>
        <w:t xml:space="preserve">, </w:t>
      </w:r>
      <w:r w:rsidR="00502BE8" w:rsidRPr="00F42A2D">
        <w:t xml:space="preserve">2009; </w:t>
      </w:r>
      <w:r w:rsidR="00287907" w:rsidRPr="00F42A2D">
        <w:t>Lunkes y Hashizume, 2014)</w:t>
      </w:r>
      <w:r w:rsidRPr="00F42A2D">
        <w:t>.</w:t>
      </w:r>
    </w:p>
    <w:p w14:paraId="22537CAF" w14:textId="0B1639DB" w:rsidR="00D538B7" w:rsidRPr="00F42A2D" w:rsidRDefault="00D538B7" w:rsidP="00E327B7">
      <w:pPr>
        <w:spacing w:line="360" w:lineRule="auto"/>
        <w:ind w:firstLine="708"/>
        <w:jc w:val="both"/>
      </w:pPr>
      <w:r w:rsidRPr="00F42A2D">
        <w:t>El uso de</w:t>
      </w:r>
      <w:r w:rsidR="00D85C87" w:rsidRPr="00F42A2D">
        <w:t xml:space="preserve"> un</w:t>
      </w:r>
      <w:r w:rsidRPr="00F42A2D">
        <w:t xml:space="preserve"> potenciómetro</w:t>
      </w:r>
      <w:r w:rsidR="00BC5AF9" w:rsidRPr="00F42A2D">
        <w:t>, sin embargo,</w:t>
      </w:r>
      <w:r w:rsidRPr="00F42A2D">
        <w:t xml:space="preserve"> limita la aplicación de la técnica de microescala</w:t>
      </w:r>
      <w:r w:rsidR="00CC06A2" w:rsidRPr="00F42A2D">
        <w:t>:</w:t>
      </w:r>
      <w:r w:rsidRPr="00F42A2D">
        <w:t xml:space="preserve"> dependerá de las características físicas del equipo para poder usarse en un volumen de muestra adecuado</w:t>
      </w:r>
      <w:r w:rsidR="003075CB" w:rsidRPr="00F42A2D">
        <w:t>,</w:t>
      </w:r>
      <w:r w:rsidR="00287907" w:rsidRPr="00F42A2D">
        <w:t xml:space="preserve"> para realizar correctamente una medición con el menor volumen posible que garantice una medición exacta</w:t>
      </w:r>
      <w:r w:rsidR="00862200" w:rsidRPr="00F42A2D">
        <w:t xml:space="preserve">, </w:t>
      </w:r>
      <w:r w:rsidR="00287907" w:rsidRPr="00F42A2D">
        <w:t>además de equiparse con un agitador magnético con su imán para homogen</w:t>
      </w:r>
      <w:r w:rsidR="00494723" w:rsidRPr="00F42A2D">
        <w:t>e</w:t>
      </w:r>
      <w:r w:rsidR="00287907" w:rsidRPr="00F42A2D">
        <w:t>izar la muestra posterior a la adición del álcali para evitar pérdidas o resultados falsos debido a la agitación manual (C</w:t>
      </w:r>
      <w:r w:rsidR="00867608" w:rsidRPr="00F42A2D">
        <w:t>á</w:t>
      </w:r>
      <w:r w:rsidR="00287907" w:rsidRPr="00F42A2D">
        <w:t xml:space="preserve">ñez </w:t>
      </w:r>
      <w:r w:rsidR="00287907" w:rsidRPr="00F42A2D">
        <w:rPr>
          <w:i/>
          <w:iCs/>
        </w:rPr>
        <w:t>et al</w:t>
      </w:r>
      <w:r w:rsidR="00867608" w:rsidRPr="00F42A2D">
        <w:rPr>
          <w:i/>
          <w:iCs/>
        </w:rPr>
        <w:t>.</w:t>
      </w:r>
      <w:r w:rsidR="00287907" w:rsidRPr="00F42A2D">
        <w:rPr>
          <w:i/>
          <w:iCs/>
        </w:rPr>
        <w:t xml:space="preserve">, </w:t>
      </w:r>
      <w:r w:rsidR="00287907" w:rsidRPr="00F42A2D">
        <w:t>2011).</w:t>
      </w:r>
    </w:p>
    <w:p w14:paraId="0961E01A" w14:textId="436EDA05" w:rsidR="00287907" w:rsidRPr="00F42A2D" w:rsidRDefault="00287907" w:rsidP="00E327B7">
      <w:pPr>
        <w:spacing w:line="360" w:lineRule="auto"/>
        <w:ind w:firstLine="708"/>
        <w:jc w:val="both"/>
      </w:pPr>
      <w:r w:rsidRPr="00F42A2D">
        <w:lastRenderedPageBreak/>
        <w:t>Este método fue desarrollado en el laboratorio de análisis de medicamentos, primero por químicos analistas y posteriormente con los estudiantes participantes en la investigación</w:t>
      </w:r>
      <w:r w:rsidR="00F469D1" w:rsidRPr="00F42A2D">
        <w:t>, en ambas ocasiones</w:t>
      </w:r>
      <w:r w:rsidRPr="00F42A2D">
        <w:t xml:space="preserve"> con resultados similares</w:t>
      </w:r>
      <w:r w:rsidR="00BC7507" w:rsidRPr="00F42A2D">
        <w:t>. Se trata de una</w:t>
      </w:r>
      <w:r w:rsidRPr="00F42A2D">
        <w:t xml:space="preserve"> prueba </w:t>
      </w:r>
      <w:r w:rsidR="00BC7507" w:rsidRPr="00F42A2D">
        <w:t xml:space="preserve">de la </w:t>
      </w:r>
      <w:r w:rsidRPr="00F42A2D">
        <w:t>facilidad de implementación</w:t>
      </w:r>
      <w:r w:rsidR="00BC7108" w:rsidRPr="00F42A2D">
        <w:t>. Y por lo mismo</w:t>
      </w:r>
      <w:r w:rsidR="00220981" w:rsidRPr="00F42A2D">
        <w:t>,</w:t>
      </w:r>
      <w:r w:rsidRPr="00F42A2D">
        <w:t xml:space="preserve"> s</w:t>
      </w:r>
      <w:r w:rsidR="00CC0C5B" w:rsidRPr="00F42A2D">
        <w:t>e propone su</w:t>
      </w:r>
      <w:r w:rsidRPr="00F42A2D">
        <w:t xml:space="preserve"> uso en laboratorios experimentales de </w:t>
      </w:r>
      <w:r w:rsidR="00CC0C5B" w:rsidRPr="00F42A2D">
        <w:t>asignaturas</w:t>
      </w:r>
      <w:r w:rsidRPr="00F42A2D">
        <w:t xml:space="preserve"> como </w:t>
      </w:r>
      <w:r w:rsidR="00BC7507" w:rsidRPr="00F42A2D">
        <w:t xml:space="preserve">Farmacognosia </w:t>
      </w:r>
      <w:r w:rsidRPr="00F42A2D">
        <w:t xml:space="preserve">o </w:t>
      </w:r>
      <w:r w:rsidR="00BC7507" w:rsidRPr="00F42A2D">
        <w:t>Química Analítica,</w:t>
      </w:r>
      <w:r w:rsidRPr="00F42A2D">
        <w:t xml:space="preserve"> donde se analizan muestras de plantas medicinales o alimentos</w:t>
      </w:r>
      <w:r w:rsidR="00CC0C5B" w:rsidRPr="00F42A2D">
        <w:t xml:space="preserve"> para la determinación de su calidad y</w:t>
      </w:r>
      <w:r w:rsidRPr="00F42A2D">
        <w:t xml:space="preserve"> que</w:t>
      </w:r>
      <w:r w:rsidR="00220981" w:rsidRPr="00F42A2D">
        <w:t>,</w:t>
      </w:r>
      <w:r w:rsidRPr="00F42A2D">
        <w:t xml:space="preserve"> por su naturaleza</w:t>
      </w:r>
      <w:r w:rsidR="00220981" w:rsidRPr="00F42A2D">
        <w:t>,</w:t>
      </w:r>
      <w:r w:rsidRPr="00F42A2D">
        <w:t xml:space="preserve"> contienen pigmentos </w:t>
      </w:r>
      <w:r w:rsidR="00CC0C5B" w:rsidRPr="00F42A2D">
        <w:t>interfer</w:t>
      </w:r>
      <w:r w:rsidR="009F1CB9" w:rsidRPr="00F42A2D">
        <w:t>e</w:t>
      </w:r>
      <w:r w:rsidR="00CC0C5B" w:rsidRPr="00F42A2D">
        <w:t>netes con los indicadores ácido base</w:t>
      </w:r>
      <w:r w:rsidR="00EA6375" w:rsidRPr="00F42A2D">
        <w:t>. Además</w:t>
      </w:r>
      <w:r w:rsidR="00CC0C5B" w:rsidRPr="00F42A2D">
        <w:t>, el uso de métodos a microescalas confiere</w:t>
      </w:r>
      <w:r w:rsidRPr="00F42A2D">
        <w:t xml:space="preserve"> a las sesiones experimentales un enfoque de cuidado ambiental y responsabilidad social al generar menos desechos y un menor gasto por el uso de reactivos químicos</w:t>
      </w:r>
      <w:r w:rsidR="00CC0C5B" w:rsidRPr="00F42A2D">
        <w:t xml:space="preserve"> (</w:t>
      </w:r>
      <w:r w:rsidR="00B4183B" w:rsidRPr="00F42A2D">
        <w:t xml:space="preserve">dos Santos </w:t>
      </w:r>
      <w:r w:rsidR="00B4183B" w:rsidRPr="00F42A2D">
        <w:rPr>
          <w:i/>
          <w:iCs/>
        </w:rPr>
        <w:t xml:space="preserve">et al., </w:t>
      </w:r>
      <w:r w:rsidR="00B4183B" w:rsidRPr="00F42A2D">
        <w:t xml:space="preserve">2014; </w:t>
      </w:r>
      <w:r w:rsidR="00CC0C5B" w:rsidRPr="00F42A2D">
        <w:t>Lunkes y Hashizume, 2014; Mettler y Weibel, 2018)</w:t>
      </w:r>
      <w:r w:rsidRPr="00F42A2D">
        <w:t>.</w:t>
      </w:r>
    </w:p>
    <w:p w14:paraId="1DB4410E" w14:textId="553F5183" w:rsidR="00D538B7" w:rsidRPr="00F42A2D" w:rsidRDefault="00287907" w:rsidP="00E327B7">
      <w:pPr>
        <w:spacing w:line="360" w:lineRule="auto"/>
        <w:ind w:firstLine="708"/>
        <w:jc w:val="both"/>
      </w:pPr>
      <w:r w:rsidRPr="00F42A2D">
        <w:t>Se requiere continuar con el estudio del método para probar su pertinencia y eficacia como método alternativo para determinar la acidez total y titulable de muestras comerciales a las que se desea conocer estos parámetros como criterio de calidad</w:t>
      </w:r>
      <w:r w:rsidR="00EA6375" w:rsidRPr="00F42A2D">
        <w:t>. Asimismo</w:t>
      </w:r>
      <w:r w:rsidRPr="00F42A2D">
        <w:t xml:space="preserve">, comparar los resultados obtenidos con los conseguidos </w:t>
      </w:r>
      <w:r w:rsidR="00EA6375" w:rsidRPr="00F42A2D">
        <w:t>a través de los</w:t>
      </w:r>
      <w:r w:rsidRPr="00F42A2D">
        <w:t xml:space="preserve"> métodos oficiales permite conocer su utilidad analítica y validarlo científicamente, por ello debe realizarse su caracterización como método analítica, especialmente en la determinación de su exactitud, precisión, repetibilidad y reproducibilidad</w:t>
      </w:r>
      <w:r w:rsidR="00CC0C5B" w:rsidRPr="00F42A2D">
        <w:t xml:space="preserve"> (</w:t>
      </w:r>
      <w:r w:rsidR="008259E4" w:rsidRPr="00F42A2D">
        <w:t>Adiba</w:t>
      </w:r>
      <w:r w:rsidR="008259E4" w:rsidRPr="00F42A2D" w:rsidDel="008259E4">
        <w:t xml:space="preserve"> </w:t>
      </w:r>
      <w:r w:rsidR="00CC0C5B" w:rsidRPr="00F42A2D">
        <w:rPr>
          <w:i/>
          <w:iCs/>
        </w:rPr>
        <w:t>et al</w:t>
      </w:r>
      <w:r w:rsidR="008259E4" w:rsidRPr="00F42A2D">
        <w:rPr>
          <w:i/>
          <w:iCs/>
        </w:rPr>
        <w:t>.</w:t>
      </w:r>
      <w:r w:rsidR="00CC0C5B" w:rsidRPr="00F42A2D">
        <w:rPr>
          <w:i/>
          <w:iCs/>
        </w:rPr>
        <w:t xml:space="preserve">, </w:t>
      </w:r>
      <w:r w:rsidR="00CC0C5B" w:rsidRPr="00F42A2D">
        <w:t>2018</w:t>
      </w:r>
      <w:r w:rsidR="006C0DC8" w:rsidRPr="00F42A2D">
        <w:t xml:space="preserve">; Marín </w:t>
      </w:r>
      <w:r w:rsidR="006C0DC8" w:rsidRPr="00F42A2D">
        <w:rPr>
          <w:i/>
          <w:iCs/>
        </w:rPr>
        <w:t xml:space="preserve">et al., </w:t>
      </w:r>
      <w:r w:rsidR="006C0DC8" w:rsidRPr="00F42A2D">
        <w:t>2014</w:t>
      </w:r>
      <w:r w:rsidR="00CC0C5B" w:rsidRPr="00F42A2D">
        <w:t>).</w:t>
      </w:r>
    </w:p>
    <w:p w14:paraId="5BECDC4C" w14:textId="77777777" w:rsidR="00CA1EF2" w:rsidRPr="00F42A2D" w:rsidRDefault="00CA1EF2" w:rsidP="00FC2758">
      <w:pPr>
        <w:spacing w:line="360" w:lineRule="auto"/>
        <w:jc w:val="both"/>
        <w:rPr>
          <w:sz w:val="20"/>
          <w:szCs w:val="20"/>
        </w:rPr>
      </w:pPr>
    </w:p>
    <w:p w14:paraId="28CC4519" w14:textId="77777777" w:rsidR="00CA1EF2" w:rsidRPr="00F42A2D" w:rsidRDefault="00CA1EF2" w:rsidP="00F42A2D">
      <w:pPr>
        <w:spacing w:line="360" w:lineRule="auto"/>
        <w:jc w:val="center"/>
        <w:rPr>
          <w:b/>
          <w:sz w:val="32"/>
          <w:szCs w:val="32"/>
        </w:rPr>
      </w:pPr>
      <w:r w:rsidRPr="00F42A2D">
        <w:rPr>
          <w:b/>
          <w:sz w:val="32"/>
          <w:szCs w:val="32"/>
        </w:rPr>
        <w:t>Conclusión</w:t>
      </w:r>
    </w:p>
    <w:p w14:paraId="3806A0D3" w14:textId="2D1470FF" w:rsidR="00CA1EF2" w:rsidRPr="00F42A2D" w:rsidRDefault="00CA1EF2" w:rsidP="00717AC5">
      <w:pPr>
        <w:spacing w:line="360" w:lineRule="auto"/>
        <w:ind w:firstLine="708"/>
        <w:jc w:val="both"/>
      </w:pPr>
      <w:r w:rsidRPr="00F42A2D">
        <w:t xml:space="preserve">La técnica potenciométrica a microescala desarrollada fue satisfactoria porque con ella se determinó la acidez titulable de muestras de té con una correlación </w:t>
      </w:r>
      <w:r w:rsidR="006C0DC8" w:rsidRPr="00F42A2D">
        <w:t xml:space="preserve">adecuada </w:t>
      </w:r>
      <w:r w:rsidRPr="00F42A2D">
        <w:t>con los valores obtenidos por el método recomendado y con una mayor precisión</w:t>
      </w:r>
      <w:r w:rsidR="00892813" w:rsidRPr="00F42A2D">
        <w:t>.</w:t>
      </w:r>
      <w:r w:rsidR="00BC626D" w:rsidRPr="00F42A2D">
        <w:t xml:space="preserve"> </w:t>
      </w:r>
      <w:r w:rsidR="00892813" w:rsidRPr="00F42A2D">
        <w:t>E</w:t>
      </w:r>
      <w:r w:rsidR="00BC626D" w:rsidRPr="00F42A2D">
        <w:t>ste método a microescala puede emplearse adecuadamente en los laboratorios de prácticas de asignaturas como análisis de alimentos, análisis instrumental o química de productos naturales</w:t>
      </w:r>
      <w:r w:rsidRPr="00F42A2D">
        <w:t>.</w:t>
      </w:r>
    </w:p>
    <w:p w14:paraId="126ECA58" w14:textId="77777777" w:rsidR="00717AC5" w:rsidRPr="00F42A2D" w:rsidRDefault="00717AC5" w:rsidP="00E327B7">
      <w:pPr>
        <w:spacing w:line="360" w:lineRule="auto"/>
        <w:ind w:firstLine="708"/>
        <w:jc w:val="both"/>
      </w:pPr>
    </w:p>
    <w:p w14:paraId="4702050C" w14:textId="043FA030" w:rsidR="00D538B7" w:rsidRPr="00F42A2D" w:rsidRDefault="00D538B7" w:rsidP="00F42A2D">
      <w:pPr>
        <w:spacing w:line="360" w:lineRule="auto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F42A2D">
        <w:rPr>
          <w:b/>
          <w:bCs/>
          <w:color w:val="222222"/>
          <w:sz w:val="28"/>
          <w:szCs w:val="28"/>
          <w:shd w:val="clear" w:color="auto" w:fill="FFFFFF"/>
        </w:rPr>
        <w:t xml:space="preserve">Futuras líneas de </w:t>
      </w:r>
      <w:r w:rsidR="00717AC5" w:rsidRPr="00F42A2D">
        <w:rPr>
          <w:b/>
          <w:bCs/>
          <w:color w:val="222222"/>
          <w:sz w:val="28"/>
          <w:szCs w:val="28"/>
          <w:shd w:val="clear" w:color="auto" w:fill="FFFFFF"/>
        </w:rPr>
        <w:t>investigación</w:t>
      </w:r>
    </w:p>
    <w:p w14:paraId="021FCF9B" w14:textId="17F0F1BC" w:rsidR="00D538B7" w:rsidRPr="00F42A2D" w:rsidRDefault="00D538B7" w:rsidP="00E327B7">
      <w:pPr>
        <w:spacing w:line="360" w:lineRule="auto"/>
        <w:ind w:firstLine="708"/>
        <w:jc w:val="both"/>
      </w:pPr>
      <w:r w:rsidRPr="00F42A2D">
        <w:t>De acuerdo con los resultados obtenidos en esta investigación</w:t>
      </w:r>
      <w:r w:rsidR="00892813" w:rsidRPr="00F42A2D">
        <w:t>,</w:t>
      </w:r>
      <w:r w:rsidRPr="00F42A2D">
        <w:t xml:space="preserve"> sería recomendable la evaluación del método aplicado como una práctica de laboratorio y en el análisis de muestras comerciales comparando el método propuesto con el de referencias en técnicas reconocidas oficialmente como las reportadas en la </w:t>
      </w:r>
      <w:r w:rsidR="009F1CB9" w:rsidRPr="00F42A2D">
        <w:t>n</w:t>
      </w:r>
      <w:r w:rsidR="00892813" w:rsidRPr="00F42A2D">
        <w:t xml:space="preserve">ormas </w:t>
      </w:r>
      <w:r w:rsidRPr="00F42A2D">
        <w:t>oficiales mexicanas o farmacopeas.</w:t>
      </w:r>
    </w:p>
    <w:p w14:paraId="71547DAA" w14:textId="77777777" w:rsidR="00CA1EF2" w:rsidRPr="00F42A2D" w:rsidRDefault="00CA1EF2" w:rsidP="00FC2758">
      <w:pPr>
        <w:spacing w:line="360" w:lineRule="auto"/>
        <w:jc w:val="both"/>
        <w:rPr>
          <w:sz w:val="20"/>
          <w:szCs w:val="20"/>
        </w:rPr>
      </w:pPr>
    </w:p>
    <w:p w14:paraId="4B5F38F2" w14:textId="117677CA" w:rsidR="00751C65" w:rsidRPr="00F42A2D" w:rsidRDefault="00751C65" w:rsidP="00E327B7">
      <w:pPr>
        <w:spacing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proofErr w:type="spellStart"/>
      <w:r w:rsidRPr="00F42A2D">
        <w:rPr>
          <w:rFonts w:asciiTheme="minorHAnsi" w:hAnsiTheme="minorHAnsi" w:cstheme="minorHAnsi"/>
          <w:b/>
          <w:sz w:val="28"/>
          <w:szCs w:val="28"/>
          <w:lang w:val="en-US"/>
        </w:rPr>
        <w:lastRenderedPageBreak/>
        <w:t>Referencias</w:t>
      </w:r>
      <w:proofErr w:type="spellEnd"/>
    </w:p>
    <w:p w14:paraId="210EFA93" w14:textId="1E4BBC43" w:rsidR="00AC78B0" w:rsidRPr="00F42A2D" w:rsidRDefault="00AC78B0" w:rsidP="00AC78B0">
      <w:pPr>
        <w:spacing w:line="360" w:lineRule="auto"/>
        <w:ind w:left="709" w:hanging="709"/>
        <w:jc w:val="both"/>
        <w:rPr>
          <w:lang w:val="en-US"/>
        </w:rPr>
      </w:pPr>
      <w:proofErr w:type="spellStart"/>
      <w:r w:rsidRPr="00F42A2D">
        <w:rPr>
          <w:lang w:val="en-US"/>
        </w:rPr>
        <w:t>Adiba</w:t>
      </w:r>
      <w:proofErr w:type="spellEnd"/>
      <w:r w:rsidRPr="00F42A2D">
        <w:rPr>
          <w:lang w:val="en-US"/>
        </w:rPr>
        <w:t>, R. P., Rabia, F. K. and Anwar, A. (2018). Variations in Physiochemical Properties of Infusion Extracts of Commercially Available Tea Bag Samples.</w:t>
      </w:r>
      <w:r w:rsidRPr="00F42A2D">
        <w:rPr>
          <w:i/>
          <w:iCs/>
          <w:lang w:val="en-US"/>
        </w:rPr>
        <w:t xml:space="preserve"> </w:t>
      </w:r>
      <w:proofErr w:type="spellStart"/>
      <w:r w:rsidRPr="00F42A2D">
        <w:rPr>
          <w:i/>
          <w:iCs/>
          <w:lang w:val="en-US"/>
        </w:rPr>
        <w:t>Fuuast</w:t>
      </w:r>
      <w:proofErr w:type="spellEnd"/>
      <w:r w:rsidRPr="00F42A2D">
        <w:rPr>
          <w:i/>
          <w:iCs/>
          <w:lang w:val="en-US"/>
        </w:rPr>
        <w:t xml:space="preserve"> Journal of Biology, 8</w:t>
      </w:r>
      <w:r w:rsidRPr="00F42A2D">
        <w:rPr>
          <w:lang w:val="en-US"/>
        </w:rPr>
        <w:t>(1), 147-152</w:t>
      </w:r>
    </w:p>
    <w:p w14:paraId="1B14BB32" w14:textId="41C54F9B" w:rsidR="00016963" w:rsidRPr="00F42A2D" w:rsidRDefault="00016963" w:rsidP="00717AC5">
      <w:pPr>
        <w:spacing w:line="360" w:lineRule="auto"/>
        <w:ind w:left="709" w:hanging="709"/>
        <w:jc w:val="both"/>
        <w:rPr>
          <w:color w:val="000000"/>
        </w:rPr>
      </w:pPr>
      <w:proofErr w:type="spellStart"/>
      <w:r w:rsidRPr="00D71CC0">
        <w:rPr>
          <w:color w:val="000000"/>
          <w:lang w:val="en-US"/>
        </w:rPr>
        <w:t>Alarcón</w:t>
      </w:r>
      <w:proofErr w:type="spellEnd"/>
      <w:r w:rsidRPr="00D71CC0">
        <w:rPr>
          <w:color w:val="000000"/>
          <w:lang w:val="en-US"/>
        </w:rPr>
        <w:t xml:space="preserve">, </w:t>
      </w:r>
      <w:r w:rsidR="00523A2B" w:rsidRPr="00D71CC0">
        <w:rPr>
          <w:color w:val="000000"/>
          <w:lang w:val="en-US"/>
        </w:rPr>
        <w:t>A.</w:t>
      </w:r>
      <w:r w:rsidRPr="00D71CC0">
        <w:rPr>
          <w:color w:val="000000"/>
          <w:lang w:val="en-US"/>
        </w:rPr>
        <w:t xml:space="preserve">, Barreiro, </w:t>
      </w:r>
      <w:r w:rsidR="00523A2B" w:rsidRPr="00D71CC0">
        <w:rPr>
          <w:color w:val="000000"/>
          <w:lang w:val="en-US"/>
        </w:rPr>
        <w:t>P.</w:t>
      </w:r>
      <w:r w:rsidRPr="00D71CC0">
        <w:rPr>
          <w:color w:val="000000"/>
          <w:lang w:val="en-US"/>
        </w:rPr>
        <w:t xml:space="preserve">, </w:t>
      </w:r>
      <w:proofErr w:type="spellStart"/>
      <w:r w:rsidRPr="00D71CC0">
        <w:rPr>
          <w:color w:val="000000"/>
          <w:lang w:val="en-US"/>
        </w:rPr>
        <w:t>Boicet</w:t>
      </w:r>
      <w:proofErr w:type="spellEnd"/>
      <w:r w:rsidRPr="00D71CC0">
        <w:rPr>
          <w:color w:val="000000"/>
          <w:lang w:val="en-US"/>
        </w:rPr>
        <w:t xml:space="preserve">, </w:t>
      </w:r>
      <w:r w:rsidR="00523A2B" w:rsidRPr="00D71CC0">
        <w:rPr>
          <w:color w:val="000000"/>
          <w:lang w:val="en-US"/>
        </w:rPr>
        <w:t>T.</w:t>
      </w:r>
      <w:r w:rsidRPr="00D71CC0">
        <w:rPr>
          <w:color w:val="000000"/>
          <w:lang w:val="en-US"/>
        </w:rPr>
        <w:t xml:space="preserve">, Ramos, </w:t>
      </w:r>
      <w:r w:rsidR="00523A2B" w:rsidRPr="00D71CC0">
        <w:rPr>
          <w:color w:val="000000"/>
          <w:lang w:val="en-US"/>
        </w:rPr>
        <w:t>M. y</w:t>
      </w:r>
      <w:r w:rsidRPr="00D71CC0">
        <w:rPr>
          <w:color w:val="000000"/>
          <w:lang w:val="en-US"/>
        </w:rPr>
        <w:t xml:space="preserve"> Morales, </w:t>
      </w:r>
      <w:r w:rsidR="00523A2B" w:rsidRPr="00D71CC0">
        <w:rPr>
          <w:color w:val="000000"/>
          <w:lang w:val="en-US"/>
        </w:rPr>
        <w:t>J. A</w:t>
      </w:r>
      <w:r w:rsidRPr="00D71CC0">
        <w:rPr>
          <w:color w:val="000000"/>
          <w:lang w:val="en-US"/>
        </w:rPr>
        <w:t xml:space="preserve">. (2018). </w:t>
      </w:r>
      <w:r w:rsidRPr="00F42A2D">
        <w:rPr>
          <w:color w:val="000000"/>
        </w:rPr>
        <w:t>Influencia de ácidos húmicos en indicadores bioquímicos y físico-químicos de la calidad del tomate.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>Revista Cubana de Química</w:t>
      </w:r>
      <w:r w:rsidRPr="00F42A2D">
        <w:rPr>
          <w:color w:val="000000"/>
        </w:rPr>
        <w:t>,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>30</w:t>
      </w:r>
      <w:r w:rsidRPr="00F42A2D">
        <w:rPr>
          <w:color w:val="000000"/>
        </w:rPr>
        <w:t>(2), 243-255.</w:t>
      </w:r>
    </w:p>
    <w:p w14:paraId="055E1C99" w14:textId="39A837FD" w:rsidR="00016963" w:rsidRPr="00F42A2D" w:rsidRDefault="00016963" w:rsidP="00717AC5">
      <w:pPr>
        <w:spacing w:line="360" w:lineRule="auto"/>
        <w:ind w:left="709" w:hanging="709"/>
        <w:jc w:val="both"/>
        <w:rPr>
          <w:color w:val="000000"/>
        </w:rPr>
      </w:pPr>
      <w:r w:rsidRPr="00F42A2D">
        <w:rPr>
          <w:color w:val="000000"/>
        </w:rPr>
        <w:t xml:space="preserve">Beretta, </w:t>
      </w:r>
      <w:r w:rsidR="00523A2B" w:rsidRPr="00F42A2D">
        <w:rPr>
          <w:color w:val="000000"/>
        </w:rPr>
        <w:t>A. N.</w:t>
      </w:r>
      <w:r w:rsidRPr="00F42A2D">
        <w:rPr>
          <w:color w:val="000000"/>
        </w:rPr>
        <w:t xml:space="preserve">, Bassahun, </w:t>
      </w:r>
      <w:r w:rsidR="00523A2B" w:rsidRPr="00F42A2D">
        <w:rPr>
          <w:color w:val="000000"/>
        </w:rPr>
        <w:t>D.</w:t>
      </w:r>
      <w:r w:rsidRPr="00F42A2D">
        <w:rPr>
          <w:color w:val="000000"/>
        </w:rPr>
        <w:t xml:space="preserve">, Torres, </w:t>
      </w:r>
      <w:r w:rsidR="00523A2B" w:rsidRPr="00F42A2D">
        <w:rPr>
          <w:color w:val="000000"/>
        </w:rPr>
        <w:t>D.</w:t>
      </w:r>
      <w:r w:rsidRPr="00F42A2D">
        <w:rPr>
          <w:color w:val="000000"/>
        </w:rPr>
        <w:t xml:space="preserve">, Musselli, </w:t>
      </w:r>
      <w:r w:rsidR="00523A2B" w:rsidRPr="00F42A2D">
        <w:rPr>
          <w:color w:val="000000"/>
        </w:rPr>
        <w:t>R. y</w:t>
      </w:r>
      <w:r w:rsidRPr="00F42A2D">
        <w:rPr>
          <w:color w:val="000000"/>
        </w:rPr>
        <w:t xml:space="preserve"> García, </w:t>
      </w:r>
      <w:r w:rsidR="00523A2B" w:rsidRPr="00F42A2D">
        <w:rPr>
          <w:color w:val="000000"/>
        </w:rPr>
        <w:t>L</w:t>
      </w:r>
      <w:r w:rsidRPr="00F42A2D">
        <w:rPr>
          <w:color w:val="000000"/>
        </w:rPr>
        <w:t>. (2017). Acidez titulable a pH = 7 estimada a partir del pH de una mezcla suelo:buffer.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>Agrociencia Uruguay</w:t>
      </w:r>
      <w:r w:rsidRPr="00F42A2D">
        <w:rPr>
          <w:color w:val="000000"/>
        </w:rPr>
        <w:t>,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>21</w:t>
      </w:r>
      <w:r w:rsidRPr="00F42A2D">
        <w:rPr>
          <w:color w:val="000000"/>
        </w:rPr>
        <w:t>(1), 105-108.</w:t>
      </w:r>
    </w:p>
    <w:p w14:paraId="067BCC3D" w14:textId="3D3B4B7C" w:rsidR="00016963" w:rsidRPr="00F42A2D" w:rsidRDefault="00016963" w:rsidP="00717AC5">
      <w:pPr>
        <w:spacing w:line="360" w:lineRule="auto"/>
        <w:ind w:left="709" w:hanging="709"/>
        <w:jc w:val="both"/>
        <w:rPr>
          <w:color w:val="000000"/>
        </w:rPr>
      </w:pPr>
      <w:r w:rsidRPr="00F42A2D">
        <w:rPr>
          <w:color w:val="000000"/>
        </w:rPr>
        <w:t xml:space="preserve">Cáñez, </w:t>
      </w:r>
      <w:r w:rsidR="00F00AED" w:rsidRPr="00F42A2D">
        <w:rPr>
          <w:color w:val="000000"/>
        </w:rPr>
        <w:t>M. G.</w:t>
      </w:r>
      <w:r w:rsidRPr="00F42A2D">
        <w:rPr>
          <w:color w:val="000000"/>
        </w:rPr>
        <w:t xml:space="preserve">, García, </w:t>
      </w:r>
      <w:r w:rsidR="00F00AED" w:rsidRPr="00F42A2D">
        <w:rPr>
          <w:color w:val="000000"/>
        </w:rPr>
        <w:t>A. M.</w:t>
      </w:r>
      <w:r w:rsidRPr="00F42A2D">
        <w:rPr>
          <w:color w:val="000000"/>
        </w:rPr>
        <w:t xml:space="preserve">, Bernal, </w:t>
      </w:r>
      <w:r w:rsidR="00F00AED" w:rsidRPr="00F42A2D">
        <w:rPr>
          <w:color w:val="000000"/>
        </w:rPr>
        <w:t>A. T.</w:t>
      </w:r>
      <w:r w:rsidRPr="00F42A2D">
        <w:rPr>
          <w:color w:val="000000"/>
        </w:rPr>
        <w:t xml:space="preserve">, Federico, </w:t>
      </w:r>
      <w:r w:rsidR="00F00AED" w:rsidRPr="00F42A2D">
        <w:rPr>
          <w:color w:val="000000"/>
        </w:rPr>
        <w:t>R. A. y</w:t>
      </w:r>
      <w:r w:rsidRPr="00F42A2D">
        <w:rPr>
          <w:color w:val="000000"/>
        </w:rPr>
        <w:t xml:space="preserve"> Wicochea, </w:t>
      </w:r>
      <w:r w:rsidR="00F00AED" w:rsidRPr="00F42A2D">
        <w:rPr>
          <w:color w:val="000000"/>
        </w:rPr>
        <w:t>J. D.</w:t>
      </w:r>
      <w:r w:rsidRPr="00F42A2D">
        <w:rPr>
          <w:color w:val="000000"/>
        </w:rPr>
        <w:t xml:space="preserve"> (2011). Conductimetría y titulaciones: ¿cuándo, por qué y para qué?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 xml:space="preserve">Educación </w:t>
      </w:r>
      <w:r w:rsidR="00F00AED" w:rsidRPr="00F42A2D">
        <w:rPr>
          <w:i/>
          <w:iCs/>
          <w:color w:val="000000"/>
        </w:rPr>
        <w:t>Química</w:t>
      </w:r>
      <w:r w:rsidRPr="00F42A2D">
        <w:rPr>
          <w:color w:val="000000"/>
        </w:rPr>
        <w:t>,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>22</w:t>
      </w:r>
      <w:r w:rsidRPr="00F42A2D">
        <w:rPr>
          <w:color w:val="000000"/>
        </w:rPr>
        <w:t>(2), 166-169.</w:t>
      </w:r>
    </w:p>
    <w:p w14:paraId="5656EB8B" w14:textId="563F70E4" w:rsidR="00016963" w:rsidRPr="00F42A2D" w:rsidRDefault="00016963" w:rsidP="00717AC5">
      <w:pPr>
        <w:spacing w:line="360" w:lineRule="auto"/>
        <w:ind w:left="709" w:hanging="709"/>
        <w:jc w:val="both"/>
      </w:pPr>
      <w:proofErr w:type="spellStart"/>
      <w:r w:rsidRPr="00F42A2D">
        <w:rPr>
          <w:lang w:val="en-US"/>
        </w:rPr>
        <w:t>Dornelles</w:t>
      </w:r>
      <w:proofErr w:type="spellEnd"/>
      <w:r w:rsidRPr="00F42A2D">
        <w:rPr>
          <w:lang w:val="en-US"/>
        </w:rPr>
        <w:t xml:space="preserve">, L. </w:t>
      </w:r>
      <w:r w:rsidR="00AF596F" w:rsidRPr="00F42A2D">
        <w:rPr>
          <w:lang w:val="en-US"/>
        </w:rPr>
        <w:t>and</w:t>
      </w:r>
      <w:r w:rsidRPr="00F42A2D">
        <w:rPr>
          <w:lang w:val="en-US"/>
        </w:rPr>
        <w:t xml:space="preserve"> Porto, G. (2014). Correlation between antioxidant activity and total phenolic content with physicochemical parameters of blended extracts of </w:t>
      </w:r>
      <w:r w:rsidRPr="00F42A2D">
        <w:rPr>
          <w:i/>
          <w:iCs/>
          <w:lang w:val="en-US"/>
        </w:rPr>
        <w:t>Camellia sinensis</w:t>
      </w:r>
      <w:r w:rsidRPr="00F42A2D">
        <w:rPr>
          <w:lang w:val="en-US"/>
        </w:rPr>
        <w:t xml:space="preserve">. </w:t>
      </w:r>
      <w:r w:rsidRPr="00F42A2D">
        <w:rPr>
          <w:i/>
          <w:iCs/>
        </w:rPr>
        <w:t>Acta Scientiarum. Health Sciences</w:t>
      </w:r>
      <w:r w:rsidRPr="00F42A2D">
        <w:t xml:space="preserve">, </w:t>
      </w:r>
      <w:r w:rsidRPr="00F42A2D">
        <w:rPr>
          <w:i/>
          <w:iCs/>
        </w:rPr>
        <w:t>36</w:t>
      </w:r>
      <w:r w:rsidRPr="00F42A2D">
        <w:t>(1), 97-103</w:t>
      </w:r>
      <w:r w:rsidR="0014666D" w:rsidRPr="00F42A2D">
        <w:t xml:space="preserve">. </w:t>
      </w:r>
    </w:p>
    <w:p w14:paraId="1E35D68D" w14:textId="77777777" w:rsidR="00AC78B0" w:rsidRPr="00D71CC0" w:rsidRDefault="00AC78B0" w:rsidP="00AC78B0">
      <w:pPr>
        <w:spacing w:line="360" w:lineRule="auto"/>
        <w:ind w:left="709" w:hanging="709"/>
        <w:jc w:val="both"/>
        <w:rPr>
          <w:lang w:val="en-US"/>
        </w:rPr>
      </w:pPr>
      <w:r w:rsidRPr="00F42A2D">
        <w:t>dos Santos, U., dos Santos, B., da Silva, G. F., Constant, P. e Belmino, J. A. (2014). Avaliação de potencial de ervas medicinais: Capim-limão (</w:t>
      </w:r>
      <w:r w:rsidRPr="00F42A2D">
        <w:rPr>
          <w:i/>
          <w:iCs/>
        </w:rPr>
        <w:t>Cymbopogon citratus</w:t>
      </w:r>
      <w:r w:rsidRPr="00F42A2D">
        <w:t xml:space="preserve"> D.C.), Chá verde (</w:t>
      </w:r>
      <w:r w:rsidRPr="00F42A2D">
        <w:rPr>
          <w:i/>
          <w:iCs/>
        </w:rPr>
        <w:t>Camellia Sinensis</w:t>
      </w:r>
      <w:r w:rsidRPr="00F42A2D">
        <w:t xml:space="preserve"> L.) E hibisco (</w:t>
      </w:r>
      <w:r w:rsidRPr="00F42A2D">
        <w:rPr>
          <w:i/>
          <w:iCs/>
        </w:rPr>
        <w:t>Hibiscus sabdariffa</w:t>
      </w:r>
      <w:r w:rsidRPr="00F42A2D">
        <w:t xml:space="preserve"> L.) para obtenção de chás solúveis. </w:t>
      </w:r>
      <w:proofErr w:type="spellStart"/>
      <w:r w:rsidRPr="00D71CC0">
        <w:rPr>
          <w:i/>
          <w:iCs/>
          <w:lang w:val="en-US"/>
        </w:rPr>
        <w:t>Revista</w:t>
      </w:r>
      <w:proofErr w:type="spellEnd"/>
      <w:r w:rsidRPr="00D71CC0">
        <w:rPr>
          <w:i/>
          <w:iCs/>
          <w:lang w:val="en-US"/>
        </w:rPr>
        <w:t xml:space="preserve"> </w:t>
      </w:r>
      <w:proofErr w:type="spellStart"/>
      <w:r w:rsidRPr="00D71CC0">
        <w:rPr>
          <w:i/>
          <w:iCs/>
          <w:lang w:val="en-US"/>
        </w:rPr>
        <w:t>Geintec</w:t>
      </w:r>
      <w:proofErr w:type="spellEnd"/>
      <w:r w:rsidRPr="00D71CC0">
        <w:rPr>
          <w:i/>
          <w:iCs/>
          <w:lang w:val="en-US"/>
        </w:rPr>
        <w:t>, 4</w:t>
      </w:r>
      <w:r w:rsidRPr="00D71CC0">
        <w:rPr>
          <w:lang w:val="en-US"/>
        </w:rPr>
        <w:t>(4), 1399-1408.</w:t>
      </w:r>
    </w:p>
    <w:p w14:paraId="5F9713DA" w14:textId="47589CCF" w:rsidR="00016963" w:rsidRPr="00F42A2D" w:rsidRDefault="00016963" w:rsidP="00717AC5">
      <w:pPr>
        <w:spacing w:line="360" w:lineRule="auto"/>
        <w:ind w:left="709" w:hanging="709"/>
        <w:jc w:val="both"/>
        <w:rPr>
          <w:lang w:val="en-US"/>
        </w:rPr>
      </w:pPr>
      <w:r w:rsidRPr="00F42A2D">
        <w:rPr>
          <w:lang w:val="en-US"/>
        </w:rPr>
        <w:t xml:space="preserve">Friedman, M., Levin, C., Lee, S. </w:t>
      </w:r>
      <w:r w:rsidR="00484CF8" w:rsidRPr="00F42A2D">
        <w:rPr>
          <w:lang w:val="en-US"/>
        </w:rPr>
        <w:t xml:space="preserve">and </w:t>
      </w:r>
      <w:proofErr w:type="spellStart"/>
      <w:r w:rsidRPr="00F42A2D">
        <w:rPr>
          <w:lang w:val="en-US"/>
        </w:rPr>
        <w:t>Kozukue</w:t>
      </w:r>
      <w:proofErr w:type="spellEnd"/>
      <w:r w:rsidRPr="00F42A2D">
        <w:rPr>
          <w:lang w:val="en-US"/>
        </w:rPr>
        <w:t xml:space="preserve">, N. (2009). Stability of </w:t>
      </w:r>
      <w:r w:rsidR="00231137" w:rsidRPr="00F42A2D">
        <w:rPr>
          <w:lang w:val="en-US"/>
        </w:rPr>
        <w:t>Green Tea Catechins in Commercial Tea Leaves During Storage for 6 Month</w:t>
      </w:r>
      <w:r w:rsidRPr="00F42A2D">
        <w:rPr>
          <w:lang w:val="en-US"/>
        </w:rPr>
        <w:t xml:space="preserve">s. </w:t>
      </w:r>
      <w:r w:rsidR="00231137" w:rsidRPr="00F42A2D">
        <w:rPr>
          <w:i/>
          <w:iCs/>
          <w:lang w:val="en-US"/>
        </w:rPr>
        <w:t>Journal of Food Science</w:t>
      </w:r>
      <w:r w:rsidRPr="00F42A2D">
        <w:rPr>
          <w:i/>
          <w:iCs/>
          <w:lang w:val="en-US"/>
        </w:rPr>
        <w:t>, 74</w:t>
      </w:r>
      <w:r w:rsidRPr="00F42A2D">
        <w:rPr>
          <w:lang w:val="en-US"/>
        </w:rPr>
        <w:t>(2), 47-51.</w:t>
      </w:r>
    </w:p>
    <w:p w14:paraId="41E182AA" w14:textId="5326F5AA" w:rsidR="00016963" w:rsidRPr="00F42A2D" w:rsidRDefault="00016963" w:rsidP="00717AC5">
      <w:pPr>
        <w:spacing w:line="360" w:lineRule="auto"/>
        <w:ind w:left="709" w:hanging="709"/>
        <w:jc w:val="both"/>
      </w:pPr>
      <w:proofErr w:type="spellStart"/>
      <w:r w:rsidRPr="00F42A2D">
        <w:rPr>
          <w:lang w:val="en-US"/>
        </w:rPr>
        <w:t>Lunkes</w:t>
      </w:r>
      <w:proofErr w:type="spellEnd"/>
      <w:r w:rsidR="000F4498" w:rsidRPr="00F42A2D">
        <w:rPr>
          <w:lang w:val="en-US"/>
        </w:rPr>
        <w:t>,</w:t>
      </w:r>
      <w:r w:rsidRPr="00F42A2D">
        <w:rPr>
          <w:lang w:val="en-US"/>
        </w:rPr>
        <w:t xml:space="preserve"> F.</w:t>
      </w:r>
      <w:r w:rsidR="000F4498" w:rsidRPr="00F42A2D">
        <w:rPr>
          <w:lang w:val="en-US"/>
        </w:rPr>
        <w:t xml:space="preserve"> and</w:t>
      </w:r>
      <w:r w:rsidRPr="00F42A2D">
        <w:rPr>
          <w:lang w:val="en-US"/>
        </w:rPr>
        <w:t xml:space="preserve"> </w:t>
      </w:r>
      <w:proofErr w:type="spellStart"/>
      <w:r w:rsidRPr="00F42A2D">
        <w:rPr>
          <w:lang w:val="en-US"/>
        </w:rPr>
        <w:t>Hashizume</w:t>
      </w:r>
      <w:proofErr w:type="spellEnd"/>
      <w:r w:rsidRPr="00F42A2D">
        <w:rPr>
          <w:lang w:val="en-US"/>
        </w:rPr>
        <w:t>, L.</w:t>
      </w:r>
      <w:r w:rsidR="000F4498" w:rsidRPr="00F42A2D">
        <w:rPr>
          <w:lang w:val="en-US"/>
        </w:rPr>
        <w:t xml:space="preserve"> </w:t>
      </w:r>
      <w:r w:rsidRPr="00F42A2D">
        <w:rPr>
          <w:lang w:val="en-US"/>
        </w:rPr>
        <w:t xml:space="preserve">N. (2014). Evaluation of the pH and titratable acidity of teas commercially available in Brazilian market. </w:t>
      </w:r>
      <w:r w:rsidRPr="00F42A2D">
        <w:rPr>
          <w:i/>
          <w:iCs/>
        </w:rPr>
        <w:t>Gaúcha de Odontologia, 62</w:t>
      </w:r>
      <w:r w:rsidRPr="00F42A2D">
        <w:t>(1), 59-64.</w:t>
      </w:r>
    </w:p>
    <w:p w14:paraId="035E7FE4" w14:textId="0E3DE046" w:rsidR="00016963" w:rsidRPr="00F42A2D" w:rsidRDefault="00016963" w:rsidP="00717AC5">
      <w:pPr>
        <w:spacing w:line="360" w:lineRule="auto"/>
        <w:ind w:left="709" w:hanging="709"/>
        <w:jc w:val="both"/>
        <w:rPr>
          <w:color w:val="000000"/>
        </w:rPr>
      </w:pPr>
      <w:r w:rsidRPr="00F42A2D">
        <w:rPr>
          <w:color w:val="000000"/>
        </w:rPr>
        <w:t xml:space="preserve">Mansilla, </w:t>
      </w:r>
      <w:r w:rsidR="005D4A70" w:rsidRPr="00F42A2D">
        <w:rPr>
          <w:color w:val="000000"/>
        </w:rPr>
        <w:t xml:space="preserve">G. </w:t>
      </w:r>
      <w:r w:rsidRPr="00F42A2D">
        <w:rPr>
          <w:color w:val="000000"/>
        </w:rPr>
        <w:t>(</w:t>
      </w:r>
      <w:r w:rsidR="009F4553" w:rsidRPr="00F42A2D">
        <w:rPr>
          <w:color w:val="000000"/>
        </w:rPr>
        <w:t>201</w:t>
      </w:r>
      <w:r w:rsidR="003310E3" w:rsidRPr="00F42A2D">
        <w:rPr>
          <w:color w:val="000000"/>
        </w:rPr>
        <w:t>4</w:t>
      </w:r>
      <w:r w:rsidRPr="00F42A2D">
        <w:rPr>
          <w:color w:val="000000"/>
        </w:rPr>
        <w:t>). Potencial de hidrogeniones pH.</w:t>
      </w:r>
      <w:r w:rsidRPr="00F42A2D">
        <w:rPr>
          <w:rStyle w:val="apple-converted-space"/>
          <w:i/>
          <w:iCs/>
          <w:color w:val="000000"/>
        </w:rPr>
        <w:t> </w:t>
      </w:r>
      <w:r w:rsidR="009F4553" w:rsidRPr="00F42A2D">
        <w:rPr>
          <w:i/>
          <w:iCs/>
          <w:color w:val="000000"/>
        </w:rPr>
        <w:t>Revista de Actualización Clínica</w:t>
      </w:r>
      <w:r w:rsidR="003310E3" w:rsidRPr="00F42A2D">
        <w:rPr>
          <w:i/>
          <w:iCs/>
          <w:color w:val="000000"/>
        </w:rPr>
        <w:t xml:space="preserve"> Investiga</w:t>
      </w:r>
      <w:r w:rsidRPr="00F42A2D">
        <w:rPr>
          <w:i/>
          <w:iCs/>
          <w:color w:val="000000"/>
        </w:rPr>
        <w:t>,</w:t>
      </w:r>
      <w:r w:rsidRPr="00F42A2D">
        <w:rPr>
          <w:rStyle w:val="apple-converted-space"/>
          <w:color w:val="000000"/>
        </w:rPr>
        <w:t> </w:t>
      </w:r>
      <w:r w:rsidRPr="00F42A2D">
        <w:rPr>
          <w:color w:val="000000"/>
        </w:rPr>
        <w:t>(40), 2076-2082.</w:t>
      </w:r>
    </w:p>
    <w:p w14:paraId="5B5CEFEB" w14:textId="5C31A33D" w:rsidR="00016963" w:rsidRPr="00F42A2D" w:rsidRDefault="00016963" w:rsidP="00717AC5">
      <w:pPr>
        <w:spacing w:line="360" w:lineRule="auto"/>
        <w:ind w:left="709" w:hanging="709"/>
        <w:jc w:val="both"/>
        <w:rPr>
          <w:color w:val="000000"/>
          <w:lang w:val="en-US"/>
        </w:rPr>
      </w:pPr>
      <w:r w:rsidRPr="00F42A2D">
        <w:rPr>
          <w:color w:val="000000"/>
        </w:rPr>
        <w:t xml:space="preserve">Marín, </w:t>
      </w:r>
      <w:r w:rsidR="006D6D1A" w:rsidRPr="00F42A2D">
        <w:rPr>
          <w:color w:val="000000"/>
        </w:rPr>
        <w:t>A.</w:t>
      </w:r>
      <w:r w:rsidRPr="00F42A2D">
        <w:rPr>
          <w:color w:val="000000"/>
        </w:rPr>
        <w:t xml:space="preserve">, García, </w:t>
      </w:r>
      <w:r w:rsidR="006D6D1A" w:rsidRPr="00F42A2D">
        <w:rPr>
          <w:color w:val="000000"/>
        </w:rPr>
        <w:t>A.</w:t>
      </w:r>
      <w:r w:rsidRPr="00F42A2D">
        <w:rPr>
          <w:color w:val="000000"/>
        </w:rPr>
        <w:t xml:space="preserve">, Santiago, </w:t>
      </w:r>
      <w:r w:rsidR="006D6D1A" w:rsidRPr="00F42A2D">
        <w:rPr>
          <w:color w:val="000000"/>
        </w:rPr>
        <w:t>A. y</w:t>
      </w:r>
      <w:r w:rsidRPr="00F42A2D">
        <w:rPr>
          <w:color w:val="000000"/>
        </w:rPr>
        <w:t xml:space="preserve"> Baeza, </w:t>
      </w:r>
      <w:r w:rsidR="006D6D1A" w:rsidRPr="00F42A2D">
        <w:rPr>
          <w:color w:val="000000"/>
        </w:rPr>
        <w:t>A.</w:t>
      </w:r>
      <w:r w:rsidRPr="00F42A2D">
        <w:rPr>
          <w:color w:val="000000"/>
        </w:rPr>
        <w:t xml:space="preserve"> (2014). Diseño, construcción y caracterización de titulaciones microcoulombimétricas ácido-base con monitoreo visual y micropotencimétrico: Aproximación metrológica.</w:t>
      </w:r>
      <w:r w:rsidRPr="00F42A2D">
        <w:rPr>
          <w:rStyle w:val="apple-converted-space"/>
          <w:color w:val="000000"/>
        </w:rPr>
        <w:t> </w:t>
      </w:r>
      <w:proofErr w:type="spellStart"/>
      <w:r w:rsidRPr="00F42A2D">
        <w:rPr>
          <w:i/>
          <w:iCs/>
          <w:color w:val="000000"/>
          <w:lang w:val="en-US"/>
        </w:rPr>
        <w:t>Revista</w:t>
      </w:r>
      <w:proofErr w:type="spellEnd"/>
      <w:r w:rsidRPr="00F42A2D">
        <w:rPr>
          <w:i/>
          <w:iCs/>
          <w:color w:val="000000"/>
          <w:lang w:val="en-US"/>
        </w:rPr>
        <w:t xml:space="preserve"> Cubana de </w:t>
      </w:r>
      <w:proofErr w:type="spellStart"/>
      <w:r w:rsidRPr="00F42A2D">
        <w:rPr>
          <w:i/>
          <w:iCs/>
          <w:color w:val="000000"/>
          <w:lang w:val="en-US"/>
        </w:rPr>
        <w:t>Química</w:t>
      </w:r>
      <w:proofErr w:type="spellEnd"/>
      <w:r w:rsidRPr="00F42A2D">
        <w:rPr>
          <w:color w:val="000000"/>
          <w:lang w:val="en-US"/>
        </w:rPr>
        <w:t>,</w:t>
      </w:r>
      <w:r w:rsidRPr="00F42A2D">
        <w:rPr>
          <w:rStyle w:val="apple-converted-space"/>
          <w:color w:val="000000"/>
          <w:lang w:val="en-US"/>
        </w:rPr>
        <w:t> </w:t>
      </w:r>
      <w:r w:rsidRPr="00F42A2D">
        <w:rPr>
          <w:i/>
          <w:iCs/>
          <w:color w:val="000000"/>
          <w:lang w:val="en-US"/>
        </w:rPr>
        <w:t>26</w:t>
      </w:r>
      <w:r w:rsidRPr="00F42A2D">
        <w:rPr>
          <w:color w:val="000000"/>
          <w:lang w:val="en-US"/>
        </w:rPr>
        <w:t>(2), 126-136.</w:t>
      </w:r>
    </w:p>
    <w:p w14:paraId="176CFD04" w14:textId="4BC2F33F" w:rsidR="00016963" w:rsidRPr="00F42A2D" w:rsidRDefault="00016963" w:rsidP="00717AC5">
      <w:pPr>
        <w:spacing w:line="360" w:lineRule="auto"/>
        <w:ind w:left="709" w:hanging="709"/>
        <w:jc w:val="both"/>
      </w:pPr>
      <w:r w:rsidRPr="00F42A2D">
        <w:rPr>
          <w:lang w:val="en-US"/>
        </w:rPr>
        <w:lastRenderedPageBreak/>
        <w:t xml:space="preserve">Mettler, S. </w:t>
      </w:r>
      <w:r w:rsidR="000F4498" w:rsidRPr="00F42A2D">
        <w:rPr>
          <w:lang w:val="en-US"/>
        </w:rPr>
        <w:t>and</w:t>
      </w:r>
      <w:r w:rsidRPr="00F42A2D">
        <w:rPr>
          <w:lang w:val="en-US"/>
        </w:rPr>
        <w:t xml:space="preserve"> Weibel, E. (2018). Osmolality, pH, and titratable acidity of sports drinks on the Swiss market. </w:t>
      </w:r>
      <w:r w:rsidRPr="00F42A2D">
        <w:rPr>
          <w:i/>
          <w:iCs/>
        </w:rPr>
        <w:t>Swiss Sports &amp; Exercise Medicine, 66</w:t>
      </w:r>
      <w:r w:rsidRPr="00F42A2D">
        <w:t>(4), 56</w:t>
      </w:r>
      <w:r w:rsidR="000F4498" w:rsidRPr="00F42A2D">
        <w:t>-</w:t>
      </w:r>
      <w:r w:rsidRPr="00F42A2D">
        <w:t>63.</w:t>
      </w:r>
    </w:p>
    <w:p w14:paraId="4B33327B" w14:textId="6620B0A9" w:rsidR="00016963" w:rsidRPr="00F42A2D" w:rsidRDefault="00016963" w:rsidP="00717AC5">
      <w:pPr>
        <w:spacing w:line="360" w:lineRule="auto"/>
        <w:ind w:left="709" w:hanging="709"/>
        <w:jc w:val="both"/>
        <w:rPr>
          <w:color w:val="000000"/>
        </w:rPr>
      </w:pPr>
      <w:r w:rsidRPr="00F42A2D">
        <w:rPr>
          <w:color w:val="000000"/>
        </w:rPr>
        <w:t xml:space="preserve">Morales, </w:t>
      </w:r>
      <w:r w:rsidR="00EF7E5E" w:rsidRPr="00F42A2D">
        <w:rPr>
          <w:color w:val="000000"/>
        </w:rPr>
        <w:t xml:space="preserve">L. </w:t>
      </w:r>
      <w:r w:rsidRPr="00F42A2D">
        <w:rPr>
          <w:color w:val="000000"/>
        </w:rPr>
        <w:t xml:space="preserve">V., González, </w:t>
      </w:r>
      <w:r w:rsidR="00EF7E5E" w:rsidRPr="00F42A2D">
        <w:rPr>
          <w:color w:val="000000"/>
        </w:rPr>
        <w:t xml:space="preserve">I. </w:t>
      </w:r>
      <w:r w:rsidRPr="00F42A2D">
        <w:rPr>
          <w:color w:val="000000"/>
        </w:rPr>
        <w:t xml:space="preserve">A., Abella, </w:t>
      </w:r>
      <w:r w:rsidR="00EF7E5E" w:rsidRPr="00F42A2D">
        <w:rPr>
          <w:color w:val="000000"/>
        </w:rPr>
        <w:t xml:space="preserve">J. </w:t>
      </w:r>
      <w:r w:rsidRPr="00F42A2D">
        <w:rPr>
          <w:color w:val="000000"/>
        </w:rPr>
        <w:t>P.</w:t>
      </w:r>
      <w:r w:rsidR="00EF7E5E" w:rsidRPr="00F42A2D">
        <w:rPr>
          <w:color w:val="000000"/>
        </w:rPr>
        <w:t xml:space="preserve"> y</w:t>
      </w:r>
      <w:r w:rsidRPr="00F42A2D">
        <w:rPr>
          <w:color w:val="000000"/>
        </w:rPr>
        <w:t xml:space="preserve"> Ahumada, </w:t>
      </w:r>
      <w:r w:rsidR="00EF7E5E" w:rsidRPr="00F42A2D">
        <w:rPr>
          <w:color w:val="000000"/>
        </w:rPr>
        <w:t xml:space="preserve">D. </w:t>
      </w:r>
      <w:r w:rsidRPr="00F42A2D">
        <w:rPr>
          <w:color w:val="000000"/>
        </w:rPr>
        <w:t>A. (2019). Técnicas de titulación ácido-base: consideraciones metrológicas.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>Revista Colombiana de Química</w:t>
      </w:r>
      <w:r w:rsidRPr="00F42A2D">
        <w:rPr>
          <w:color w:val="000000"/>
        </w:rPr>
        <w:t>,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>48</w:t>
      </w:r>
      <w:r w:rsidRPr="00F42A2D">
        <w:rPr>
          <w:color w:val="000000"/>
        </w:rPr>
        <w:t>(1), 26-34.</w:t>
      </w:r>
    </w:p>
    <w:p w14:paraId="06248316" w14:textId="478C5251" w:rsidR="00016963" w:rsidRPr="00D71CC0" w:rsidRDefault="00016963" w:rsidP="00717AC5">
      <w:pPr>
        <w:spacing w:line="360" w:lineRule="auto"/>
        <w:ind w:left="709" w:hanging="709"/>
        <w:jc w:val="both"/>
      </w:pPr>
      <w:r w:rsidRPr="00F42A2D">
        <w:rPr>
          <w:lang w:val="en-US"/>
        </w:rPr>
        <w:t>Morita,</w:t>
      </w:r>
      <w:r w:rsidR="00EF7E5E" w:rsidRPr="00F42A2D">
        <w:rPr>
          <w:lang w:val="en-US"/>
        </w:rPr>
        <w:t xml:space="preserve"> </w:t>
      </w:r>
      <w:r w:rsidRPr="00F42A2D">
        <w:rPr>
          <w:lang w:val="en-US"/>
        </w:rPr>
        <w:t>A., Yanagisawa,</w:t>
      </w:r>
      <w:r w:rsidR="00EF7E5E" w:rsidRPr="00F42A2D">
        <w:rPr>
          <w:lang w:val="en-US"/>
        </w:rPr>
        <w:t xml:space="preserve"> </w:t>
      </w:r>
      <w:r w:rsidRPr="00F42A2D">
        <w:rPr>
          <w:lang w:val="en-US"/>
        </w:rPr>
        <w:t>A., Maeda,</w:t>
      </w:r>
      <w:r w:rsidR="00EF7E5E" w:rsidRPr="00F42A2D">
        <w:rPr>
          <w:lang w:val="en-US"/>
        </w:rPr>
        <w:t xml:space="preserve"> </w:t>
      </w:r>
      <w:r w:rsidRPr="00F42A2D">
        <w:rPr>
          <w:lang w:val="en-US"/>
        </w:rPr>
        <w:t>S., Takatsu,</w:t>
      </w:r>
      <w:r w:rsidR="00EF7E5E" w:rsidRPr="00F42A2D">
        <w:rPr>
          <w:lang w:val="en-US"/>
        </w:rPr>
        <w:t xml:space="preserve"> </w:t>
      </w:r>
      <w:r w:rsidRPr="00F42A2D">
        <w:rPr>
          <w:lang w:val="en-US"/>
        </w:rPr>
        <w:t xml:space="preserve">S. </w:t>
      </w:r>
      <w:r w:rsidR="00EF7E5E" w:rsidRPr="00F42A2D">
        <w:rPr>
          <w:lang w:val="en-US"/>
        </w:rPr>
        <w:t>and</w:t>
      </w:r>
      <w:r w:rsidRPr="00F42A2D">
        <w:rPr>
          <w:lang w:val="en-US"/>
        </w:rPr>
        <w:t xml:space="preserve"> </w:t>
      </w:r>
      <w:proofErr w:type="spellStart"/>
      <w:r w:rsidRPr="00F42A2D">
        <w:rPr>
          <w:lang w:val="en-US"/>
        </w:rPr>
        <w:t>Ikka</w:t>
      </w:r>
      <w:proofErr w:type="spellEnd"/>
      <w:r w:rsidR="00B06198" w:rsidRPr="00F42A2D">
        <w:rPr>
          <w:lang w:val="en-US"/>
        </w:rPr>
        <w:t>,</w:t>
      </w:r>
      <w:r w:rsidRPr="00F42A2D">
        <w:rPr>
          <w:lang w:val="en-US"/>
        </w:rPr>
        <w:t xml:space="preserve"> </w:t>
      </w:r>
      <w:r w:rsidR="00B06198" w:rsidRPr="00F42A2D">
        <w:rPr>
          <w:lang w:val="en-US"/>
        </w:rPr>
        <w:t>T</w:t>
      </w:r>
      <w:r w:rsidRPr="00F42A2D">
        <w:rPr>
          <w:lang w:val="en-US"/>
        </w:rPr>
        <w:t>. (2011). Tea plant (</w:t>
      </w:r>
      <w:r w:rsidRPr="00F42A2D">
        <w:rPr>
          <w:i/>
          <w:iCs/>
          <w:lang w:val="en-US"/>
        </w:rPr>
        <w:t>Camellia</w:t>
      </w:r>
      <w:r w:rsidR="007B6ED3" w:rsidRPr="00F42A2D">
        <w:rPr>
          <w:i/>
          <w:iCs/>
          <w:lang w:val="en-US"/>
        </w:rPr>
        <w:t xml:space="preserve"> </w:t>
      </w:r>
      <w:r w:rsidRPr="00F42A2D">
        <w:rPr>
          <w:i/>
          <w:iCs/>
          <w:lang w:val="en-US"/>
        </w:rPr>
        <w:t xml:space="preserve">sinensis </w:t>
      </w:r>
      <w:r w:rsidRPr="00F42A2D">
        <w:rPr>
          <w:lang w:val="en-US"/>
        </w:rPr>
        <w:t xml:space="preserve">L.) roots secrete oxalic acid and caffeine into medium containing aluminum. </w:t>
      </w:r>
      <w:r w:rsidRPr="00D71CC0">
        <w:rPr>
          <w:i/>
          <w:iCs/>
        </w:rPr>
        <w:t>Soil Science and Plant Nutrition, 57</w:t>
      </w:r>
      <w:r w:rsidRPr="00D71CC0">
        <w:t>(6), 796-802</w:t>
      </w:r>
      <w:r w:rsidR="00EF7E5E" w:rsidRPr="00D71CC0">
        <w:t>.</w:t>
      </w:r>
    </w:p>
    <w:p w14:paraId="53C2CFEC" w14:textId="3908D9BB" w:rsidR="00016963" w:rsidRPr="00F42A2D" w:rsidRDefault="00016963" w:rsidP="00717AC5">
      <w:pPr>
        <w:spacing w:line="360" w:lineRule="auto"/>
        <w:ind w:left="709" w:hanging="709"/>
        <w:jc w:val="both"/>
      </w:pPr>
      <w:r w:rsidRPr="00F42A2D">
        <w:t>Nunes, E.</w:t>
      </w:r>
      <w:r w:rsidR="00E403B9" w:rsidRPr="00F42A2D">
        <w:t xml:space="preserve"> </w:t>
      </w:r>
      <w:r w:rsidRPr="00F42A2D">
        <w:t>N., Lemos, D.</w:t>
      </w:r>
      <w:r w:rsidR="00E403B9" w:rsidRPr="00F42A2D">
        <w:t xml:space="preserve"> </w:t>
      </w:r>
      <w:r w:rsidRPr="00F42A2D">
        <w:t>M., Silva, S.</w:t>
      </w:r>
      <w:r w:rsidR="00E403B9" w:rsidRPr="00F42A2D">
        <w:t xml:space="preserve"> </w:t>
      </w:r>
      <w:r w:rsidRPr="00F42A2D">
        <w:t>F., Rocha, A.</w:t>
      </w:r>
      <w:r w:rsidR="00FA35C7" w:rsidRPr="00F42A2D">
        <w:t xml:space="preserve"> </w:t>
      </w:r>
      <w:r w:rsidRPr="00F42A2D">
        <w:t>P.</w:t>
      </w:r>
      <w:r w:rsidR="00FA35C7" w:rsidRPr="00F42A2D">
        <w:t xml:space="preserve"> </w:t>
      </w:r>
      <w:r w:rsidRPr="00F42A2D">
        <w:t>T., Lucena, C.</w:t>
      </w:r>
      <w:r w:rsidR="00FA35C7" w:rsidRPr="00F42A2D">
        <w:t xml:space="preserve"> </w:t>
      </w:r>
      <w:r w:rsidRPr="00F42A2D">
        <w:t>M., Meiado, M.</w:t>
      </w:r>
      <w:r w:rsidR="00FA35C7" w:rsidRPr="00F42A2D">
        <w:t xml:space="preserve"> </w:t>
      </w:r>
      <w:r w:rsidRPr="00F42A2D">
        <w:t>V. y Lucena, R.</w:t>
      </w:r>
      <w:r w:rsidR="00FA35C7" w:rsidRPr="00F42A2D">
        <w:t xml:space="preserve"> </w:t>
      </w:r>
      <w:r w:rsidRPr="00F42A2D">
        <w:t>F.</w:t>
      </w:r>
      <w:r w:rsidR="00FA35C7" w:rsidRPr="00F42A2D">
        <w:t xml:space="preserve"> </w:t>
      </w:r>
      <w:r w:rsidRPr="00F42A2D">
        <w:t>P. (2016). Cuantificación fisicoquímica en gorro turco [</w:t>
      </w:r>
      <w:r w:rsidRPr="00F42A2D">
        <w:rPr>
          <w:i/>
          <w:iCs/>
        </w:rPr>
        <w:t>Melocactus zehntneri</w:t>
      </w:r>
      <w:r w:rsidRPr="00F42A2D">
        <w:t xml:space="preserve"> (Britton &amp; Rose) Luetzelburg - Cactaceae]. </w:t>
      </w:r>
      <w:r w:rsidR="00165B4E" w:rsidRPr="00F42A2D">
        <w:rPr>
          <w:i/>
          <w:iCs/>
        </w:rPr>
        <w:t>Revista Brasileira de Plantas Medicinais</w:t>
      </w:r>
      <w:r w:rsidRPr="00F42A2D">
        <w:rPr>
          <w:i/>
          <w:iCs/>
        </w:rPr>
        <w:t>, 18</w:t>
      </w:r>
      <w:r w:rsidRPr="00F42A2D">
        <w:t>(1), 81-88</w:t>
      </w:r>
    </w:p>
    <w:p w14:paraId="73AF6507" w14:textId="0DE0C881" w:rsidR="00016963" w:rsidRPr="00F42A2D" w:rsidRDefault="00016963" w:rsidP="00717AC5">
      <w:pPr>
        <w:spacing w:line="360" w:lineRule="auto"/>
        <w:ind w:left="709" w:hanging="709"/>
        <w:jc w:val="both"/>
      </w:pPr>
      <w:r w:rsidRPr="00F42A2D">
        <w:t>Parra</w:t>
      </w:r>
      <w:r w:rsidR="00057EB7" w:rsidRPr="00F42A2D">
        <w:t>,</w:t>
      </w:r>
      <w:r w:rsidR="00B37F25" w:rsidRPr="00F42A2D">
        <w:t xml:space="preserve"> </w:t>
      </w:r>
      <w:r w:rsidRPr="00F42A2D">
        <w:t>R.</w:t>
      </w:r>
      <w:r w:rsidR="00B37F25" w:rsidRPr="00F42A2D">
        <w:t xml:space="preserve"> </w:t>
      </w:r>
      <w:r w:rsidRPr="00F42A2D">
        <w:t>A. (2013). Efecto del té verde (</w:t>
      </w:r>
      <w:r w:rsidRPr="00F42A2D">
        <w:rPr>
          <w:i/>
          <w:iCs/>
        </w:rPr>
        <w:t>Camellia sinensis</w:t>
      </w:r>
      <w:r w:rsidRPr="00F42A2D">
        <w:t xml:space="preserve"> L.) en las características fisicoquímicas, microbiológicas, proximales y sensoriales de yogurt durante el almacenamiento bajo refrigeración. </w:t>
      </w:r>
      <w:r w:rsidRPr="00F42A2D">
        <w:rPr>
          <w:i/>
          <w:iCs/>
        </w:rPr>
        <w:t>@limentech</w:t>
      </w:r>
      <w:r w:rsidR="00AF5A71" w:rsidRPr="00F42A2D">
        <w:rPr>
          <w:i/>
          <w:iCs/>
        </w:rPr>
        <w:t>,</w:t>
      </w:r>
      <w:r w:rsidRPr="00F42A2D">
        <w:rPr>
          <w:i/>
          <w:iCs/>
        </w:rPr>
        <w:t xml:space="preserve"> </w:t>
      </w:r>
      <w:r w:rsidR="00B37F25" w:rsidRPr="00F42A2D">
        <w:rPr>
          <w:i/>
          <w:iCs/>
        </w:rPr>
        <w:t xml:space="preserve">Ciencia </w:t>
      </w:r>
      <w:r w:rsidRPr="00F42A2D">
        <w:rPr>
          <w:i/>
          <w:iCs/>
        </w:rPr>
        <w:t xml:space="preserve">y </w:t>
      </w:r>
      <w:r w:rsidR="00B37F25" w:rsidRPr="00F42A2D">
        <w:rPr>
          <w:i/>
          <w:iCs/>
        </w:rPr>
        <w:t>Tecnología Alimentaria</w:t>
      </w:r>
      <w:r w:rsidRPr="00F42A2D">
        <w:rPr>
          <w:i/>
          <w:iCs/>
        </w:rPr>
        <w:t>, 11</w:t>
      </w:r>
      <w:r w:rsidRPr="00F42A2D">
        <w:t>(1), 56-64.</w:t>
      </w:r>
    </w:p>
    <w:p w14:paraId="2AC3A4A5" w14:textId="4E605A3A" w:rsidR="00016963" w:rsidRPr="00F42A2D" w:rsidRDefault="00016963" w:rsidP="00717AC5">
      <w:pPr>
        <w:spacing w:line="360" w:lineRule="auto"/>
        <w:ind w:left="709" w:hanging="709"/>
        <w:jc w:val="both"/>
        <w:rPr>
          <w:color w:val="000000"/>
        </w:rPr>
      </w:pPr>
      <w:r w:rsidRPr="00F42A2D">
        <w:rPr>
          <w:color w:val="000000"/>
        </w:rPr>
        <w:t xml:space="preserve">Sotomayor, </w:t>
      </w:r>
      <w:r w:rsidR="003310E3" w:rsidRPr="00F42A2D">
        <w:rPr>
          <w:color w:val="000000"/>
        </w:rPr>
        <w:t>A.</w:t>
      </w:r>
      <w:r w:rsidRPr="00F42A2D">
        <w:rPr>
          <w:color w:val="000000"/>
        </w:rPr>
        <w:t xml:space="preserve">, Pitizaca, </w:t>
      </w:r>
      <w:r w:rsidR="003310E3" w:rsidRPr="00F42A2D">
        <w:rPr>
          <w:color w:val="000000"/>
        </w:rPr>
        <w:t>S.</w:t>
      </w:r>
      <w:r w:rsidRPr="00F42A2D">
        <w:rPr>
          <w:color w:val="000000"/>
        </w:rPr>
        <w:t xml:space="preserve">, Sánchez, </w:t>
      </w:r>
      <w:r w:rsidR="003310E3" w:rsidRPr="00F42A2D">
        <w:rPr>
          <w:color w:val="000000"/>
        </w:rPr>
        <w:t>M.</w:t>
      </w:r>
      <w:r w:rsidRPr="00F42A2D">
        <w:rPr>
          <w:color w:val="000000"/>
        </w:rPr>
        <w:t xml:space="preserve">, Burbano, </w:t>
      </w:r>
      <w:r w:rsidR="003310E3" w:rsidRPr="00F42A2D">
        <w:rPr>
          <w:color w:val="000000"/>
        </w:rPr>
        <w:t>A.</w:t>
      </w:r>
      <w:r w:rsidRPr="00F42A2D">
        <w:rPr>
          <w:color w:val="000000"/>
        </w:rPr>
        <w:t xml:space="preserve">, Díaz, </w:t>
      </w:r>
      <w:r w:rsidR="003310E3" w:rsidRPr="00F42A2D">
        <w:rPr>
          <w:color w:val="000000"/>
        </w:rPr>
        <w:t>A.</w:t>
      </w:r>
      <w:r w:rsidRPr="00F42A2D">
        <w:rPr>
          <w:color w:val="000000"/>
        </w:rPr>
        <w:t xml:space="preserve">, Nicolalde, </w:t>
      </w:r>
      <w:r w:rsidR="003310E3" w:rsidRPr="00F42A2D">
        <w:rPr>
          <w:color w:val="000000"/>
        </w:rPr>
        <w:t>J.</w:t>
      </w:r>
      <w:r w:rsidRPr="00F42A2D">
        <w:rPr>
          <w:color w:val="000000"/>
        </w:rPr>
        <w:t xml:space="preserve">, Viera, </w:t>
      </w:r>
      <w:r w:rsidR="003310E3" w:rsidRPr="00F42A2D">
        <w:rPr>
          <w:color w:val="000000"/>
        </w:rPr>
        <w:t>W.</w:t>
      </w:r>
      <w:r w:rsidRPr="00F42A2D">
        <w:rPr>
          <w:color w:val="000000"/>
        </w:rPr>
        <w:t xml:space="preserve">, Caicedo, </w:t>
      </w:r>
      <w:r w:rsidR="003310E3" w:rsidRPr="00F42A2D">
        <w:rPr>
          <w:color w:val="000000"/>
        </w:rPr>
        <w:t>C. y</w:t>
      </w:r>
      <w:r w:rsidRPr="00F42A2D">
        <w:rPr>
          <w:color w:val="000000"/>
        </w:rPr>
        <w:t xml:space="preserve"> Vargas, </w:t>
      </w:r>
      <w:r w:rsidR="003310E3" w:rsidRPr="00F42A2D">
        <w:rPr>
          <w:color w:val="000000"/>
        </w:rPr>
        <w:t>Y.</w:t>
      </w:r>
      <w:r w:rsidRPr="00F42A2D">
        <w:rPr>
          <w:color w:val="000000"/>
        </w:rPr>
        <w:t xml:space="preserve"> (2019). Evaluación físico química de fruta de pitahaya </w:t>
      </w:r>
      <w:r w:rsidR="002C5F54" w:rsidRPr="00F42A2D">
        <w:rPr>
          <w:color w:val="000000"/>
        </w:rPr>
        <w:t>(</w:t>
      </w:r>
      <w:r w:rsidRPr="00F42A2D">
        <w:rPr>
          <w:i/>
          <w:iCs/>
          <w:color w:val="000000"/>
        </w:rPr>
        <w:t xml:space="preserve">Selenicereus </w:t>
      </w:r>
      <w:r w:rsidR="002C5F54" w:rsidRPr="00F42A2D">
        <w:rPr>
          <w:i/>
          <w:iCs/>
          <w:color w:val="000000"/>
        </w:rPr>
        <w:t>megalanthus</w:t>
      </w:r>
      <w:r w:rsidR="002C5F54" w:rsidRPr="00F42A2D">
        <w:rPr>
          <w:color w:val="000000"/>
        </w:rPr>
        <w:t xml:space="preserve">) </w:t>
      </w:r>
      <w:r w:rsidRPr="00F42A2D">
        <w:rPr>
          <w:color w:val="000000"/>
        </w:rPr>
        <w:t>en diferentes estados de desarrollo.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>Enfoque UTE</w:t>
      </w:r>
      <w:r w:rsidRPr="00F42A2D">
        <w:rPr>
          <w:color w:val="000000"/>
        </w:rPr>
        <w:t>,</w:t>
      </w:r>
      <w:r w:rsidRPr="00F42A2D">
        <w:rPr>
          <w:rStyle w:val="apple-converted-space"/>
          <w:color w:val="000000"/>
        </w:rPr>
        <w:t> </w:t>
      </w:r>
      <w:r w:rsidRPr="00F42A2D">
        <w:rPr>
          <w:i/>
          <w:iCs/>
          <w:color w:val="000000"/>
        </w:rPr>
        <w:t>10</w:t>
      </w:r>
      <w:r w:rsidRPr="00F42A2D">
        <w:rPr>
          <w:color w:val="000000"/>
        </w:rPr>
        <w:t>(1), 89-96.</w:t>
      </w:r>
    </w:p>
    <w:p w14:paraId="6AF6F977" w14:textId="79A5B814" w:rsidR="00016963" w:rsidRPr="00016963" w:rsidRDefault="00016963" w:rsidP="00717AC5">
      <w:pPr>
        <w:spacing w:line="360" w:lineRule="auto"/>
        <w:ind w:left="709" w:hanging="709"/>
        <w:jc w:val="both"/>
      </w:pPr>
      <w:r w:rsidRPr="00F42A2D">
        <w:t xml:space="preserve">Torres, A., Durán, Z. y Rodríguez, C. (2009). Acidez titulable como control de calidad para la leche humana. </w:t>
      </w:r>
      <w:r w:rsidRPr="00F42A2D">
        <w:rPr>
          <w:i/>
          <w:iCs/>
        </w:rPr>
        <w:t>Archivos Venezolanos de Puericultura y Pediatría, 72</w:t>
      </w:r>
      <w:r w:rsidRPr="00F42A2D">
        <w:t>(3), 92-96</w:t>
      </w:r>
    </w:p>
    <w:p w14:paraId="40A1B7D0" w14:textId="77777777" w:rsidR="00465CB5" w:rsidRDefault="00465CB5" w:rsidP="00FC2758">
      <w:pPr>
        <w:spacing w:line="360" w:lineRule="auto"/>
      </w:pPr>
    </w:p>
    <w:p w14:paraId="0D7F1F72" w14:textId="749F8FD0" w:rsidR="00751C65" w:rsidRDefault="00751C65" w:rsidP="00FC2758">
      <w:pPr>
        <w:spacing w:line="360" w:lineRule="auto"/>
        <w:jc w:val="both"/>
        <w:rPr>
          <w:b/>
          <w:sz w:val="20"/>
          <w:szCs w:val="20"/>
        </w:rPr>
      </w:pPr>
    </w:p>
    <w:p w14:paraId="285D09A3" w14:textId="14477B6C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p w14:paraId="1556A379" w14:textId="37CA0624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p w14:paraId="5C5A5ADC" w14:textId="115C8437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p w14:paraId="2548E0BD" w14:textId="77E27352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p w14:paraId="456F07A0" w14:textId="4F846243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p w14:paraId="24BA75B7" w14:textId="2042AB00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p w14:paraId="38A6D759" w14:textId="73A03B95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p w14:paraId="651AC38E" w14:textId="4ECD0550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p w14:paraId="2A51A907" w14:textId="19CE38A7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p w14:paraId="1760209C" w14:textId="5DCFAE27" w:rsidR="00473B63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473B63" w:rsidRPr="00473B63" w14:paraId="6836196D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8D83E" w14:textId="77777777" w:rsidR="00473B63" w:rsidRPr="00473B63" w:rsidRDefault="00473B63" w:rsidP="00500FBA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</w:pPr>
            <w:r w:rsidRPr="00473B63"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C82E2" w14:textId="39B129BC" w:rsidR="00473B63" w:rsidRPr="00473B63" w:rsidRDefault="00473B63" w:rsidP="00500FBA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</w:pPr>
            <w:bookmarkStart w:id="1" w:name="_btsjgdfgjwkr" w:colFirst="0" w:colLast="0"/>
            <w:bookmarkEnd w:id="1"/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  <w:t>Autor (es)</w:t>
            </w:r>
          </w:p>
        </w:tc>
      </w:tr>
      <w:tr w:rsidR="00473B63" w:rsidRPr="00473B63" w14:paraId="0C1A2B56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A5837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870F" w14:textId="1CB44AE6" w:rsidR="00473B63" w:rsidRPr="00473B63" w:rsidRDefault="00473B63" w:rsidP="00473B63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  <w:r>
              <w:rPr>
                <w:bCs/>
                <w:color w:val="000000" w:themeColor="text1"/>
              </w:rPr>
              <w:t xml:space="preserve"> </w:t>
            </w:r>
            <w:r w:rsidRPr="00473B63">
              <w:rPr>
                <w:bCs/>
                <w:color w:val="000000" w:themeColor="text1"/>
              </w:rPr>
              <w:t>María Magali Guillen Morales (Igual)</w:t>
            </w:r>
            <w:r>
              <w:rPr>
                <w:bCs/>
                <w:color w:val="000000" w:themeColor="text1"/>
              </w:rPr>
              <w:t xml:space="preserve"> </w:t>
            </w:r>
            <w:r w:rsidRPr="00473B63">
              <w:rPr>
                <w:bCs/>
                <w:color w:val="000000" w:themeColor="text1"/>
              </w:rPr>
              <w:t>Cristopher Alexander Ceh Ac (Apoya)</w:t>
            </w:r>
          </w:p>
        </w:tc>
      </w:tr>
      <w:tr w:rsidR="00473B63" w:rsidRPr="00473B63" w14:paraId="4E0E76B8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D3065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C9CD" w14:textId="016C475C" w:rsidR="00473B63" w:rsidRPr="00473B63" w:rsidRDefault="00473B63" w:rsidP="00473B63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  <w:r>
              <w:rPr>
                <w:bCs/>
                <w:color w:val="000000" w:themeColor="text1"/>
              </w:rPr>
              <w:t xml:space="preserve"> </w:t>
            </w:r>
            <w:r w:rsidRPr="00473B63">
              <w:rPr>
                <w:bCs/>
                <w:color w:val="000000" w:themeColor="text1"/>
              </w:rPr>
              <w:t>María Magali Guillen Morales (Igual)</w:t>
            </w:r>
            <w:r>
              <w:rPr>
                <w:bCs/>
                <w:color w:val="000000" w:themeColor="text1"/>
              </w:rPr>
              <w:t xml:space="preserve"> </w:t>
            </w:r>
            <w:r w:rsidRPr="00473B63">
              <w:rPr>
                <w:bCs/>
                <w:color w:val="000000" w:themeColor="text1"/>
              </w:rPr>
              <w:t>Cristopher Alexander Ceh Ac (Apoya)</w:t>
            </w:r>
          </w:p>
        </w:tc>
      </w:tr>
      <w:tr w:rsidR="00473B63" w:rsidRPr="00473B63" w14:paraId="07D11193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41FE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7C3F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1EF067F6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</w:tc>
      </w:tr>
      <w:tr w:rsidR="00473B63" w:rsidRPr="00473B63" w14:paraId="407CAAEC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BF9A2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B5C2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317DC1B3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</w:tc>
      </w:tr>
      <w:tr w:rsidR="00473B63" w:rsidRPr="00081CBF" w14:paraId="7B0BEF2A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F0BC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1D56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0E2F3932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  <w:p w14:paraId="44B1FB8B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  <w:lang w:val="en-US"/>
              </w:rPr>
            </w:pPr>
            <w:r w:rsidRPr="00473B63">
              <w:rPr>
                <w:bCs/>
                <w:color w:val="000000" w:themeColor="text1"/>
                <w:lang w:val="en-US"/>
              </w:rPr>
              <w:t xml:space="preserve">Cristopher Alexander </w:t>
            </w:r>
            <w:proofErr w:type="spellStart"/>
            <w:r w:rsidRPr="00473B63">
              <w:rPr>
                <w:bCs/>
                <w:color w:val="000000" w:themeColor="text1"/>
                <w:lang w:val="en-US"/>
              </w:rPr>
              <w:t>Ceh</w:t>
            </w:r>
            <w:proofErr w:type="spellEnd"/>
            <w:r w:rsidRPr="00473B63">
              <w:rPr>
                <w:bCs/>
                <w:color w:val="000000" w:themeColor="text1"/>
                <w:lang w:val="en-US"/>
              </w:rPr>
              <w:t xml:space="preserve"> Ac (</w:t>
            </w:r>
            <w:proofErr w:type="spellStart"/>
            <w:r w:rsidRPr="00473B63">
              <w:rPr>
                <w:bCs/>
                <w:color w:val="000000" w:themeColor="text1"/>
                <w:lang w:val="en-US"/>
              </w:rPr>
              <w:t>Apoya</w:t>
            </w:r>
            <w:proofErr w:type="spellEnd"/>
            <w:r w:rsidRPr="00473B63">
              <w:rPr>
                <w:bCs/>
                <w:color w:val="000000" w:themeColor="text1"/>
                <w:lang w:val="en-US"/>
              </w:rPr>
              <w:t>)</w:t>
            </w:r>
          </w:p>
        </w:tc>
      </w:tr>
      <w:tr w:rsidR="00473B63" w:rsidRPr="00081CBF" w14:paraId="1369395C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1F23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E4561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09284E8B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  <w:p w14:paraId="6A59D5BA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  <w:lang w:val="en-US"/>
              </w:rPr>
            </w:pPr>
            <w:r w:rsidRPr="00473B63">
              <w:rPr>
                <w:bCs/>
                <w:color w:val="000000" w:themeColor="text1"/>
                <w:lang w:val="en-US"/>
              </w:rPr>
              <w:t xml:space="preserve">Cristopher Alexander </w:t>
            </w:r>
            <w:proofErr w:type="spellStart"/>
            <w:r w:rsidRPr="00473B63">
              <w:rPr>
                <w:bCs/>
                <w:color w:val="000000" w:themeColor="text1"/>
                <w:lang w:val="en-US"/>
              </w:rPr>
              <w:t>Ceh</w:t>
            </w:r>
            <w:proofErr w:type="spellEnd"/>
            <w:r w:rsidRPr="00473B63">
              <w:rPr>
                <w:bCs/>
                <w:color w:val="000000" w:themeColor="text1"/>
                <w:lang w:val="en-US"/>
              </w:rPr>
              <w:t xml:space="preserve"> Ac (</w:t>
            </w:r>
            <w:proofErr w:type="spellStart"/>
            <w:r w:rsidRPr="00473B63">
              <w:rPr>
                <w:bCs/>
                <w:color w:val="000000" w:themeColor="text1"/>
                <w:lang w:val="en-US"/>
              </w:rPr>
              <w:t>Apoya</w:t>
            </w:r>
            <w:proofErr w:type="spellEnd"/>
            <w:r w:rsidRPr="00473B63">
              <w:rPr>
                <w:bCs/>
                <w:color w:val="000000" w:themeColor="text1"/>
                <w:lang w:val="en-US"/>
              </w:rPr>
              <w:t>)</w:t>
            </w:r>
          </w:p>
        </w:tc>
      </w:tr>
      <w:tr w:rsidR="00473B63" w:rsidRPr="00081CBF" w14:paraId="6E667492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2A68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A328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56852B64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  <w:p w14:paraId="4DDE90D1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  <w:lang w:val="en-US"/>
              </w:rPr>
            </w:pPr>
            <w:r w:rsidRPr="00473B63">
              <w:rPr>
                <w:bCs/>
                <w:color w:val="000000" w:themeColor="text1"/>
                <w:lang w:val="en-US"/>
              </w:rPr>
              <w:t xml:space="preserve">Cristopher Alexander </w:t>
            </w:r>
            <w:proofErr w:type="spellStart"/>
            <w:r w:rsidRPr="00473B63">
              <w:rPr>
                <w:bCs/>
                <w:color w:val="000000" w:themeColor="text1"/>
                <w:lang w:val="en-US"/>
              </w:rPr>
              <w:t>Ceh</w:t>
            </w:r>
            <w:proofErr w:type="spellEnd"/>
            <w:r w:rsidRPr="00473B63">
              <w:rPr>
                <w:bCs/>
                <w:color w:val="000000" w:themeColor="text1"/>
                <w:lang w:val="en-US"/>
              </w:rPr>
              <w:t xml:space="preserve"> Ac (</w:t>
            </w:r>
            <w:proofErr w:type="spellStart"/>
            <w:r w:rsidRPr="00473B63">
              <w:rPr>
                <w:bCs/>
                <w:color w:val="000000" w:themeColor="text1"/>
                <w:lang w:val="en-US"/>
              </w:rPr>
              <w:t>Apoya</w:t>
            </w:r>
            <w:proofErr w:type="spellEnd"/>
            <w:r w:rsidRPr="00473B63">
              <w:rPr>
                <w:bCs/>
                <w:color w:val="000000" w:themeColor="text1"/>
                <w:lang w:val="en-US"/>
              </w:rPr>
              <w:t>)</w:t>
            </w:r>
          </w:p>
        </w:tc>
      </w:tr>
      <w:tr w:rsidR="00473B63" w:rsidRPr="00473B63" w14:paraId="188A2605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2EC4A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B868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04D272C8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</w:tc>
      </w:tr>
      <w:tr w:rsidR="00473B63" w:rsidRPr="00473B63" w14:paraId="1F3ED2A6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14C9C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A68AF" w14:textId="68E78CA6" w:rsidR="00473B63" w:rsidRPr="00473B63" w:rsidRDefault="00473B63" w:rsidP="00473B63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  <w:r>
              <w:rPr>
                <w:bCs/>
                <w:color w:val="000000" w:themeColor="text1"/>
              </w:rPr>
              <w:t xml:space="preserve"> </w:t>
            </w:r>
            <w:r w:rsidRPr="00473B63">
              <w:rPr>
                <w:bCs/>
                <w:color w:val="000000" w:themeColor="text1"/>
              </w:rPr>
              <w:t>María Magali Guillen Morales (Igual)</w:t>
            </w:r>
            <w:r>
              <w:rPr>
                <w:bCs/>
                <w:color w:val="000000" w:themeColor="text1"/>
              </w:rPr>
              <w:t xml:space="preserve"> </w:t>
            </w:r>
            <w:r w:rsidRPr="00473B63">
              <w:rPr>
                <w:bCs/>
                <w:color w:val="000000" w:themeColor="text1"/>
              </w:rPr>
              <w:t>Cristopher Alexander Ceh Ac (Apoya)</w:t>
            </w:r>
          </w:p>
        </w:tc>
      </w:tr>
      <w:tr w:rsidR="00473B63" w:rsidRPr="00473B63" w14:paraId="68FE5A15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3F250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A810" w14:textId="135429F4" w:rsidR="00473B63" w:rsidRPr="00473B63" w:rsidRDefault="00473B63" w:rsidP="00473B63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  <w:r>
              <w:rPr>
                <w:bCs/>
                <w:color w:val="000000" w:themeColor="text1"/>
              </w:rPr>
              <w:t xml:space="preserve"> </w:t>
            </w:r>
            <w:r w:rsidRPr="00473B63">
              <w:rPr>
                <w:bCs/>
                <w:color w:val="000000" w:themeColor="text1"/>
              </w:rPr>
              <w:t>María Magali Guillen Morales (Igual)</w:t>
            </w:r>
            <w:r>
              <w:rPr>
                <w:bCs/>
                <w:color w:val="000000" w:themeColor="text1"/>
              </w:rPr>
              <w:t xml:space="preserve"> </w:t>
            </w:r>
            <w:r w:rsidRPr="00473B63">
              <w:rPr>
                <w:bCs/>
                <w:color w:val="000000" w:themeColor="text1"/>
              </w:rPr>
              <w:t>Cristopher Alexander Ceh Ac (Apoya)</w:t>
            </w:r>
          </w:p>
        </w:tc>
      </w:tr>
      <w:tr w:rsidR="00473B63" w:rsidRPr="00473B63" w14:paraId="78FC4F83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C39B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BAF8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075F95A3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</w:tc>
      </w:tr>
      <w:tr w:rsidR="00473B63" w:rsidRPr="00473B63" w14:paraId="77A9149D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4D1E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1ECA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57D3E946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</w:tc>
      </w:tr>
      <w:tr w:rsidR="00473B63" w:rsidRPr="00473B63" w14:paraId="61597E58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BCB4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0E00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0D71C9DB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</w:tc>
      </w:tr>
      <w:tr w:rsidR="00473B63" w:rsidRPr="00473B63" w14:paraId="3494617C" w14:textId="77777777" w:rsidTr="00473B63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E11E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0BFF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Rafael Manuel de Jesús Mex Álvarez (Principal)</w:t>
            </w:r>
          </w:p>
          <w:p w14:paraId="5FAE1625" w14:textId="77777777" w:rsidR="00473B63" w:rsidRPr="00473B63" w:rsidRDefault="00473B63" w:rsidP="00500FBA">
            <w:pPr>
              <w:widowControl w:val="0"/>
              <w:rPr>
                <w:bCs/>
                <w:color w:val="000000" w:themeColor="text1"/>
              </w:rPr>
            </w:pPr>
            <w:r w:rsidRPr="00473B63">
              <w:rPr>
                <w:bCs/>
                <w:color w:val="000000" w:themeColor="text1"/>
              </w:rPr>
              <w:t>María Magali Guillen Morales (Igual)</w:t>
            </w:r>
          </w:p>
        </w:tc>
      </w:tr>
    </w:tbl>
    <w:p w14:paraId="0358F1D4" w14:textId="77777777" w:rsidR="00473B63" w:rsidRPr="00167AE1" w:rsidRDefault="00473B63" w:rsidP="00FC2758">
      <w:pPr>
        <w:spacing w:line="360" w:lineRule="auto"/>
        <w:jc w:val="both"/>
        <w:rPr>
          <w:b/>
          <w:sz w:val="20"/>
          <w:szCs w:val="20"/>
        </w:rPr>
      </w:pPr>
    </w:p>
    <w:sectPr w:rsidR="00473B63" w:rsidRPr="00167AE1" w:rsidSect="00F42A2D">
      <w:headerReference w:type="default" r:id="rId10"/>
      <w:footerReference w:type="default" r:id="rId11"/>
      <w:pgSz w:w="12240" w:h="15840"/>
      <w:pgMar w:top="1417" w:right="1701" w:bottom="1135" w:left="1701" w:header="284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F6D4" w14:textId="77777777" w:rsidR="00325767" w:rsidRDefault="00325767" w:rsidP="00F42A2D">
      <w:r>
        <w:separator/>
      </w:r>
    </w:p>
  </w:endnote>
  <w:endnote w:type="continuationSeparator" w:id="0">
    <w:p w14:paraId="7DEB2B17" w14:textId="77777777" w:rsidR="00325767" w:rsidRDefault="00325767" w:rsidP="00F4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B8E7" w14:textId="608BC081" w:rsidR="00F42A2D" w:rsidRDefault="00F42A2D">
    <w:pPr>
      <w:pStyle w:val="Piedepgina"/>
    </w:pPr>
    <w:r>
      <w:t xml:space="preserve">           </w:t>
    </w:r>
    <w:r w:rsidRPr="002A3D98">
      <w:rPr>
        <w:noProof/>
      </w:rPr>
      <w:drawing>
        <wp:inline distT="0" distB="0" distL="0" distR="0" wp14:anchorId="3E308774" wp14:editId="66C93525">
          <wp:extent cx="1600200" cy="419100"/>
          <wp:effectExtent l="0" t="0" r="0" b="0"/>
          <wp:docPr id="24" name="Imagen 24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F42A2D">
      <w:rPr>
        <w:rFonts w:asciiTheme="minorHAnsi" w:hAnsiTheme="minorHAnsi" w:cstheme="minorHAnsi"/>
        <w:b/>
        <w:sz w:val="22"/>
        <w:szCs w:val="16"/>
      </w:rPr>
      <w:t xml:space="preserve">Vol. 12, Núm. 24 </w:t>
    </w:r>
    <w:proofErr w:type="gramStart"/>
    <w:r w:rsidRPr="00F42A2D">
      <w:rPr>
        <w:rFonts w:asciiTheme="minorHAnsi" w:hAnsiTheme="minorHAnsi" w:cstheme="minorHAnsi"/>
        <w:b/>
        <w:sz w:val="22"/>
        <w:szCs w:val="16"/>
      </w:rPr>
      <w:t>Enero</w:t>
    </w:r>
    <w:proofErr w:type="gramEnd"/>
    <w:r w:rsidRPr="00F42A2D">
      <w:rPr>
        <w:rFonts w:asciiTheme="minorHAnsi" w:hAnsiTheme="minorHAnsi" w:cstheme="minorHAnsi"/>
        <w:b/>
        <w:sz w:val="22"/>
        <w:szCs w:val="16"/>
      </w:rPr>
      <w:t xml:space="preserve"> - Junio 202</w:t>
    </w:r>
    <w:r w:rsidR="00081CBF">
      <w:rPr>
        <w:rFonts w:asciiTheme="minorHAnsi" w:hAnsiTheme="minorHAnsi" w:cstheme="minorHAnsi"/>
        <w:b/>
        <w:sz w:val="22"/>
        <w:szCs w:val="16"/>
      </w:rPr>
      <w:t>2</w:t>
    </w:r>
    <w:r w:rsidRPr="00F42A2D">
      <w:rPr>
        <w:rFonts w:asciiTheme="minorHAnsi" w:hAnsiTheme="minorHAnsi" w:cstheme="minorHAnsi"/>
        <w:b/>
        <w:sz w:val="22"/>
        <w:szCs w:val="16"/>
      </w:rPr>
      <w:t>, e</w:t>
    </w:r>
    <w:r w:rsidR="00FA1E61">
      <w:rPr>
        <w:rFonts w:asciiTheme="minorHAnsi" w:hAnsiTheme="minorHAnsi" w:cstheme="minorHAnsi"/>
        <w:b/>
        <w:sz w:val="22"/>
        <w:szCs w:val="16"/>
      </w:rPr>
      <w:t>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873A" w14:textId="77777777" w:rsidR="00325767" w:rsidRDefault="00325767" w:rsidP="00F42A2D">
      <w:r>
        <w:separator/>
      </w:r>
    </w:p>
  </w:footnote>
  <w:footnote w:type="continuationSeparator" w:id="0">
    <w:p w14:paraId="0D3459B3" w14:textId="77777777" w:rsidR="00325767" w:rsidRDefault="00325767" w:rsidP="00F42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8251" w14:textId="7E3B8948" w:rsidR="00F42A2D" w:rsidRDefault="00F42A2D" w:rsidP="00F42A2D">
    <w:pPr>
      <w:pStyle w:val="Encabezado"/>
      <w:jc w:val="center"/>
    </w:pPr>
    <w:r w:rsidRPr="002A3D98">
      <w:rPr>
        <w:noProof/>
      </w:rPr>
      <w:drawing>
        <wp:inline distT="0" distB="0" distL="0" distR="0" wp14:anchorId="4D0E88BA" wp14:editId="41A029A7">
          <wp:extent cx="5397500" cy="635000"/>
          <wp:effectExtent l="0" t="0" r="0" b="0"/>
          <wp:docPr id="23" name="Imagen 23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BF"/>
    <w:rsid w:val="00002F78"/>
    <w:rsid w:val="0000628B"/>
    <w:rsid w:val="00014A46"/>
    <w:rsid w:val="00016963"/>
    <w:rsid w:val="000306BA"/>
    <w:rsid w:val="00057EB7"/>
    <w:rsid w:val="000674F9"/>
    <w:rsid w:val="00076562"/>
    <w:rsid w:val="00081CBF"/>
    <w:rsid w:val="000B6963"/>
    <w:rsid w:val="000D05B0"/>
    <w:rsid w:val="000F034F"/>
    <w:rsid w:val="000F4498"/>
    <w:rsid w:val="001113DC"/>
    <w:rsid w:val="00146032"/>
    <w:rsid w:val="0014666D"/>
    <w:rsid w:val="001514E5"/>
    <w:rsid w:val="0016286C"/>
    <w:rsid w:val="00164C05"/>
    <w:rsid w:val="00165B4E"/>
    <w:rsid w:val="00167AE1"/>
    <w:rsid w:val="001728B2"/>
    <w:rsid w:val="001752DA"/>
    <w:rsid w:val="001B062C"/>
    <w:rsid w:val="001F0CF1"/>
    <w:rsid w:val="001F4841"/>
    <w:rsid w:val="00220981"/>
    <w:rsid w:val="00220E12"/>
    <w:rsid w:val="00231137"/>
    <w:rsid w:val="002316E5"/>
    <w:rsid w:val="002457FA"/>
    <w:rsid w:val="00251B35"/>
    <w:rsid w:val="00286599"/>
    <w:rsid w:val="00287907"/>
    <w:rsid w:val="00291C71"/>
    <w:rsid w:val="002A616F"/>
    <w:rsid w:val="002C5F54"/>
    <w:rsid w:val="003075CB"/>
    <w:rsid w:val="0031719B"/>
    <w:rsid w:val="003210DD"/>
    <w:rsid w:val="00325767"/>
    <w:rsid w:val="00330244"/>
    <w:rsid w:val="003310E3"/>
    <w:rsid w:val="00332451"/>
    <w:rsid w:val="003A4D97"/>
    <w:rsid w:val="00404E8F"/>
    <w:rsid w:val="00444C0E"/>
    <w:rsid w:val="00465CB5"/>
    <w:rsid w:val="00473B63"/>
    <w:rsid w:val="00484CF8"/>
    <w:rsid w:val="00491BE2"/>
    <w:rsid w:val="00494723"/>
    <w:rsid w:val="004A23AA"/>
    <w:rsid w:val="004B31D4"/>
    <w:rsid w:val="00502BE8"/>
    <w:rsid w:val="0050585B"/>
    <w:rsid w:val="00523A2B"/>
    <w:rsid w:val="00545972"/>
    <w:rsid w:val="005C6DB8"/>
    <w:rsid w:val="005D4A70"/>
    <w:rsid w:val="005E7B4B"/>
    <w:rsid w:val="00647139"/>
    <w:rsid w:val="00653BA2"/>
    <w:rsid w:val="006577E4"/>
    <w:rsid w:val="006724D4"/>
    <w:rsid w:val="006C0DC8"/>
    <w:rsid w:val="006C3F40"/>
    <w:rsid w:val="006C57AB"/>
    <w:rsid w:val="006D6D1A"/>
    <w:rsid w:val="00707D6A"/>
    <w:rsid w:val="00717AC5"/>
    <w:rsid w:val="007243CD"/>
    <w:rsid w:val="0073557D"/>
    <w:rsid w:val="00751C65"/>
    <w:rsid w:val="007729FB"/>
    <w:rsid w:val="007A2E5B"/>
    <w:rsid w:val="007B6ED3"/>
    <w:rsid w:val="007B73CE"/>
    <w:rsid w:val="007E72BC"/>
    <w:rsid w:val="008259E4"/>
    <w:rsid w:val="00861044"/>
    <w:rsid w:val="00862200"/>
    <w:rsid w:val="00867608"/>
    <w:rsid w:val="00885BFE"/>
    <w:rsid w:val="00892813"/>
    <w:rsid w:val="0089520A"/>
    <w:rsid w:val="008A5808"/>
    <w:rsid w:val="008C2498"/>
    <w:rsid w:val="008C51ED"/>
    <w:rsid w:val="008D4536"/>
    <w:rsid w:val="008E3B1F"/>
    <w:rsid w:val="008F66EE"/>
    <w:rsid w:val="00912B47"/>
    <w:rsid w:val="00924781"/>
    <w:rsid w:val="00926EBF"/>
    <w:rsid w:val="00994ABF"/>
    <w:rsid w:val="009F1CB9"/>
    <w:rsid w:val="009F3EF3"/>
    <w:rsid w:val="009F4553"/>
    <w:rsid w:val="00A0049D"/>
    <w:rsid w:val="00A03985"/>
    <w:rsid w:val="00A10835"/>
    <w:rsid w:val="00AB6E54"/>
    <w:rsid w:val="00AC78B0"/>
    <w:rsid w:val="00AD0A52"/>
    <w:rsid w:val="00AD35A0"/>
    <w:rsid w:val="00AE2DB5"/>
    <w:rsid w:val="00AF596F"/>
    <w:rsid w:val="00AF5A71"/>
    <w:rsid w:val="00B0208A"/>
    <w:rsid w:val="00B06198"/>
    <w:rsid w:val="00B15DE5"/>
    <w:rsid w:val="00B31503"/>
    <w:rsid w:val="00B37F25"/>
    <w:rsid w:val="00B4183B"/>
    <w:rsid w:val="00B601DE"/>
    <w:rsid w:val="00BB5848"/>
    <w:rsid w:val="00BC5AF9"/>
    <w:rsid w:val="00BC626D"/>
    <w:rsid w:val="00BC7108"/>
    <w:rsid w:val="00BC7507"/>
    <w:rsid w:val="00BD48C0"/>
    <w:rsid w:val="00C161E0"/>
    <w:rsid w:val="00C376BA"/>
    <w:rsid w:val="00C5368D"/>
    <w:rsid w:val="00C56590"/>
    <w:rsid w:val="00C567F8"/>
    <w:rsid w:val="00C7242D"/>
    <w:rsid w:val="00C94D08"/>
    <w:rsid w:val="00CA1EF2"/>
    <w:rsid w:val="00CC06A2"/>
    <w:rsid w:val="00CC0C5B"/>
    <w:rsid w:val="00CC508A"/>
    <w:rsid w:val="00CE2ED8"/>
    <w:rsid w:val="00CE4C4C"/>
    <w:rsid w:val="00CF70D0"/>
    <w:rsid w:val="00D05671"/>
    <w:rsid w:val="00D21850"/>
    <w:rsid w:val="00D51D82"/>
    <w:rsid w:val="00D533B8"/>
    <w:rsid w:val="00D538B7"/>
    <w:rsid w:val="00D654A4"/>
    <w:rsid w:val="00D71CC0"/>
    <w:rsid w:val="00D85C87"/>
    <w:rsid w:val="00D86E1C"/>
    <w:rsid w:val="00DA1007"/>
    <w:rsid w:val="00DC05BD"/>
    <w:rsid w:val="00DF21AD"/>
    <w:rsid w:val="00DF5AA9"/>
    <w:rsid w:val="00E23158"/>
    <w:rsid w:val="00E3175B"/>
    <w:rsid w:val="00E327B7"/>
    <w:rsid w:val="00E35892"/>
    <w:rsid w:val="00E403B9"/>
    <w:rsid w:val="00E80B30"/>
    <w:rsid w:val="00E81F5B"/>
    <w:rsid w:val="00EA6375"/>
    <w:rsid w:val="00ED1F67"/>
    <w:rsid w:val="00EF3A8C"/>
    <w:rsid w:val="00EF3F10"/>
    <w:rsid w:val="00EF7E5E"/>
    <w:rsid w:val="00F0018E"/>
    <w:rsid w:val="00F00AED"/>
    <w:rsid w:val="00F06617"/>
    <w:rsid w:val="00F10254"/>
    <w:rsid w:val="00F26FB7"/>
    <w:rsid w:val="00F3091A"/>
    <w:rsid w:val="00F413F2"/>
    <w:rsid w:val="00F42A2D"/>
    <w:rsid w:val="00F469D1"/>
    <w:rsid w:val="00F7084E"/>
    <w:rsid w:val="00F80AD5"/>
    <w:rsid w:val="00F81DCF"/>
    <w:rsid w:val="00F93B1D"/>
    <w:rsid w:val="00FA1E61"/>
    <w:rsid w:val="00FA26DE"/>
    <w:rsid w:val="00FA35C7"/>
    <w:rsid w:val="00FC2758"/>
    <w:rsid w:val="00FC5D26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26DBB"/>
  <w15:chartTrackingRefBased/>
  <w15:docId w15:val="{57A2B7DB-89DF-C648-8D6D-AB63874D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5CB5"/>
    <w:rPr>
      <w:rFonts w:ascii="Times New Roman" w:eastAsia="Times New Roman" w:hAnsi="Times New Roman" w:cs="Times New Roman"/>
      <w:lang w:val="es-MX" w:eastAsia="es-MX"/>
    </w:rPr>
  </w:style>
  <w:style w:type="paragraph" w:styleId="Ttulo3">
    <w:name w:val="heading 3"/>
    <w:basedOn w:val="Normal"/>
    <w:next w:val="Normal"/>
    <w:link w:val="Ttulo3Car"/>
    <w:rsid w:val="00473B63"/>
    <w:pPr>
      <w:pBdr>
        <w:top w:val="nil"/>
        <w:left w:val="nil"/>
        <w:bottom w:val="nil"/>
        <w:right w:val="nil"/>
        <w:between w:val="nil"/>
      </w:pBdr>
      <w:spacing w:before="200" w:line="360" w:lineRule="auto"/>
      <w:ind w:left="-15"/>
      <w:outlineLvl w:val="2"/>
    </w:pPr>
    <w:rPr>
      <w:rFonts w:ascii="Open Sans" w:eastAsia="Open Sans" w:hAnsi="Open Sans" w:cs="Open Sans"/>
      <w:b/>
      <w:color w:val="8C7252"/>
      <w:lang w:val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4ABF"/>
    <w:pPr>
      <w:spacing w:before="100" w:beforeAutospacing="1" w:after="100" w:afterAutospacing="1"/>
    </w:pPr>
    <w:rPr>
      <w:lang w:eastAsia="es-ES_tradnl"/>
    </w:rPr>
  </w:style>
  <w:style w:type="table" w:styleId="Tablaconcuadrcula1clara">
    <w:name w:val="Grid Table 1 Light"/>
    <w:basedOn w:val="Tablanormal"/>
    <w:uiPriority w:val="46"/>
    <w:rsid w:val="00DA10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F9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93B1D"/>
    <w:rPr>
      <w:rFonts w:ascii="Courier New" w:eastAsia="Times New Roman" w:hAnsi="Courier New" w:cs="Courier New"/>
      <w:sz w:val="20"/>
      <w:szCs w:val="20"/>
      <w:lang w:val="es-MX" w:eastAsia="es-ES_tradnl"/>
    </w:rPr>
  </w:style>
  <w:style w:type="character" w:styleId="Hipervnculo">
    <w:name w:val="Hyperlink"/>
    <w:basedOn w:val="Fuentedeprrafopredeter"/>
    <w:uiPriority w:val="99"/>
    <w:unhideWhenUsed/>
    <w:rsid w:val="009F3EF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724D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6724D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D533B8"/>
  </w:style>
  <w:style w:type="paragraph" w:styleId="Revisin">
    <w:name w:val="Revision"/>
    <w:hidden/>
    <w:uiPriority w:val="99"/>
    <w:semiHidden/>
    <w:rsid w:val="00861044"/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309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9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91A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9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91A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table" w:styleId="Tablaconcuadrcula">
    <w:name w:val="Table Grid"/>
    <w:basedOn w:val="Tablanormal"/>
    <w:uiPriority w:val="39"/>
    <w:rsid w:val="005E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2A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2A2D"/>
    <w:rPr>
      <w:rFonts w:ascii="Times New Roman" w:eastAsia="Times New Roman" w:hAnsi="Times New Roman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F42A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A2D"/>
    <w:rPr>
      <w:rFonts w:ascii="Times New Roman" w:eastAsia="Times New Roman" w:hAnsi="Times New Roman" w:cs="Times New Roman"/>
      <w:lang w:val="es-MX" w:eastAsia="es-MX"/>
    </w:rPr>
  </w:style>
  <w:style w:type="character" w:customStyle="1" w:styleId="Ttulo3Car">
    <w:name w:val="Título 3 Car"/>
    <w:basedOn w:val="Fuentedeprrafopredeter"/>
    <w:link w:val="Ttulo3"/>
    <w:rsid w:val="00473B63"/>
    <w:rPr>
      <w:rFonts w:ascii="Open Sans" w:eastAsia="Open Sans" w:hAnsi="Open Sans" w:cs="Open Sans"/>
      <w:b/>
      <w:color w:val="8C7252"/>
      <w:lang w:val="en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2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3125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Gustavo Toledo</cp:lastModifiedBy>
  <cp:revision>8</cp:revision>
  <dcterms:created xsi:type="dcterms:W3CDTF">2022-02-02T15:12:00Z</dcterms:created>
  <dcterms:modified xsi:type="dcterms:W3CDTF">2023-01-30T14:36:00Z</dcterms:modified>
</cp:coreProperties>
</file>