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3987" w14:textId="0DC08215" w:rsidR="00A83FC6" w:rsidRPr="00B563BC" w:rsidRDefault="00B563BC" w:rsidP="00A83FC6">
      <w:pPr>
        <w:spacing w:before="240" w:line="360" w:lineRule="auto"/>
        <w:jc w:val="right"/>
        <w:rPr>
          <w:b/>
          <w:bCs/>
          <w:i/>
          <w:iCs/>
          <w:szCs w:val="28"/>
        </w:rPr>
      </w:pPr>
      <w:r w:rsidRPr="00B563BC">
        <w:rPr>
          <w:b/>
          <w:bCs/>
          <w:i/>
          <w:iCs/>
          <w:szCs w:val="28"/>
        </w:rPr>
        <w:t>https://doi.org/10.23913/ride.v12i23.1103</w:t>
      </w:r>
    </w:p>
    <w:p w14:paraId="4CA3D4AC" w14:textId="77777777" w:rsidR="00A83FC6" w:rsidRPr="0006114E" w:rsidRDefault="00A83FC6" w:rsidP="00A83FC6">
      <w:pPr>
        <w:spacing w:before="240" w:line="360" w:lineRule="auto"/>
        <w:jc w:val="right"/>
        <w:rPr>
          <w:b/>
          <w:sz w:val="36"/>
          <w:szCs w:val="36"/>
          <w:lang w:val="es-ES"/>
        </w:rPr>
      </w:pPr>
      <w:r w:rsidRPr="0006114E">
        <w:rPr>
          <w:b/>
          <w:bCs/>
          <w:i/>
          <w:iCs/>
          <w:szCs w:val="28"/>
        </w:rPr>
        <w:t>Artículos científicos</w:t>
      </w:r>
    </w:p>
    <w:p w14:paraId="4422A227" w14:textId="77777777" w:rsidR="00A83FC6" w:rsidRPr="0006114E" w:rsidRDefault="00A83FC6" w:rsidP="00A83FC6">
      <w:pPr>
        <w:spacing w:line="276" w:lineRule="auto"/>
        <w:jc w:val="right"/>
        <w:rPr>
          <w:rFonts w:ascii="Calibri" w:hAnsi="Calibri" w:cs="Calibri"/>
          <w:b/>
          <w:color w:val="000000"/>
          <w:sz w:val="36"/>
          <w:szCs w:val="36"/>
        </w:rPr>
      </w:pPr>
      <w:r w:rsidRPr="0006114E">
        <w:rPr>
          <w:rFonts w:ascii="Calibri" w:hAnsi="Calibri" w:cs="Calibri"/>
          <w:b/>
          <w:color w:val="000000"/>
          <w:sz w:val="36"/>
          <w:szCs w:val="36"/>
        </w:rPr>
        <w:t>Análisis factorial confirmatorio: un modelo de gestión del conocimiento en la universidad pública</w:t>
      </w:r>
    </w:p>
    <w:p w14:paraId="7FB37992" w14:textId="77777777" w:rsidR="00A83FC6" w:rsidRPr="0006114E" w:rsidRDefault="00A83FC6" w:rsidP="00A83FC6">
      <w:pPr>
        <w:spacing w:line="276" w:lineRule="auto"/>
        <w:jc w:val="right"/>
        <w:rPr>
          <w:rFonts w:ascii="Calibri" w:hAnsi="Calibri" w:cs="Calibri"/>
          <w:b/>
          <w:i/>
          <w:iCs/>
          <w:color w:val="000000"/>
          <w:sz w:val="28"/>
          <w:szCs w:val="28"/>
          <w:lang w:val="en-US"/>
        </w:rPr>
      </w:pPr>
      <w:r w:rsidRPr="005D027E">
        <w:rPr>
          <w:rFonts w:ascii="Calibri" w:hAnsi="Calibri" w:cs="Calibri"/>
          <w:b/>
          <w:i/>
          <w:iCs/>
          <w:color w:val="000000"/>
          <w:sz w:val="28"/>
          <w:szCs w:val="28"/>
          <w:lang w:val="en-US"/>
        </w:rPr>
        <w:br/>
      </w:r>
      <w:r w:rsidRPr="0006114E">
        <w:rPr>
          <w:rFonts w:ascii="Calibri" w:hAnsi="Calibri" w:cs="Calibri"/>
          <w:b/>
          <w:i/>
          <w:iCs/>
          <w:color w:val="000000"/>
          <w:sz w:val="28"/>
          <w:szCs w:val="28"/>
          <w:lang w:val="en-US"/>
        </w:rPr>
        <w:t>Confirmatory factor analysis: a knowledge management model in the public university</w:t>
      </w:r>
    </w:p>
    <w:p w14:paraId="234BDA37" w14:textId="77777777" w:rsidR="00A83FC6" w:rsidRPr="0006114E" w:rsidRDefault="00A83FC6" w:rsidP="00A83FC6">
      <w:pPr>
        <w:spacing w:line="276" w:lineRule="auto"/>
        <w:jc w:val="right"/>
        <w:rPr>
          <w:rFonts w:ascii="Calibri" w:hAnsi="Calibri" w:cs="Calibri"/>
          <w:b/>
          <w:i/>
          <w:iCs/>
          <w:color w:val="000000"/>
          <w:sz w:val="28"/>
          <w:szCs w:val="28"/>
        </w:rPr>
      </w:pPr>
      <w:r w:rsidRPr="005D027E">
        <w:rPr>
          <w:rFonts w:ascii="Calibri" w:hAnsi="Calibri" w:cs="Calibri"/>
          <w:b/>
          <w:i/>
          <w:iCs/>
          <w:color w:val="000000"/>
          <w:sz w:val="28"/>
          <w:szCs w:val="28"/>
        </w:rPr>
        <w:br/>
      </w:r>
      <w:proofErr w:type="spellStart"/>
      <w:r w:rsidRPr="0006114E">
        <w:rPr>
          <w:rFonts w:ascii="Calibri" w:hAnsi="Calibri" w:cs="Calibri"/>
          <w:b/>
          <w:i/>
          <w:iCs/>
          <w:color w:val="000000"/>
          <w:sz w:val="28"/>
          <w:szCs w:val="28"/>
        </w:rPr>
        <w:t>Análise</w:t>
      </w:r>
      <w:proofErr w:type="spellEnd"/>
      <w:r w:rsidRPr="0006114E">
        <w:rPr>
          <w:rFonts w:ascii="Calibri" w:hAnsi="Calibri" w:cs="Calibri"/>
          <w:b/>
          <w:i/>
          <w:iCs/>
          <w:color w:val="000000"/>
          <w:sz w:val="28"/>
          <w:szCs w:val="28"/>
        </w:rPr>
        <w:t xml:space="preserve"> </w:t>
      </w:r>
      <w:proofErr w:type="spellStart"/>
      <w:r w:rsidRPr="0006114E">
        <w:rPr>
          <w:rFonts w:ascii="Calibri" w:hAnsi="Calibri" w:cs="Calibri"/>
          <w:b/>
          <w:i/>
          <w:iCs/>
          <w:color w:val="000000"/>
          <w:sz w:val="28"/>
          <w:szCs w:val="28"/>
        </w:rPr>
        <w:t>fatorial</w:t>
      </w:r>
      <w:proofErr w:type="spellEnd"/>
      <w:r w:rsidRPr="0006114E">
        <w:rPr>
          <w:rFonts w:ascii="Calibri" w:hAnsi="Calibri" w:cs="Calibri"/>
          <w:b/>
          <w:i/>
          <w:iCs/>
          <w:color w:val="000000"/>
          <w:sz w:val="28"/>
          <w:szCs w:val="28"/>
        </w:rPr>
        <w:t xml:space="preserve"> </w:t>
      </w:r>
      <w:proofErr w:type="spellStart"/>
      <w:r w:rsidRPr="0006114E">
        <w:rPr>
          <w:rFonts w:ascii="Calibri" w:hAnsi="Calibri" w:cs="Calibri"/>
          <w:b/>
          <w:i/>
          <w:iCs/>
          <w:color w:val="000000"/>
          <w:sz w:val="28"/>
          <w:szCs w:val="28"/>
        </w:rPr>
        <w:t>confirmatória</w:t>
      </w:r>
      <w:proofErr w:type="spellEnd"/>
      <w:r w:rsidRPr="0006114E">
        <w:rPr>
          <w:rFonts w:ascii="Calibri" w:hAnsi="Calibri" w:cs="Calibri"/>
          <w:b/>
          <w:i/>
          <w:iCs/>
          <w:color w:val="000000"/>
          <w:sz w:val="28"/>
          <w:szCs w:val="28"/>
        </w:rPr>
        <w:t xml:space="preserve">: </w:t>
      </w:r>
      <w:proofErr w:type="spellStart"/>
      <w:r w:rsidRPr="0006114E">
        <w:rPr>
          <w:rFonts w:ascii="Calibri" w:hAnsi="Calibri" w:cs="Calibri"/>
          <w:b/>
          <w:i/>
          <w:iCs/>
          <w:color w:val="000000"/>
          <w:sz w:val="28"/>
          <w:szCs w:val="28"/>
        </w:rPr>
        <w:t>um</w:t>
      </w:r>
      <w:proofErr w:type="spellEnd"/>
      <w:r w:rsidRPr="0006114E">
        <w:rPr>
          <w:rFonts w:ascii="Calibri" w:hAnsi="Calibri" w:cs="Calibri"/>
          <w:b/>
          <w:i/>
          <w:iCs/>
          <w:color w:val="000000"/>
          <w:sz w:val="28"/>
          <w:szCs w:val="28"/>
        </w:rPr>
        <w:t xml:space="preserve"> modelo de gestão do conhecimento na universidade pública</w:t>
      </w:r>
    </w:p>
    <w:p w14:paraId="4643E3CD" w14:textId="07C91557" w:rsidR="00E64679" w:rsidRDefault="00E64679" w:rsidP="00A83FC6"/>
    <w:p w14:paraId="484454DD" w14:textId="76CB6F1D" w:rsidR="00A83FC6" w:rsidRPr="00A83FC6" w:rsidRDefault="00A83FC6" w:rsidP="00A83FC6">
      <w:pPr>
        <w:spacing w:line="276" w:lineRule="auto"/>
        <w:jc w:val="right"/>
        <w:rPr>
          <w:rFonts w:asciiTheme="minorHAnsi" w:hAnsiTheme="minorHAnsi" w:cstheme="minorHAnsi"/>
          <w:b/>
          <w:bCs/>
        </w:rPr>
      </w:pPr>
      <w:r w:rsidRPr="00A83FC6">
        <w:rPr>
          <w:rFonts w:asciiTheme="minorHAnsi" w:hAnsiTheme="minorHAnsi" w:cstheme="minorHAnsi"/>
          <w:b/>
          <w:bCs/>
        </w:rPr>
        <w:t>Minerva Martínez Ávila</w:t>
      </w:r>
    </w:p>
    <w:p w14:paraId="75729C99" w14:textId="746F3F17" w:rsidR="00A83FC6" w:rsidRDefault="00A83FC6" w:rsidP="00A83FC6">
      <w:pPr>
        <w:spacing w:line="276" w:lineRule="auto"/>
        <w:jc w:val="right"/>
      </w:pPr>
      <w:r w:rsidRPr="0006114E">
        <w:t>Universidad Autónoma del Estado de México, Facultad de Contaduría y Administración, México</w:t>
      </w:r>
    </w:p>
    <w:p w14:paraId="6AD4588D" w14:textId="799A8A18" w:rsidR="00A83FC6" w:rsidRPr="00A83FC6" w:rsidRDefault="00A83FC6" w:rsidP="00A83FC6">
      <w:pPr>
        <w:spacing w:line="276" w:lineRule="auto"/>
        <w:jc w:val="right"/>
        <w:rPr>
          <w:rFonts w:asciiTheme="minorHAnsi" w:hAnsiTheme="minorHAnsi" w:cstheme="minorHAnsi"/>
          <w:color w:val="FF0000"/>
        </w:rPr>
      </w:pPr>
      <w:r w:rsidRPr="00A83FC6">
        <w:rPr>
          <w:rFonts w:asciiTheme="minorHAnsi" w:hAnsiTheme="minorHAnsi" w:cstheme="minorHAnsi"/>
          <w:color w:val="FF0000"/>
        </w:rPr>
        <w:t>mmartineza@uaemex.mx</w:t>
      </w:r>
    </w:p>
    <w:p w14:paraId="099D9F09" w14:textId="07248CB7" w:rsidR="00A83FC6" w:rsidRDefault="00A83FC6" w:rsidP="00A83FC6">
      <w:pPr>
        <w:spacing w:line="276" w:lineRule="auto"/>
        <w:jc w:val="right"/>
      </w:pPr>
      <w:r w:rsidRPr="0006114E">
        <w:t>https://orcid.org/</w:t>
      </w:r>
      <w:r>
        <w:t>0000-0002-0921-019X</w:t>
      </w:r>
    </w:p>
    <w:p w14:paraId="2BCE0BD0" w14:textId="1AA7F113" w:rsidR="00A83FC6" w:rsidRDefault="00A83FC6" w:rsidP="00A83FC6"/>
    <w:p w14:paraId="37D821F5" w14:textId="799B9119" w:rsidR="00A83FC6" w:rsidRDefault="00A83FC6" w:rsidP="00A83FC6"/>
    <w:p w14:paraId="4CAA9696" w14:textId="77777777" w:rsidR="00A83FC6" w:rsidRPr="00E547C4" w:rsidRDefault="00A83FC6" w:rsidP="00A83FC6">
      <w:pPr>
        <w:spacing w:line="360" w:lineRule="auto"/>
        <w:rPr>
          <w:rFonts w:asciiTheme="minorHAnsi" w:hAnsiTheme="minorHAnsi" w:cstheme="minorHAnsi"/>
          <w:b/>
          <w:sz w:val="28"/>
          <w:szCs w:val="28"/>
          <w:lang w:val="es-ES"/>
        </w:rPr>
      </w:pPr>
      <w:r w:rsidRPr="00E547C4">
        <w:rPr>
          <w:rFonts w:asciiTheme="minorHAnsi" w:hAnsiTheme="minorHAnsi" w:cstheme="minorHAnsi"/>
          <w:b/>
          <w:sz w:val="28"/>
          <w:szCs w:val="28"/>
          <w:lang w:val="es-ES"/>
        </w:rPr>
        <w:t>Resumen</w:t>
      </w:r>
    </w:p>
    <w:p w14:paraId="475FC4D8" w14:textId="77777777" w:rsidR="00A83FC6" w:rsidRPr="0006114E" w:rsidRDefault="00A83FC6" w:rsidP="00A83FC6">
      <w:pPr>
        <w:spacing w:line="360" w:lineRule="auto"/>
        <w:jc w:val="both"/>
        <w:rPr>
          <w:bCs/>
          <w:iCs/>
          <w:szCs w:val="28"/>
          <w:lang w:val="es-ES"/>
        </w:rPr>
      </w:pPr>
      <w:r w:rsidRPr="0006114E">
        <w:rPr>
          <w:szCs w:val="28"/>
          <w:lang w:val="es-ES"/>
        </w:rPr>
        <w:t>El análisis factorial confirmatorio (AFC) es un modelo multivariante de segunda generación en el análisis de estructuras de covarianza (CB-SEM) en la investigación en ciencias sociales. El objetivo de este artículo fue contrastar un modelo de medida a través de datos empíricos provenientes de una muestra que, teóricamente, refleje las características de la población objeto de estudio con el fin de explicar la técnica factorial confirmatoria. La metodología utilizada fue la modelación</w:t>
      </w:r>
      <w:r w:rsidRPr="0006114E">
        <w:rPr>
          <w:bCs/>
          <w:iCs/>
          <w:szCs w:val="28"/>
          <w:lang w:val="es-ES"/>
        </w:rPr>
        <w:t xml:space="preserve"> de ecuaciones estructurales (CB-SEM). Los hallazgos dan evidencia de un modelo factorial confirmatorio con cuatro factores, el cual es sustentado en el </w:t>
      </w:r>
      <w:r w:rsidRPr="0006114E">
        <w:rPr>
          <w:szCs w:val="28"/>
          <w:lang w:val="es-ES"/>
        </w:rPr>
        <w:t>modelo SECI de Nonaka y Takeuchi (1995). Esta técnica tiene aplicaciones prácticas en las ciencias sociales y del comportamiento de la investigación científica.</w:t>
      </w:r>
    </w:p>
    <w:p w14:paraId="400F6FD4" w14:textId="643D9B16" w:rsidR="00A83FC6" w:rsidRDefault="00A83FC6" w:rsidP="00A83FC6">
      <w:pPr>
        <w:spacing w:line="360" w:lineRule="auto"/>
        <w:jc w:val="both"/>
        <w:rPr>
          <w:szCs w:val="28"/>
          <w:lang w:val="es-ES"/>
        </w:rPr>
      </w:pPr>
      <w:r w:rsidRPr="00E547C4">
        <w:rPr>
          <w:rFonts w:asciiTheme="minorHAnsi" w:hAnsiTheme="minorHAnsi" w:cstheme="minorHAnsi"/>
          <w:b/>
          <w:sz w:val="28"/>
          <w:szCs w:val="28"/>
          <w:lang w:val="es-ES"/>
        </w:rPr>
        <w:t>Palabras clave:</w:t>
      </w:r>
      <w:r w:rsidRPr="00095E05">
        <w:rPr>
          <w:b/>
          <w:lang w:val="es-ES"/>
        </w:rPr>
        <w:t xml:space="preserve"> </w:t>
      </w:r>
      <w:r w:rsidRPr="0006114E">
        <w:rPr>
          <w:szCs w:val="28"/>
          <w:lang w:val="es-ES"/>
        </w:rPr>
        <w:t>análisis factorial confirmatorio, análisis factorial exploratorio, modelación CB-SEM.</w:t>
      </w:r>
    </w:p>
    <w:p w14:paraId="2A737D4D" w14:textId="77777777" w:rsidR="00BA21F4" w:rsidRPr="0006114E" w:rsidRDefault="00BA21F4" w:rsidP="00A83FC6">
      <w:pPr>
        <w:spacing w:line="360" w:lineRule="auto"/>
        <w:jc w:val="both"/>
        <w:rPr>
          <w:b/>
          <w:lang w:val="es-ES"/>
        </w:rPr>
      </w:pPr>
    </w:p>
    <w:p w14:paraId="2B41FE4B" w14:textId="77777777" w:rsidR="00A83FC6" w:rsidRPr="00E049ED" w:rsidRDefault="00A83FC6" w:rsidP="00A83FC6">
      <w:pPr>
        <w:spacing w:line="360" w:lineRule="auto"/>
        <w:rPr>
          <w:rFonts w:asciiTheme="minorHAnsi" w:hAnsiTheme="minorHAnsi" w:cstheme="minorHAnsi"/>
          <w:b/>
          <w:sz w:val="28"/>
          <w:szCs w:val="28"/>
          <w:lang w:val="en-US"/>
        </w:rPr>
      </w:pPr>
      <w:r w:rsidRPr="00E049ED">
        <w:rPr>
          <w:rFonts w:asciiTheme="minorHAnsi" w:hAnsiTheme="minorHAnsi" w:cstheme="minorHAnsi"/>
          <w:b/>
          <w:sz w:val="28"/>
          <w:szCs w:val="28"/>
          <w:lang w:val="en-US"/>
        </w:rPr>
        <w:lastRenderedPageBreak/>
        <w:t>Abstract</w:t>
      </w:r>
    </w:p>
    <w:p w14:paraId="1DC55AC4" w14:textId="77777777" w:rsidR="00A83FC6" w:rsidRPr="00C33693" w:rsidRDefault="00A83FC6" w:rsidP="00A83FC6">
      <w:pPr>
        <w:spacing w:line="360" w:lineRule="auto"/>
        <w:jc w:val="both"/>
        <w:rPr>
          <w:bCs/>
          <w:lang w:val="en-US"/>
        </w:rPr>
      </w:pPr>
      <w:r w:rsidRPr="00C33693">
        <w:rPr>
          <w:bCs/>
          <w:lang w:val="en-US"/>
        </w:rPr>
        <w:t xml:space="preserve">Confirmatory Factor Analysis (CFA) is a multivariate model in the analysis of Covariance Structures (CB-SEM) in Social Science research. The objective of the article is to contrast a measurement model through empirical data from a sample, which theoretically reflects the characteristics of the population under study, in order to explain this confirmatory factorial technique. The methodology used is Structural Equation Modeling (CB-SEM). The research findings provide evidence of a confirmatory factorial model with four factors, supported by the SECI model of Nonaka </w:t>
      </w:r>
      <w:r>
        <w:rPr>
          <w:bCs/>
          <w:lang w:val="en-US"/>
        </w:rPr>
        <w:t>y</w:t>
      </w:r>
      <w:r w:rsidRPr="00C33693">
        <w:rPr>
          <w:bCs/>
          <w:lang w:val="en-US"/>
        </w:rPr>
        <w:t xml:space="preserve"> Takeuchi (1995). This technique has practical applications in the Social and Behavioral Sciences of scientific research.</w:t>
      </w:r>
    </w:p>
    <w:p w14:paraId="3737CAAD" w14:textId="77777777" w:rsidR="00A83FC6" w:rsidRDefault="00A83FC6" w:rsidP="00A83FC6">
      <w:pPr>
        <w:spacing w:line="360" w:lineRule="auto"/>
        <w:rPr>
          <w:bCs/>
          <w:lang w:val="en-US"/>
        </w:rPr>
      </w:pPr>
      <w:r w:rsidRPr="00E049ED">
        <w:rPr>
          <w:rFonts w:asciiTheme="minorHAnsi" w:hAnsiTheme="minorHAnsi" w:cstheme="minorHAnsi"/>
          <w:b/>
          <w:sz w:val="28"/>
          <w:szCs w:val="28"/>
          <w:lang w:val="en-US"/>
        </w:rPr>
        <w:t>Keywords:</w:t>
      </w:r>
      <w:r>
        <w:rPr>
          <w:b/>
          <w:sz w:val="28"/>
          <w:szCs w:val="28"/>
          <w:lang w:val="en-US"/>
        </w:rPr>
        <w:t xml:space="preserve"> </w:t>
      </w:r>
      <w:r w:rsidRPr="00C33693">
        <w:rPr>
          <w:bCs/>
          <w:lang w:val="en-US"/>
        </w:rPr>
        <w:t>Confirmatory Factor Analysis, Exploratory Factor Analysis, CB-SEM Modeling.</w:t>
      </w:r>
    </w:p>
    <w:p w14:paraId="72670E89" w14:textId="77777777" w:rsidR="00A83FC6" w:rsidRDefault="00A83FC6" w:rsidP="00A83FC6">
      <w:pPr>
        <w:spacing w:line="360" w:lineRule="auto"/>
        <w:rPr>
          <w:bCs/>
          <w:lang w:val="en-US"/>
        </w:rPr>
      </w:pPr>
    </w:p>
    <w:p w14:paraId="76A586BE" w14:textId="77777777" w:rsidR="00A83FC6" w:rsidRPr="00E547C4" w:rsidRDefault="00A83FC6" w:rsidP="00A83FC6">
      <w:pPr>
        <w:spacing w:line="360" w:lineRule="auto"/>
        <w:rPr>
          <w:rFonts w:asciiTheme="minorHAnsi" w:hAnsiTheme="minorHAnsi" w:cstheme="minorHAnsi"/>
          <w:b/>
          <w:sz w:val="28"/>
          <w:szCs w:val="28"/>
          <w:lang w:val="es-ES"/>
        </w:rPr>
      </w:pPr>
      <w:r w:rsidRPr="00E547C4">
        <w:rPr>
          <w:rFonts w:asciiTheme="minorHAnsi" w:hAnsiTheme="minorHAnsi" w:cstheme="minorHAnsi"/>
          <w:b/>
          <w:sz w:val="28"/>
          <w:szCs w:val="28"/>
          <w:lang w:val="es-ES"/>
        </w:rPr>
        <w:t>Resumo</w:t>
      </w:r>
    </w:p>
    <w:p w14:paraId="472F134B" w14:textId="77777777" w:rsidR="00A83FC6" w:rsidRPr="00984EA5" w:rsidRDefault="00A83FC6" w:rsidP="00A83FC6">
      <w:pPr>
        <w:spacing w:line="360" w:lineRule="auto"/>
        <w:jc w:val="both"/>
        <w:rPr>
          <w:bCs/>
        </w:rPr>
      </w:pPr>
      <w:r w:rsidRPr="009D6B9D">
        <w:rPr>
          <w:bCs/>
        </w:rPr>
        <w:t xml:space="preserve">A análise fatorial confirmatória (CFA) é um modelo multivariado de segunda geração na análise de estruturas de covariância (CB-SEM) em pesquisas em ciências sociais. O objetivo deste artigo foi contrastar um modelo de medição por meio de dados empíricos de uma amostra que, teoricamente, reflete as características da população em estudo para explicar a técnica fatorial confirmatória. </w:t>
      </w:r>
      <w:r w:rsidRPr="00984EA5">
        <w:rPr>
          <w:bCs/>
        </w:rPr>
        <w:t>A metodologia utilizada foi a modelagem de equações estruturais (CB-SEM). Os resultados fornecem evidências de um modelo fatorial confirmatório com quatro fatores, que é apoiado pelo modelo SECI de Nonaka e Takeuchi (1995). Esta técnica tem aplicações práticas nas ciências sociais e comportamentais da investigação científica.</w:t>
      </w:r>
    </w:p>
    <w:p w14:paraId="74041037" w14:textId="77777777" w:rsidR="00A83FC6" w:rsidRPr="00E547C4" w:rsidRDefault="00A83FC6" w:rsidP="00A83FC6">
      <w:pPr>
        <w:spacing w:line="360" w:lineRule="auto"/>
        <w:rPr>
          <w:bCs/>
        </w:rPr>
      </w:pPr>
      <w:proofErr w:type="spellStart"/>
      <w:r w:rsidRPr="00E547C4">
        <w:rPr>
          <w:rFonts w:asciiTheme="minorHAnsi" w:hAnsiTheme="minorHAnsi" w:cstheme="minorHAnsi"/>
          <w:b/>
          <w:sz w:val="28"/>
          <w:szCs w:val="28"/>
          <w:lang w:val="es-ES"/>
        </w:rPr>
        <w:t>Palavras</w:t>
      </w:r>
      <w:proofErr w:type="spellEnd"/>
      <w:r w:rsidRPr="00E547C4">
        <w:rPr>
          <w:rFonts w:asciiTheme="minorHAnsi" w:hAnsiTheme="minorHAnsi" w:cstheme="minorHAnsi"/>
          <w:b/>
          <w:sz w:val="28"/>
          <w:szCs w:val="28"/>
          <w:lang w:val="es-ES"/>
        </w:rPr>
        <w:t>-chave:</w:t>
      </w:r>
      <w:r w:rsidRPr="00E547C4">
        <w:rPr>
          <w:b/>
          <w:sz w:val="28"/>
          <w:szCs w:val="28"/>
        </w:rPr>
        <w:t xml:space="preserve"> </w:t>
      </w:r>
      <w:r w:rsidRPr="00E547C4">
        <w:rPr>
          <w:bCs/>
        </w:rPr>
        <w:t>análise fatorial confirmatória, análise fatorial exploratória, modelagem CB-SEM.</w:t>
      </w:r>
    </w:p>
    <w:p w14:paraId="5AEF045E" w14:textId="77777777" w:rsidR="00A83FC6" w:rsidRPr="004334EF" w:rsidRDefault="00A83FC6" w:rsidP="00A83FC6">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Abril 2021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Octubre</w:t>
      </w:r>
      <w:r w:rsidRPr="00906375">
        <w:rPr>
          <w:rFonts w:ascii="Times New Roman" w:hAnsi="Times New Roman"/>
          <w:color w:val="000000"/>
          <w:sz w:val="24"/>
        </w:rPr>
        <w:t xml:space="preserve"> 202</w:t>
      </w:r>
      <w:r>
        <w:rPr>
          <w:rFonts w:ascii="Times New Roman" w:hAnsi="Times New Roman"/>
          <w:color w:val="000000"/>
          <w:sz w:val="24"/>
        </w:rPr>
        <w:t>1</w:t>
      </w:r>
    </w:p>
    <w:p w14:paraId="1E8763B1" w14:textId="77777777" w:rsidR="00A83FC6" w:rsidRPr="00C33693" w:rsidRDefault="00F84310" w:rsidP="00A83FC6">
      <w:pPr>
        <w:spacing w:line="360" w:lineRule="auto"/>
        <w:rPr>
          <w:b/>
          <w:sz w:val="28"/>
          <w:szCs w:val="28"/>
          <w:lang w:val="en-US"/>
        </w:rPr>
      </w:pPr>
      <w:r>
        <w:rPr>
          <w:noProof/>
        </w:rPr>
        <w:pict w14:anchorId="71CFD1A5">
          <v:rect id="_x0000_i1025" alt="" style="width:441.9pt;height:.05pt;mso-width-percent:0;mso-height-percent:0;mso-width-percent:0;mso-height-percent:0" o:hralign="center" o:hrstd="t" o:hr="t" fillcolor="#a0a0a0" stroked="f"/>
        </w:pict>
      </w:r>
    </w:p>
    <w:p w14:paraId="4B083319" w14:textId="77777777" w:rsidR="00A83FC6" w:rsidRDefault="00A83FC6" w:rsidP="00A83FC6">
      <w:pPr>
        <w:spacing w:line="360" w:lineRule="auto"/>
        <w:jc w:val="center"/>
        <w:rPr>
          <w:b/>
          <w:iCs/>
          <w:sz w:val="32"/>
          <w:szCs w:val="36"/>
          <w:lang w:val="es-ES"/>
        </w:rPr>
      </w:pPr>
    </w:p>
    <w:p w14:paraId="149D2FF5" w14:textId="77777777" w:rsidR="00A83FC6" w:rsidRDefault="00A83FC6" w:rsidP="00A83FC6">
      <w:pPr>
        <w:spacing w:line="360" w:lineRule="auto"/>
        <w:jc w:val="center"/>
        <w:rPr>
          <w:b/>
          <w:iCs/>
          <w:sz w:val="32"/>
          <w:szCs w:val="36"/>
          <w:lang w:val="es-ES"/>
        </w:rPr>
      </w:pPr>
    </w:p>
    <w:p w14:paraId="6D4596BA" w14:textId="77777777" w:rsidR="00A83FC6" w:rsidRDefault="00A83FC6" w:rsidP="00A83FC6">
      <w:pPr>
        <w:spacing w:line="360" w:lineRule="auto"/>
        <w:jc w:val="center"/>
        <w:rPr>
          <w:b/>
          <w:iCs/>
          <w:sz w:val="32"/>
          <w:szCs w:val="36"/>
          <w:lang w:val="es-ES"/>
        </w:rPr>
      </w:pPr>
    </w:p>
    <w:p w14:paraId="21B45DC6" w14:textId="77777777" w:rsidR="00A83FC6" w:rsidRPr="00EE23C9" w:rsidRDefault="00A83FC6" w:rsidP="00A83FC6">
      <w:pPr>
        <w:spacing w:line="360" w:lineRule="auto"/>
        <w:jc w:val="center"/>
        <w:rPr>
          <w:b/>
          <w:iCs/>
          <w:sz w:val="32"/>
          <w:szCs w:val="36"/>
          <w:lang w:val="es-ES"/>
        </w:rPr>
      </w:pPr>
      <w:r w:rsidRPr="00EE23C9">
        <w:rPr>
          <w:b/>
          <w:iCs/>
          <w:sz w:val="32"/>
          <w:szCs w:val="36"/>
          <w:lang w:val="es-ES"/>
        </w:rPr>
        <w:lastRenderedPageBreak/>
        <w:t>Introducción</w:t>
      </w:r>
    </w:p>
    <w:p w14:paraId="1F7E46AE" w14:textId="77777777" w:rsidR="00A83FC6" w:rsidRDefault="00A83FC6" w:rsidP="00A83FC6">
      <w:pPr>
        <w:spacing w:line="360" w:lineRule="auto"/>
        <w:ind w:firstLine="708"/>
        <w:jc w:val="both"/>
        <w:rPr>
          <w:bCs/>
          <w:iCs/>
          <w:lang w:val="es-ES"/>
        </w:rPr>
      </w:pPr>
      <w:r w:rsidRPr="00A07D32">
        <w:rPr>
          <w:bCs/>
          <w:iCs/>
          <w:lang w:val="es-ES"/>
        </w:rPr>
        <w:t>La modelación de ecuaciones estructurales (SEM) es una metodología estadística que toma un enfoque confirmatorio para el análisis de una teoría estructural relacionada con algún fenómeno (Byrne, 2010).</w:t>
      </w:r>
      <w:r>
        <w:rPr>
          <w:bCs/>
          <w:iCs/>
          <w:lang w:val="es-ES"/>
        </w:rPr>
        <w:t xml:space="preserve"> </w:t>
      </w:r>
      <w:r w:rsidRPr="00A07D32">
        <w:rPr>
          <w:bCs/>
          <w:iCs/>
          <w:lang w:val="es-ES"/>
        </w:rPr>
        <w:t xml:space="preserve">En esta </w:t>
      </w:r>
      <w:r w:rsidRPr="00A07D32">
        <w:rPr>
          <w:bCs/>
          <w:iCs/>
          <w:lang w:val="es-ES_tradnl"/>
        </w:rPr>
        <w:t>modelación</w:t>
      </w:r>
      <w:r w:rsidRPr="00A07D32">
        <w:rPr>
          <w:bCs/>
          <w:iCs/>
          <w:lang w:val="es-ES"/>
        </w:rPr>
        <w:t xml:space="preserve"> SEM</w:t>
      </w:r>
      <w:r>
        <w:rPr>
          <w:bCs/>
          <w:iCs/>
          <w:lang w:val="es-ES"/>
        </w:rPr>
        <w:t>,</w:t>
      </w:r>
      <w:r w:rsidRPr="00A07D32">
        <w:rPr>
          <w:bCs/>
          <w:iCs/>
          <w:lang w:val="es-ES"/>
        </w:rPr>
        <w:t xml:space="preserve"> existen dos técnicas en las ciencias sociales: 1) la basada en la covarianza (CB-SEM)</w:t>
      </w:r>
      <w:r>
        <w:rPr>
          <w:bCs/>
          <w:iCs/>
          <w:lang w:val="es-ES"/>
        </w:rPr>
        <w:t>,</w:t>
      </w:r>
      <w:r w:rsidRPr="00A07D32">
        <w:rPr>
          <w:bCs/>
          <w:iCs/>
          <w:lang w:val="es-ES"/>
        </w:rPr>
        <w:t xml:space="preserve"> que significa </w:t>
      </w:r>
      <w:proofErr w:type="spellStart"/>
      <w:r w:rsidRPr="002A07DB">
        <w:rPr>
          <w:bCs/>
          <w:i/>
          <w:iCs/>
          <w:lang w:val="es-ES"/>
        </w:rPr>
        <w:t>covariance-based</w:t>
      </w:r>
      <w:proofErr w:type="spellEnd"/>
      <w:r w:rsidRPr="002A07DB">
        <w:rPr>
          <w:bCs/>
          <w:i/>
          <w:iCs/>
          <w:lang w:val="es-ES"/>
        </w:rPr>
        <w:t xml:space="preserve"> </w:t>
      </w:r>
      <w:proofErr w:type="spellStart"/>
      <w:r w:rsidRPr="002A07DB">
        <w:rPr>
          <w:bCs/>
          <w:i/>
          <w:iCs/>
          <w:lang w:val="es-ES"/>
        </w:rPr>
        <w:t>structural</w:t>
      </w:r>
      <w:proofErr w:type="spellEnd"/>
      <w:r w:rsidRPr="002A07DB">
        <w:rPr>
          <w:bCs/>
          <w:i/>
          <w:iCs/>
          <w:lang w:val="es-ES"/>
        </w:rPr>
        <w:t xml:space="preserve"> </w:t>
      </w:r>
      <w:proofErr w:type="spellStart"/>
      <w:r w:rsidRPr="002A07DB">
        <w:rPr>
          <w:bCs/>
          <w:i/>
          <w:iCs/>
          <w:lang w:val="es-ES"/>
        </w:rPr>
        <w:t>equation</w:t>
      </w:r>
      <w:proofErr w:type="spellEnd"/>
      <w:r w:rsidRPr="002A07DB">
        <w:rPr>
          <w:bCs/>
          <w:i/>
          <w:iCs/>
          <w:lang w:val="es-ES"/>
        </w:rPr>
        <w:t xml:space="preserve"> </w:t>
      </w:r>
      <w:proofErr w:type="spellStart"/>
      <w:r w:rsidRPr="002A07DB">
        <w:rPr>
          <w:bCs/>
          <w:i/>
          <w:iCs/>
          <w:lang w:val="es-ES"/>
        </w:rPr>
        <w:t>modeling</w:t>
      </w:r>
      <w:proofErr w:type="spellEnd"/>
      <w:r w:rsidRPr="00A07D32">
        <w:rPr>
          <w:bCs/>
          <w:iCs/>
          <w:lang w:val="es-ES"/>
        </w:rPr>
        <w:t xml:space="preserve"> </w:t>
      </w:r>
      <w:r>
        <w:rPr>
          <w:bCs/>
          <w:iCs/>
          <w:lang w:val="es-ES"/>
        </w:rPr>
        <w:t>(</w:t>
      </w:r>
      <w:r w:rsidRPr="00A07D32">
        <w:rPr>
          <w:bCs/>
          <w:iCs/>
          <w:lang w:val="es-ES"/>
        </w:rPr>
        <w:t>modelación de ecuaciones estructurales basad</w:t>
      </w:r>
      <w:r>
        <w:rPr>
          <w:bCs/>
          <w:iCs/>
          <w:lang w:val="es-ES"/>
        </w:rPr>
        <w:t>a</w:t>
      </w:r>
      <w:r w:rsidRPr="00A07D32">
        <w:rPr>
          <w:bCs/>
          <w:iCs/>
          <w:lang w:val="es-ES"/>
        </w:rPr>
        <w:t>s en la covarianza</w:t>
      </w:r>
      <w:r>
        <w:rPr>
          <w:bCs/>
          <w:iCs/>
          <w:lang w:val="es-ES"/>
        </w:rPr>
        <w:t>), y</w:t>
      </w:r>
      <w:r w:rsidRPr="00A07D32">
        <w:rPr>
          <w:bCs/>
          <w:iCs/>
          <w:lang w:val="es-ES"/>
        </w:rPr>
        <w:t xml:space="preserve"> 2) la basada en la varianza </w:t>
      </w:r>
      <w:proofErr w:type="spellStart"/>
      <w:r w:rsidRPr="002A07DB">
        <w:rPr>
          <w:bCs/>
          <w:i/>
          <w:iCs/>
          <w:lang w:val="es-ES"/>
        </w:rPr>
        <w:t>partial</w:t>
      </w:r>
      <w:proofErr w:type="spellEnd"/>
      <w:r w:rsidRPr="002A07DB">
        <w:rPr>
          <w:bCs/>
          <w:i/>
          <w:iCs/>
          <w:lang w:val="es-ES"/>
        </w:rPr>
        <w:t xml:space="preserve"> </w:t>
      </w:r>
      <w:proofErr w:type="spellStart"/>
      <w:r w:rsidRPr="002A07DB">
        <w:rPr>
          <w:bCs/>
          <w:i/>
          <w:iCs/>
          <w:lang w:val="es-ES"/>
        </w:rPr>
        <w:t>least</w:t>
      </w:r>
      <w:proofErr w:type="spellEnd"/>
      <w:r w:rsidRPr="002A07DB">
        <w:rPr>
          <w:bCs/>
          <w:i/>
          <w:iCs/>
          <w:lang w:val="es-ES"/>
        </w:rPr>
        <w:t xml:space="preserve"> </w:t>
      </w:r>
      <w:proofErr w:type="spellStart"/>
      <w:r w:rsidRPr="002A07DB">
        <w:rPr>
          <w:bCs/>
          <w:i/>
          <w:iCs/>
          <w:lang w:val="es-ES"/>
        </w:rPr>
        <w:t>squares</w:t>
      </w:r>
      <w:proofErr w:type="spellEnd"/>
      <w:r w:rsidRPr="00A07D32">
        <w:rPr>
          <w:bCs/>
          <w:iCs/>
          <w:lang w:val="es-ES"/>
        </w:rPr>
        <w:t xml:space="preserve"> (PLS-SEM). La modelación CB-SEM se usa fundamentalmente para confirmar o rechazar teorías</w:t>
      </w:r>
      <w:r>
        <w:rPr>
          <w:bCs/>
          <w:iCs/>
          <w:lang w:val="es-ES"/>
        </w:rPr>
        <w:t>.</w:t>
      </w:r>
      <w:r w:rsidRPr="00A07D32">
        <w:rPr>
          <w:bCs/>
          <w:iCs/>
          <w:lang w:val="es-ES"/>
        </w:rPr>
        <w:t xml:space="preserve"> </w:t>
      </w:r>
      <w:r>
        <w:rPr>
          <w:bCs/>
          <w:iCs/>
          <w:lang w:val="es-ES"/>
        </w:rPr>
        <w:t>E</w:t>
      </w:r>
      <w:r w:rsidRPr="00A07D32">
        <w:rPr>
          <w:bCs/>
          <w:iCs/>
          <w:lang w:val="es-ES"/>
        </w:rPr>
        <w:t>s una técnica paramétrica</w:t>
      </w:r>
      <w:r>
        <w:rPr>
          <w:bCs/>
          <w:iCs/>
          <w:lang w:val="es-ES"/>
        </w:rPr>
        <w:t xml:space="preserve"> en la que</w:t>
      </w:r>
      <w:r w:rsidRPr="00A07D32">
        <w:rPr>
          <w:bCs/>
          <w:iCs/>
          <w:lang w:val="es-ES"/>
        </w:rPr>
        <w:t xml:space="preserve"> se tendrán que cumplir ciertos supuestos estadísticos para su aplicación, como la normalidad de los datos, el tamaño de muestra, entre </w:t>
      </w:r>
      <w:r w:rsidRPr="002A07DB">
        <w:rPr>
          <w:bCs/>
          <w:iCs/>
          <w:lang w:val="es-ES"/>
        </w:rPr>
        <w:t xml:space="preserve">otros. </w:t>
      </w:r>
      <w:r>
        <w:rPr>
          <w:bCs/>
          <w:iCs/>
          <w:lang w:val="es-ES"/>
        </w:rPr>
        <w:t xml:space="preserve">En cambio, la </w:t>
      </w:r>
      <w:r w:rsidRPr="00A07D32">
        <w:rPr>
          <w:bCs/>
          <w:iCs/>
          <w:lang w:val="es-ES"/>
        </w:rPr>
        <w:t>PLS-SEM es una técnica no paramétrica, enfocada en primera instancia</w:t>
      </w:r>
      <w:r>
        <w:rPr>
          <w:bCs/>
          <w:iCs/>
          <w:lang w:val="es-ES"/>
        </w:rPr>
        <w:t xml:space="preserve"> en</w:t>
      </w:r>
      <w:r w:rsidRPr="00A07D32">
        <w:rPr>
          <w:bCs/>
          <w:iCs/>
          <w:lang w:val="es-ES"/>
        </w:rPr>
        <w:t xml:space="preserve"> la predicción</w:t>
      </w:r>
      <w:r>
        <w:rPr>
          <w:bCs/>
          <w:iCs/>
          <w:lang w:val="es-ES"/>
        </w:rPr>
        <w:t>, aunque</w:t>
      </w:r>
      <w:r w:rsidRPr="00A07D32">
        <w:rPr>
          <w:bCs/>
          <w:iCs/>
          <w:lang w:val="es-ES"/>
        </w:rPr>
        <w:t xml:space="preserve"> </w:t>
      </w:r>
      <w:proofErr w:type="spellStart"/>
      <w:r w:rsidRPr="00A07D32">
        <w:rPr>
          <w:bCs/>
          <w:iCs/>
          <w:lang w:val="es-ES"/>
        </w:rPr>
        <w:t>Henseler</w:t>
      </w:r>
      <w:proofErr w:type="spellEnd"/>
      <w:r w:rsidRPr="00A07D32">
        <w:rPr>
          <w:bCs/>
          <w:iCs/>
          <w:lang w:val="es-ES"/>
        </w:rPr>
        <w:t xml:space="preserve"> (2018) argumenta que puede ser utilizada para todos los tipos de investigación (confirmatoria, explicativa, exploratoria, descriptiva y predictiva</w:t>
      </w:r>
      <w:r w:rsidRPr="002A07DB">
        <w:rPr>
          <w:bCs/>
          <w:iCs/>
          <w:lang w:val="es-ES"/>
        </w:rPr>
        <w:t>).</w:t>
      </w:r>
    </w:p>
    <w:p w14:paraId="4A6A3B35" w14:textId="77777777" w:rsidR="00A83FC6" w:rsidRDefault="00A83FC6" w:rsidP="00A83FC6">
      <w:pPr>
        <w:spacing w:line="360" w:lineRule="auto"/>
        <w:ind w:firstLine="708"/>
        <w:jc w:val="both"/>
        <w:rPr>
          <w:lang w:val="es-ES"/>
        </w:rPr>
      </w:pPr>
      <w:r w:rsidRPr="00A07D32">
        <w:rPr>
          <w:bCs/>
          <w:iCs/>
          <w:lang w:val="es-ES"/>
        </w:rPr>
        <w:t xml:space="preserve">En este contexto de ecuaciones estructurales, el presente artículo </w:t>
      </w:r>
      <w:r>
        <w:rPr>
          <w:bCs/>
          <w:iCs/>
          <w:lang w:val="es-ES"/>
        </w:rPr>
        <w:t xml:space="preserve">se sustenta en </w:t>
      </w:r>
      <w:r w:rsidRPr="00A07D32">
        <w:rPr>
          <w:bCs/>
          <w:iCs/>
          <w:lang w:val="es-ES"/>
        </w:rPr>
        <w:t>la metodología CB-SEM para explicar el análisis factorial confirmatorio. Este enfoque paramétrico se conforma por dos tipos de modelos</w:t>
      </w:r>
      <w:r>
        <w:rPr>
          <w:bCs/>
          <w:iCs/>
          <w:lang w:val="es-ES"/>
        </w:rPr>
        <w:t>:</w:t>
      </w:r>
      <w:r w:rsidRPr="00A07D32">
        <w:rPr>
          <w:bCs/>
          <w:iCs/>
          <w:lang w:val="es-ES"/>
        </w:rPr>
        <w:t xml:space="preserve"> 1) el modelo de medida y 2) el modelo estructural. Por lo tanto, el </w:t>
      </w:r>
      <w:r w:rsidRPr="00A07D32">
        <w:rPr>
          <w:lang w:val="es-ES"/>
        </w:rPr>
        <w:t>análisis factorial confirmatorio (AFC) es un modelo multivariante en el análisis de estructuras de covarianza (CB-SEM)</w:t>
      </w:r>
      <w:r w:rsidRPr="006B564D">
        <w:rPr>
          <w:lang w:val="es-ES"/>
        </w:rPr>
        <w:t>,</w:t>
      </w:r>
      <w:r w:rsidRPr="00A07D32">
        <w:rPr>
          <w:lang w:val="es-ES"/>
        </w:rPr>
        <w:t xml:space="preserve"> el cual tiene como objetivo contrastar un modelo de medida a través de datos empíricos provenientes de una muestra, que teóricamente refleje las características de la población objeto de estudio</w:t>
      </w:r>
      <w:r>
        <w:rPr>
          <w:lang w:val="es-ES"/>
        </w:rPr>
        <w:t>,</w:t>
      </w:r>
      <w:r w:rsidRPr="00A07D32">
        <w:rPr>
          <w:lang w:val="es-ES"/>
        </w:rPr>
        <w:t xml:space="preserve"> cuyo punto de partida es la construcción de un modelo sustentado en la teoría y en el análisis factorial exploratorio (AFE). </w:t>
      </w:r>
    </w:p>
    <w:p w14:paraId="686E2A5B" w14:textId="77777777" w:rsidR="00A83FC6" w:rsidRDefault="00A83FC6" w:rsidP="00A83FC6">
      <w:pPr>
        <w:spacing w:line="360" w:lineRule="auto"/>
        <w:ind w:firstLine="708"/>
        <w:jc w:val="both"/>
        <w:rPr>
          <w:lang w:val="es-ES"/>
        </w:rPr>
      </w:pPr>
      <w:r w:rsidRPr="00A07D32">
        <w:rPr>
          <w:lang w:val="es-ES"/>
        </w:rPr>
        <w:t>En la práctica</w:t>
      </w:r>
      <w:r w:rsidRPr="006B564D">
        <w:rPr>
          <w:lang w:val="es-ES"/>
        </w:rPr>
        <w:t>,</w:t>
      </w:r>
      <w:r>
        <w:rPr>
          <w:lang w:val="es-ES"/>
        </w:rPr>
        <w:t xml:space="preserve"> </w:t>
      </w:r>
      <w:r w:rsidRPr="00A07D32">
        <w:rPr>
          <w:lang w:val="es-ES"/>
        </w:rPr>
        <w:t>podemos encontrar AFC de primer, segundo o más niveles</w:t>
      </w:r>
      <w:r>
        <w:rPr>
          <w:lang w:val="es-ES"/>
        </w:rPr>
        <w:t>,</w:t>
      </w:r>
      <w:r w:rsidRPr="00A07D32">
        <w:rPr>
          <w:lang w:val="es-ES"/>
        </w:rPr>
        <w:t xml:space="preserve"> según sea el objetivo de la investigación. El AFC de primer nivel muestra variables exógenas y la covarianza entre ellas</w:t>
      </w:r>
      <w:r w:rsidRPr="006B564D">
        <w:rPr>
          <w:lang w:val="es-ES"/>
        </w:rPr>
        <w:t>,</w:t>
      </w:r>
      <w:r w:rsidRPr="00A07D32">
        <w:rPr>
          <w:lang w:val="es-ES"/>
        </w:rPr>
        <w:t xml:space="preserve"> mientras que el AFC de segundo nivel constituye una extensión del primer nivel, en donde se incorpora un nuevo constructo latente que es especificado por los factores de primer nivel, cuyo objetivo es definir las variables del modelo y la relación existente entre ellas. De esta manera, la diferencia entre ambos consiste en que las correlaciones entre los factores son sustituidas por saturaciones de esos mismos factores en la nueva variable exógena de orden superior que agrupa los constructos de primer nivel.</w:t>
      </w:r>
    </w:p>
    <w:p w14:paraId="655BD78C" w14:textId="77777777" w:rsidR="00A83FC6" w:rsidRPr="00281D4E" w:rsidRDefault="00A83FC6" w:rsidP="00A83FC6">
      <w:pPr>
        <w:spacing w:line="360" w:lineRule="auto"/>
        <w:ind w:firstLine="708"/>
        <w:jc w:val="both"/>
        <w:rPr>
          <w:noProof/>
          <w:color w:val="FF0000"/>
          <w:lang w:val="es-ES"/>
        </w:rPr>
      </w:pPr>
      <w:r w:rsidRPr="00A07D32">
        <w:rPr>
          <w:lang w:val="es-ES"/>
        </w:rPr>
        <w:lastRenderedPageBreak/>
        <w:t>Las figuras 1, 2, 3 y 4 muestran modelos de medida de primer y segundo orden o nivel superior, así como modelos de análisis causal</w:t>
      </w:r>
      <w:r>
        <w:rPr>
          <w:color w:val="FF0000"/>
          <w:lang w:val="es-ES"/>
        </w:rPr>
        <w:t xml:space="preserve"> </w:t>
      </w:r>
      <w:r w:rsidRPr="006B564D">
        <w:rPr>
          <w:lang w:val="es-ES"/>
        </w:rPr>
        <w:t>donde se puede aplicar el AFC</w:t>
      </w:r>
      <w:r>
        <w:rPr>
          <w:lang w:val="es-ES"/>
        </w:rPr>
        <w:t>.</w:t>
      </w:r>
    </w:p>
    <w:p w14:paraId="0F6904AE" w14:textId="77777777" w:rsidR="00A83FC6" w:rsidRDefault="00A83FC6" w:rsidP="00A83FC6">
      <w:pPr>
        <w:spacing w:line="360" w:lineRule="auto"/>
        <w:jc w:val="both"/>
        <w:rPr>
          <w:lang w:val="es-ES"/>
        </w:rPr>
      </w:pPr>
    </w:p>
    <w:p w14:paraId="4AE5537D" w14:textId="77777777" w:rsidR="00A83FC6" w:rsidRDefault="00A83FC6" w:rsidP="00A83FC6">
      <w:pPr>
        <w:spacing w:line="360" w:lineRule="auto"/>
        <w:jc w:val="center"/>
        <w:rPr>
          <w:lang w:val="es-ES"/>
        </w:rPr>
      </w:pPr>
      <w:r w:rsidRPr="0055015A">
        <w:rPr>
          <w:b/>
          <w:bCs/>
          <w:lang w:val="es-ES"/>
        </w:rPr>
        <w:t>Figura 1.</w:t>
      </w:r>
      <w:r>
        <w:rPr>
          <w:lang w:val="es-ES"/>
        </w:rPr>
        <w:t xml:space="preserve"> AFC de primer nivel</w:t>
      </w:r>
    </w:p>
    <w:p w14:paraId="5AC0B8CD" w14:textId="77777777" w:rsidR="00A83FC6" w:rsidRDefault="00A83FC6" w:rsidP="00A83FC6">
      <w:pPr>
        <w:spacing w:line="360" w:lineRule="auto"/>
        <w:jc w:val="center"/>
        <w:rPr>
          <w:lang w:val="es-ES"/>
        </w:rPr>
      </w:pPr>
      <w:r>
        <w:rPr>
          <w:noProof/>
          <w:lang w:val="es-VE" w:eastAsia="es-VE"/>
        </w:rPr>
        <w:drawing>
          <wp:inline distT="0" distB="0" distL="0" distR="0" wp14:anchorId="0654F5DE" wp14:editId="0468F1CA">
            <wp:extent cx="3452398" cy="3242310"/>
            <wp:effectExtent l="0" t="0" r="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7"/>
                    <a:stretch>
                      <a:fillRect/>
                    </a:stretch>
                  </pic:blipFill>
                  <pic:spPr>
                    <a:xfrm>
                      <a:off x="0" y="0"/>
                      <a:ext cx="3495164" cy="3282473"/>
                    </a:xfrm>
                    <a:prstGeom prst="rect">
                      <a:avLst/>
                    </a:prstGeom>
                  </pic:spPr>
                </pic:pic>
              </a:graphicData>
            </a:graphic>
          </wp:inline>
        </w:drawing>
      </w:r>
    </w:p>
    <w:p w14:paraId="2E7E7ADF" w14:textId="77777777" w:rsidR="00A83FC6" w:rsidRDefault="00A83FC6" w:rsidP="00A83FC6">
      <w:pPr>
        <w:spacing w:line="360" w:lineRule="auto"/>
        <w:jc w:val="center"/>
        <w:rPr>
          <w:lang w:val="es-ES"/>
        </w:rPr>
      </w:pPr>
      <w:r>
        <w:rPr>
          <w:lang w:val="es-ES"/>
        </w:rPr>
        <w:t>Fuente: Elaboración propia</w:t>
      </w:r>
    </w:p>
    <w:p w14:paraId="453C9427" w14:textId="77777777" w:rsidR="00A83FC6" w:rsidRDefault="00A83FC6" w:rsidP="00A83FC6">
      <w:pPr>
        <w:spacing w:line="360" w:lineRule="auto"/>
        <w:jc w:val="center"/>
        <w:rPr>
          <w:b/>
          <w:bCs/>
          <w:lang w:val="es-ES"/>
        </w:rPr>
      </w:pPr>
    </w:p>
    <w:p w14:paraId="400C7F86" w14:textId="77777777" w:rsidR="00A83FC6" w:rsidRDefault="00A83FC6" w:rsidP="00A83FC6">
      <w:pPr>
        <w:spacing w:line="360" w:lineRule="auto"/>
        <w:jc w:val="center"/>
        <w:rPr>
          <w:lang w:val="es-ES"/>
        </w:rPr>
      </w:pPr>
      <w:r w:rsidRPr="0055015A">
        <w:rPr>
          <w:b/>
          <w:bCs/>
          <w:lang w:val="es-ES"/>
        </w:rPr>
        <w:t xml:space="preserve">Figura </w:t>
      </w:r>
      <w:r>
        <w:rPr>
          <w:b/>
          <w:bCs/>
          <w:lang w:val="es-ES"/>
        </w:rPr>
        <w:t>2</w:t>
      </w:r>
      <w:r w:rsidRPr="0055015A">
        <w:rPr>
          <w:b/>
          <w:bCs/>
          <w:lang w:val="es-ES"/>
        </w:rPr>
        <w:t>.</w:t>
      </w:r>
      <w:r>
        <w:rPr>
          <w:lang w:val="es-ES"/>
        </w:rPr>
        <w:t xml:space="preserve"> AFC de segundo nivel</w:t>
      </w:r>
    </w:p>
    <w:p w14:paraId="3A850BFA" w14:textId="77777777" w:rsidR="00A83FC6" w:rsidRDefault="00A83FC6" w:rsidP="00A83FC6">
      <w:pPr>
        <w:spacing w:line="360" w:lineRule="auto"/>
        <w:jc w:val="center"/>
        <w:rPr>
          <w:lang w:val="es-ES"/>
        </w:rPr>
      </w:pPr>
      <w:r>
        <w:rPr>
          <w:noProof/>
          <w:lang w:val="es-VE" w:eastAsia="es-VE"/>
        </w:rPr>
        <w:drawing>
          <wp:inline distT="0" distB="0" distL="0" distR="0" wp14:anchorId="491075F7" wp14:editId="178A5A08">
            <wp:extent cx="2650921" cy="2767899"/>
            <wp:effectExtent l="0" t="0" r="3810" b="127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8"/>
                    <a:stretch>
                      <a:fillRect/>
                    </a:stretch>
                  </pic:blipFill>
                  <pic:spPr>
                    <a:xfrm>
                      <a:off x="0" y="0"/>
                      <a:ext cx="2665599" cy="2783225"/>
                    </a:xfrm>
                    <a:prstGeom prst="rect">
                      <a:avLst/>
                    </a:prstGeom>
                  </pic:spPr>
                </pic:pic>
              </a:graphicData>
            </a:graphic>
          </wp:inline>
        </w:drawing>
      </w:r>
    </w:p>
    <w:p w14:paraId="1D293690" w14:textId="77777777" w:rsidR="00A83FC6" w:rsidRDefault="00A83FC6" w:rsidP="00A83FC6">
      <w:pPr>
        <w:spacing w:line="360" w:lineRule="auto"/>
        <w:jc w:val="center"/>
        <w:rPr>
          <w:lang w:val="es-ES"/>
        </w:rPr>
      </w:pPr>
      <w:r>
        <w:rPr>
          <w:lang w:val="es-ES"/>
        </w:rPr>
        <w:t>Fuente: Elaboración propia</w:t>
      </w:r>
    </w:p>
    <w:p w14:paraId="511EE364" w14:textId="77777777" w:rsidR="00A83FC6" w:rsidRDefault="00A83FC6" w:rsidP="00A83FC6">
      <w:pPr>
        <w:spacing w:line="360" w:lineRule="auto"/>
        <w:jc w:val="center"/>
        <w:rPr>
          <w:lang w:val="es-ES"/>
        </w:rPr>
      </w:pPr>
      <w:r w:rsidRPr="007B0289">
        <w:rPr>
          <w:b/>
          <w:bCs/>
          <w:lang w:val="es-ES"/>
        </w:rPr>
        <w:lastRenderedPageBreak/>
        <w:t>Figura 3.</w:t>
      </w:r>
      <w:r>
        <w:rPr>
          <w:lang w:val="es-ES"/>
        </w:rPr>
        <w:t xml:space="preserve"> Análisis causal</w:t>
      </w:r>
    </w:p>
    <w:p w14:paraId="29064C32" w14:textId="77777777" w:rsidR="00A83FC6" w:rsidRDefault="00A83FC6" w:rsidP="00A83FC6">
      <w:pPr>
        <w:spacing w:line="360" w:lineRule="auto"/>
        <w:jc w:val="center"/>
        <w:rPr>
          <w:lang w:val="es-ES"/>
        </w:rPr>
      </w:pPr>
      <w:r>
        <w:rPr>
          <w:noProof/>
          <w:lang w:val="es-VE" w:eastAsia="es-VE"/>
        </w:rPr>
        <w:drawing>
          <wp:inline distT="0" distB="0" distL="0" distR="0" wp14:anchorId="31AC9490" wp14:editId="44CC1FDE">
            <wp:extent cx="3565321" cy="2970296"/>
            <wp:effectExtent l="0" t="0" r="3810" b="1905"/>
            <wp:docPr id="7" name="Imagen 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agrama&#10;&#10;Descripción generada automáticamente"/>
                    <pic:cNvPicPr/>
                  </pic:nvPicPr>
                  <pic:blipFill>
                    <a:blip r:embed="rId9"/>
                    <a:stretch>
                      <a:fillRect/>
                    </a:stretch>
                  </pic:blipFill>
                  <pic:spPr>
                    <a:xfrm>
                      <a:off x="0" y="0"/>
                      <a:ext cx="3578642" cy="2981393"/>
                    </a:xfrm>
                    <a:prstGeom prst="rect">
                      <a:avLst/>
                    </a:prstGeom>
                  </pic:spPr>
                </pic:pic>
              </a:graphicData>
            </a:graphic>
          </wp:inline>
        </w:drawing>
      </w:r>
    </w:p>
    <w:p w14:paraId="71A5DDF9" w14:textId="77777777" w:rsidR="00A83FC6" w:rsidRDefault="00A83FC6" w:rsidP="00A83FC6">
      <w:pPr>
        <w:spacing w:line="360" w:lineRule="auto"/>
        <w:jc w:val="center"/>
        <w:rPr>
          <w:lang w:val="es-ES"/>
        </w:rPr>
      </w:pPr>
      <w:r>
        <w:rPr>
          <w:lang w:val="es-ES"/>
        </w:rPr>
        <w:t>Fuente: Elaboración propia</w:t>
      </w:r>
    </w:p>
    <w:p w14:paraId="03418210" w14:textId="77777777" w:rsidR="00A83FC6" w:rsidRDefault="00A83FC6" w:rsidP="00A83FC6">
      <w:pPr>
        <w:spacing w:line="360" w:lineRule="auto"/>
        <w:jc w:val="both"/>
        <w:rPr>
          <w:b/>
          <w:bCs/>
          <w:lang w:val="es-ES"/>
        </w:rPr>
      </w:pPr>
    </w:p>
    <w:p w14:paraId="032742CF" w14:textId="77777777" w:rsidR="00A83FC6" w:rsidRDefault="00A83FC6" w:rsidP="00A83FC6">
      <w:pPr>
        <w:spacing w:line="360" w:lineRule="auto"/>
        <w:jc w:val="center"/>
        <w:rPr>
          <w:lang w:val="es-ES"/>
        </w:rPr>
      </w:pPr>
      <w:r w:rsidRPr="00F56B36">
        <w:rPr>
          <w:b/>
          <w:bCs/>
          <w:lang w:val="es-ES"/>
        </w:rPr>
        <w:t>Figura 4</w:t>
      </w:r>
      <w:r>
        <w:rPr>
          <w:b/>
          <w:bCs/>
          <w:lang w:val="es-ES"/>
        </w:rPr>
        <w:t>.</w:t>
      </w:r>
      <w:r>
        <w:rPr>
          <w:lang w:val="es-ES"/>
        </w:rPr>
        <w:t xml:space="preserve"> Nivel causal con dos niveles de causalidad</w:t>
      </w:r>
    </w:p>
    <w:p w14:paraId="143AAC03" w14:textId="77777777" w:rsidR="00A83FC6" w:rsidRDefault="00A83FC6" w:rsidP="00A83FC6">
      <w:pPr>
        <w:spacing w:line="360" w:lineRule="auto"/>
        <w:jc w:val="center"/>
        <w:rPr>
          <w:lang w:val="es-ES"/>
        </w:rPr>
      </w:pPr>
      <w:r>
        <w:rPr>
          <w:noProof/>
          <w:lang w:val="es-VE" w:eastAsia="es-VE"/>
        </w:rPr>
        <w:drawing>
          <wp:inline distT="0" distB="0" distL="0" distR="0" wp14:anchorId="65EF7365" wp14:editId="2E2ACB2D">
            <wp:extent cx="4903854" cy="3380763"/>
            <wp:effectExtent l="0" t="0" r="0" b="0"/>
            <wp:docPr id="8" name="Imagen 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agrama&#10;&#10;Descripción generada automáticamente"/>
                    <pic:cNvPicPr/>
                  </pic:nvPicPr>
                  <pic:blipFill>
                    <a:blip r:embed="rId10"/>
                    <a:stretch>
                      <a:fillRect/>
                    </a:stretch>
                  </pic:blipFill>
                  <pic:spPr>
                    <a:xfrm>
                      <a:off x="0" y="0"/>
                      <a:ext cx="4913626" cy="3387500"/>
                    </a:xfrm>
                    <a:prstGeom prst="rect">
                      <a:avLst/>
                    </a:prstGeom>
                  </pic:spPr>
                </pic:pic>
              </a:graphicData>
            </a:graphic>
          </wp:inline>
        </w:drawing>
      </w:r>
    </w:p>
    <w:p w14:paraId="29E5AB08" w14:textId="77777777" w:rsidR="00A83FC6" w:rsidRPr="00331BC8" w:rsidRDefault="00A83FC6" w:rsidP="00A83FC6">
      <w:pPr>
        <w:spacing w:line="360" w:lineRule="auto"/>
        <w:jc w:val="center"/>
        <w:rPr>
          <w:lang w:val="es-ES"/>
        </w:rPr>
      </w:pPr>
      <w:r>
        <w:rPr>
          <w:lang w:val="es-ES"/>
        </w:rPr>
        <w:t xml:space="preserve">Fuente: Elaboración propia </w:t>
      </w:r>
    </w:p>
    <w:p w14:paraId="6ADF09BF"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lastRenderedPageBreak/>
        <w:t>Por lo tanto, el análisis factorial confirmatorio estima el modelo de medición</w:t>
      </w:r>
      <w:r>
        <w:rPr>
          <w:color w:val="000000" w:themeColor="text1"/>
          <w:lang w:val="es-ES"/>
        </w:rPr>
        <w:t xml:space="preserve"> con</w:t>
      </w:r>
      <w:r w:rsidRPr="00A07D32">
        <w:rPr>
          <w:color w:val="000000" w:themeColor="text1"/>
          <w:lang w:val="es-ES"/>
        </w:rPr>
        <w:t xml:space="preserve"> </w:t>
      </w:r>
      <w:r>
        <w:rPr>
          <w:color w:val="000000" w:themeColor="text1"/>
          <w:lang w:val="es-ES"/>
        </w:rPr>
        <w:t xml:space="preserve">la </w:t>
      </w:r>
      <w:r w:rsidRPr="00A07D32">
        <w:rPr>
          <w:color w:val="000000" w:themeColor="text1"/>
          <w:lang w:val="es-ES"/>
        </w:rPr>
        <w:t xml:space="preserve">finalidad </w:t>
      </w:r>
      <w:r>
        <w:rPr>
          <w:color w:val="000000" w:themeColor="text1"/>
          <w:lang w:val="es-ES"/>
        </w:rPr>
        <w:t>de</w:t>
      </w:r>
      <w:r w:rsidRPr="00A07D32">
        <w:rPr>
          <w:color w:val="000000" w:themeColor="text1"/>
          <w:lang w:val="es-ES"/>
        </w:rPr>
        <w:t xml:space="preserve"> conseguir la fiabilidad y validez del modelo para posteriormente estimar el modelo estructural, que corresponde al modelo de investigación. El AFC se compone, por lo general</w:t>
      </w:r>
      <w:r>
        <w:rPr>
          <w:color w:val="000000" w:themeColor="text1"/>
          <w:lang w:val="es-ES"/>
        </w:rPr>
        <w:t>,</w:t>
      </w:r>
      <w:r w:rsidRPr="00A07D32">
        <w:rPr>
          <w:color w:val="000000" w:themeColor="text1"/>
          <w:lang w:val="es-ES"/>
        </w:rPr>
        <w:t xml:space="preserve"> de seis fases: 1) especificación del modelo, 2) identificación, 3) estimación de parámetros, 4) ajustes del modelo, 5) interpretación y 6) </w:t>
      </w:r>
      <w:proofErr w:type="spellStart"/>
      <w:r w:rsidRPr="00A07D32">
        <w:rPr>
          <w:color w:val="000000" w:themeColor="text1"/>
          <w:lang w:val="es-ES"/>
        </w:rPr>
        <w:t>reespecificación</w:t>
      </w:r>
      <w:proofErr w:type="spellEnd"/>
      <w:r>
        <w:rPr>
          <w:color w:val="000000" w:themeColor="text1"/>
          <w:lang w:val="es-ES"/>
        </w:rPr>
        <w:t>,</w:t>
      </w:r>
      <w:r w:rsidRPr="00A07D32">
        <w:rPr>
          <w:color w:val="000000" w:themeColor="text1"/>
          <w:lang w:val="es-ES"/>
        </w:rPr>
        <w:t xml:space="preserve"> aspectos que deben tener como base la teoría y el análisis factorial exploratorio </w:t>
      </w:r>
      <w:r>
        <w:rPr>
          <w:color w:val="000000" w:themeColor="text1"/>
          <w:lang w:val="es-ES"/>
        </w:rPr>
        <w:t>(Lé</w:t>
      </w:r>
      <w:r w:rsidRPr="00A07D32">
        <w:rPr>
          <w:color w:val="000000" w:themeColor="text1"/>
          <w:lang w:val="es-ES"/>
        </w:rPr>
        <w:t xml:space="preserve">vy </w:t>
      </w:r>
      <w:r w:rsidRPr="001639F2">
        <w:rPr>
          <w:lang w:val="es-ES"/>
        </w:rPr>
        <w:t>y Varela</w:t>
      </w:r>
      <w:r w:rsidRPr="00A07D32">
        <w:rPr>
          <w:color w:val="000000" w:themeColor="text1"/>
          <w:lang w:val="es-ES"/>
        </w:rPr>
        <w:t>, 2006).</w:t>
      </w:r>
    </w:p>
    <w:p w14:paraId="0985C2BA"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t>El análisis factorial exploratorio (AFE) es una técnica estadístic</w:t>
      </w:r>
      <w:r>
        <w:rPr>
          <w:color w:val="000000" w:themeColor="text1"/>
          <w:lang w:val="es-ES"/>
        </w:rPr>
        <w:t>a</w:t>
      </w:r>
      <w:r w:rsidRPr="00A07D32">
        <w:rPr>
          <w:color w:val="000000" w:themeColor="text1"/>
          <w:lang w:val="es-ES"/>
        </w:rPr>
        <w:t xml:space="preserve"> que permite explorar un conjunto de variables observables (</w:t>
      </w:r>
      <w:r>
        <w:rPr>
          <w:color w:val="000000" w:themeColor="text1"/>
          <w:lang w:val="es-ES"/>
        </w:rPr>
        <w:t>í</w:t>
      </w:r>
      <w:r w:rsidRPr="00A07D32">
        <w:rPr>
          <w:color w:val="000000" w:themeColor="text1"/>
          <w:lang w:val="es-ES"/>
        </w:rPr>
        <w:t xml:space="preserve">tems) a través de un número reducido de factores que muestran las correlaciones entre </w:t>
      </w:r>
      <w:r>
        <w:rPr>
          <w:color w:val="000000" w:themeColor="text1"/>
          <w:lang w:val="es-ES"/>
        </w:rPr>
        <w:t>el</w:t>
      </w:r>
      <w:r w:rsidRPr="00A07D32">
        <w:rPr>
          <w:color w:val="000000" w:themeColor="text1"/>
          <w:lang w:val="es-ES"/>
        </w:rPr>
        <w:t xml:space="preserve"> conjunto de variables observadas. En el conjunto de datos de variables se busca</w:t>
      </w:r>
      <w:r>
        <w:rPr>
          <w:color w:val="000000" w:themeColor="text1"/>
          <w:lang w:val="es-ES"/>
        </w:rPr>
        <w:t>n</w:t>
      </w:r>
      <w:r w:rsidRPr="00A07D32">
        <w:rPr>
          <w:color w:val="000000" w:themeColor="text1"/>
          <w:lang w:val="es-ES"/>
        </w:rPr>
        <w:t xml:space="preserve"> aquellas que están muy relacionadas (o correlacionadas) y se agrupan para formar una nueva dimensión. En primera instancia, esta técnica </w:t>
      </w:r>
      <w:r>
        <w:rPr>
          <w:color w:val="000000" w:themeColor="text1"/>
          <w:lang w:val="es-ES"/>
        </w:rPr>
        <w:t>—</w:t>
      </w:r>
      <w:r w:rsidRPr="00A07D32">
        <w:rPr>
          <w:color w:val="000000" w:themeColor="text1"/>
          <w:lang w:val="es-ES"/>
        </w:rPr>
        <w:t xml:space="preserve">al analizar las relaciones entre los </w:t>
      </w:r>
      <w:r w:rsidRPr="006B564D">
        <w:rPr>
          <w:lang w:val="es-ES"/>
        </w:rPr>
        <w:t>ítems</w:t>
      </w:r>
      <w:r>
        <w:rPr>
          <w:lang w:val="es-ES"/>
        </w:rPr>
        <w:t>—</w:t>
      </w:r>
      <w:r w:rsidRPr="00A07D32">
        <w:rPr>
          <w:color w:val="000000" w:themeColor="text1"/>
          <w:lang w:val="es-ES"/>
        </w:rPr>
        <w:t xml:space="preserve"> permite determinar si tiene sentido </w:t>
      </w:r>
      <w:r>
        <w:rPr>
          <w:color w:val="000000" w:themeColor="text1"/>
          <w:lang w:val="es-ES"/>
        </w:rPr>
        <w:t xml:space="preserve">efectuar </w:t>
      </w:r>
      <w:r w:rsidRPr="00A07D32">
        <w:rPr>
          <w:color w:val="000000" w:themeColor="text1"/>
          <w:lang w:val="es-ES"/>
        </w:rPr>
        <w:t>el análisis. Si las variables no estuvieran asociadas linealmente, las correlaciones entre ellas serían nulas</w:t>
      </w:r>
      <w:r w:rsidRPr="007F5884">
        <w:rPr>
          <w:color w:val="FF0000"/>
          <w:lang w:val="es-ES"/>
        </w:rPr>
        <w:t xml:space="preserve"> </w:t>
      </w:r>
      <w:r w:rsidRPr="00A07D32">
        <w:rPr>
          <w:color w:val="000000" w:themeColor="text1"/>
          <w:lang w:val="es-ES"/>
        </w:rPr>
        <w:t>y</w:t>
      </w:r>
      <w:r>
        <w:rPr>
          <w:color w:val="000000" w:themeColor="text1"/>
          <w:lang w:val="es-ES"/>
        </w:rPr>
        <w:t>,</w:t>
      </w:r>
      <w:r w:rsidRPr="00A07D32">
        <w:rPr>
          <w:color w:val="000000" w:themeColor="text1"/>
          <w:lang w:val="es-ES"/>
        </w:rPr>
        <w:t xml:space="preserve"> por consiguiente, sería una matriz identidad que impide la realización del análisis (Ferrán, 2001). Además, es recomendable cumplir con el principio de </w:t>
      </w:r>
      <w:r w:rsidRPr="006B564D">
        <w:rPr>
          <w:lang w:val="es-ES"/>
        </w:rPr>
        <w:t>parsimonia</w:t>
      </w:r>
      <w:r w:rsidRPr="00A07D32">
        <w:rPr>
          <w:color w:val="000000" w:themeColor="text1"/>
          <w:lang w:val="es-ES"/>
        </w:rPr>
        <w:t xml:space="preserve"> e interpretabilidad, donde los fenómenos se deben explicar con el menor número de elementos posibles para ser susceptibles de </w:t>
      </w:r>
      <w:r>
        <w:rPr>
          <w:color w:val="000000" w:themeColor="text1"/>
          <w:lang w:val="es-ES"/>
        </w:rPr>
        <w:t>interpretación sustantiva (Marti</w:t>
      </w:r>
      <w:r w:rsidRPr="00A07D32">
        <w:rPr>
          <w:color w:val="000000" w:themeColor="text1"/>
          <w:lang w:val="es-ES"/>
        </w:rPr>
        <w:t xml:space="preserve">n, Cabero </w:t>
      </w:r>
      <w:r w:rsidRPr="006B564D">
        <w:rPr>
          <w:color w:val="000000" w:themeColor="text1"/>
          <w:lang w:val="es-ES"/>
        </w:rPr>
        <w:t>y</w:t>
      </w:r>
      <w:r w:rsidRPr="00A07D32">
        <w:rPr>
          <w:color w:val="000000" w:themeColor="text1"/>
          <w:lang w:val="es-ES"/>
        </w:rPr>
        <w:t xml:space="preserve"> De Paz, 2008). </w:t>
      </w:r>
    </w:p>
    <w:p w14:paraId="6B8C010E"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t xml:space="preserve">El procedimiento del AFE permite agrupar los </w:t>
      </w:r>
      <w:r w:rsidRPr="006B564D">
        <w:rPr>
          <w:lang w:val="es-ES"/>
        </w:rPr>
        <w:t>ítems</w:t>
      </w:r>
      <w:r w:rsidRPr="00A07D32">
        <w:rPr>
          <w:color w:val="000000" w:themeColor="text1"/>
          <w:lang w:val="es-ES"/>
        </w:rPr>
        <w:t xml:space="preserve"> de acuerdo </w:t>
      </w:r>
      <w:r>
        <w:rPr>
          <w:color w:val="000000" w:themeColor="text1"/>
          <w:lang w:val="es-ES"/>
        </w:rPr>
        <w:t>con</w:t>
      </w:r>
      <w:r w:rsidRPr="00A07D32">
        <w:rPr>
          <w:color w:val="000000" w:themeColor="text1"/>
          <w:lang w:val="es-ES"/>
        </w:rPr>
        <w:t xml:space="preserve"> la correlación hacia un factor.</w:t>
      </w:r>
      <w:r>
        <w:rPr>
          <w:color w:val="000000" w:themeColor="text1"/>
          <w:lang w:val="es-ES"/>
        </w:rPr>
        <w:t xml:space="preserve"> </w:t>
      </w:r>
      <w:r w:rsidRPr="00A07D32">
        <w:rPr>
          <w:color w:val="000000" w:themeColor="text1"/>
          <w:lang w:val="es-ES"/>
        </w:rPr>
        <w:t xml:space="preserve">Existen varios estadísticos descriptivos que analizan la matriz de correlaciones, entre los más usuales el test de esfericidad de </w:t>
      </w:r>
      <w:proofErr w:type="spellStart"/>
      <w:r w:rsidRPr="00A07D32">
        <w:rPr>
          <w:color w:val="000000" w:themeColor="text1"/>
          <w:lang w:val="es-ES"/>
        </w:rPr>
        <w:t>Barlett</w:t>
      </w:r>
      <w:proofErr w:type="spellEnd"/>
      <w:r>
        <w:rPr>
          <w:color w:val="000000" w:themeColor="text1"/>
          <w:lang w:val="es-ES"/>
        </w:rPr>
        <w:t>,</w:t>
      </w:r>
      <w:r w:rsidRPr="00A07D32">
        <w:rPr>
          <w:color w:val="000000" w:themeColor="text1"/>
          <w:lang w:val="es-ES"/>
        </w:rPr>
        <w:t xml:space="preserve"> que se </w:t>
      </w:r>
      <w:r>
        <w:rPr>
          <w:color w:val="000000" w:themeColor="text1"/>
          <w:lang w:val="es-ES"/>
        </w:rPr>
        <w:t>emplea</w:t>
      </w:r>
      <w:r w:rsidRPr="00A07D32">
        <w:rPr>
          <w:color w:val="000000" w:themeColor="text1"/>
          <w:lang w:val="es-ES"/>
        </w:rPr>
        <w:t xml:space="preserve"> para someter a comprobación la hipótesis nula de que la matriz de correlación es cero</w:t>
      </w:r>
      <w:r>
        <w:rPr>
          <w:color w:val="000000" w:themeColor="text1"/>
          <w:lang w:val="es-ES"/>
        </w:rPr>
        <w:t>; mientras que</w:t>
      </w:r>
      <w:r w:rsidRPr="00A07D32">
        <w:rPr>
          <w:color w:val="000000" w:themeColor="text1"/>
          <w:lang w:val="es-ES"/>
        </w:rPr>
        <w:t xml:space="preserve"> el índice KMO de Kaiser-Meyer-</w:t>
      </w:r>
      <w:proofErr w:type="spellStart"/>
      <w:r w:rsidRPr="00A07D32">
        <w:rPr>
          <w:color w:val="000000" w:themeColor="text1"/>
          <w:lang w:val="es-ES"/>
        </w:rPr>
        <w:t>Oklin</w:t>
      </w:r>
      <w:proofErr w:type="spellEnd"/>
      <w:r w:rsidRPr="00A07D32">
        <w:rPr>
          <w:color w:val="000000" w:themeColor="text1"/>
          <w:lang w:val="es-ES"/>
        </w:rPr>
        <w:t xml:space="preserve"> mide la magnitud de los coeficientes de correlación dentro del parámetro de 0 a 1. </w:t>
      </w:r>
    </w:p>
    <w:p w14:paraId="75116BB8" w14:textId="77777777" w:rsidR="00A83FC6" w:rsidRDefault="00A83FC6" w:rsidP="00A83FC6">
      <w:pPr>
        <w:spacing w:line="360" w:lineRule="auto"/>
        <w:ind w:firstLine="708"/>
        <w:jc w:val="both"/>
        <w:rPr>
          <w:color w:val="000000" w:themeColor="text1"/>
          <w:lang w:val="es-ES"/>
        </w:rPr>
      </w:pPr>
      <w:r w:rsidRPr="006B564D">
        <w:rPr>
          <w:lang w:val="es-ES"/>
        </w:rPr>
        <w:t>Por su parte</w:t>
      </w:r>
      <w:r>
        <w:rPr>
          <w:color w:val="000000" w:themeColor="text1"/>
          <w:lang w:val="es-ES"/>
        </w:rPr>
        <w:t xml:space="preserve">, </w:t>
      </w:r>
      <w:r w:rsidRPr="00A07D32">
        <w:rPr>
          <w:color w:val="000000" w:themeColor="text1"/>
          <w:lang w:val="es-ES"/>
        </w:rPr>
        <w:t>Garza, Morales y González (2013) considera</w:t>
      </w:r>
      <w:r>
        <w:rPr>
          <w:color w:val="000000" w:themeColor="text1"/>
          <w:lang w:val="es-ES"/>
        </w:rPr>
        <w:t>n</w:t>
      </w:r>
      <w:r w:rsidRPr="00A07D32">
        <w:rPr>
          <w:color w:val="000000" w:themeColor="text1"/>
          <w:lang w:val="es-ES"/>
        </w:rPr>
        <w:t xml:space="preserve"> que valores de KMO de .90 en adelante son excelente</w:t>
      </w:r>
      <w:r>
        <w:rPr>
          <w:color w:val="000000" w:themeColor="text1"/>
          <w:lang w:val="es-ES"/>
        </w:rPr>
        <w:t>s</w:t>
      </w:r>
      <w:r w:rsidRPr="00A07D32">
        <w:rPr>
          <w:color w:val="000000" w:themeColor="text1"/>
          <w:lang w:val="es-ES"/>
        </w:rPr>
        <w:t xml:space="preserve">, </w:t>
      </w:r>
      <w:r>
        <w:rPr>
          <w:color w:val="000000" w:themeColor="text1"/>
          <w:lang w:val="es-ES"/>
        </w:rPr>
        <w:t xml:space="preserve">de </w:t>
      </w:r>
      <w:r w:rsidRPr="00A07D32">
        <w:rPr>
          <w:color w:val="000000" w:themeColor="text1"/>
          <w:lang w:val="es-ES"/>
        </w:rPr>
        <w:t>.80 a .90 bueno</w:t>
      </w:r>
      <w:r>
        <w:rPr>
          <w:color w:val="000000" w:themeColor="text1"/>
          <w:lang w:val="es-ES"/>
        </w:rPr>
        <w:t>s</w:t>
      </w:r>
      <w:r w:rsidRPr="00A07D32">
        <w:rPr>
          <w:color w:val="000000" w:themeColor="text1"/>
          <w:lang w:val="es-ES"/>
        </w:rPr>
        <w:t xml:space="preserve">, </w:t>
      </w:r>
      <w:r>
        <w:rPr>
          <w:color w:val="000000" w:themeColor="text1"/>
          <w:lang w:val="es-ES"/>
        </w:rPr>
        <w:t xml:space="preserve">de </w:t>
      </w:r>
      <w:r w:rsidRPr="00A07D32">
        <w:rPr>
          <w:color w:val="000000" w:themeColor="text1"/>
          <w:lang w:val="es-ES"/>
        </w:rPr>
        <w:t>.70 a .80 aceptable</w:t>
      </w:r>
      <w:r>
        <w:rPr>
          <w:color w:val="000000" w:themeColor="text1"/>
          <w:lang w:val="es-ES"/>
        </w:rPr>
        <w:t>s</w:t>
      </w:r>
      <w:r w:rsidRPr="00A07D32">
        <w:rPr>
          <w:color w:val="000000" w:themeColor="text1"/>
          <w:lang w:val="es-ES"/>
        </w:rPr>
        <w:t>, .60 a .70 regular</w:t>
      </w:r>
      <w:r>
        <w:rPr>
          <w:color w:val="000000" w:themeColor="text1"/>
          <w:lang w:val="es-ES"/>
        </w:rPr>
        <w:t>es</w:t>
      </w:r>
      <w:r w:rsidRPr="00A07D32">
        <w:rPr>
          <w:color w:val="000000" w:themeColor="text1"/>
          <w:lang w:val="es-ES"/>
        </w:rPr>
        <w:t xml:space="preserve">, </w:t>
      </w:r>
      <w:r>
        <w:rPr>
          <w:color w:val="000000" w:themeColor="text1"/>
          <w:lang w:val="es-ES"/>
        </w:rPr>
        <w:t xml:space="preserve">de </w:t>
      </w:r>
      <w:r w:rsidRPr="00A07D32">
        <w:rPr>
          <w:color w:val="000000" w:themeColor="text1"/>
          <w:lang w:val="es-ES"/>
        </w:rPr>
        <w:t xml:space="preserve">.50 a </w:t>
      </w:r>
      <w:r>
        <w:rPr>
          <w:color w:val="000000" w:themeColor="text1"/>
          <w:lang w:val="es-ES"/>
        </w:rPr>
        <w:t>.</w:t>
      </w:r>
      <w:r w:rsidRPr="00A07D32">
        <w:rPr>
          <w:color w:val="000000" w:themeColor="text1"/>
          <w:lang w:val="es-ES"/>
        </w:rPr>
        <w:t>60 bajo</w:t>
      </w:r>
      <w:r>
        <w:rPr>
          <w:color w:val="000000" w:themeColor="text1"/>
          <w:lang w:val="es-ES"/>
        </w:rPr>
        <w:t>s,</w:t>
      </w:r>
      <w:r w:rsidRPr="00A07D32">
        <w:rPr>
          <w:color w:val="000000" w:themeColor="text1"/>
          <w:lang w:val="es-ES"/>
        </w:rPr>
        <w:t xml:space="preserve"> y menor</w:t>
      </w:r>
      <w:r>
        <w:rPr>
          <w:color w:val="000000" w:themeColor="text1"/>
          <w:lang w:val="es-ES"/>
        </w:rPr>
        <w:t>es de</w:t>
      </w:r>
      <w:r w:rsidRPr="00A07D32">
        <w:rPr>
          <w:color w:val="000000" w:themeColor="text1"/>
          <w:lang w:val="es-ES"/>
        </w:rPr>
        <w:t xml:space="preserve"> .50 inaceptable</w:t>
      </w:r>
      <w:r>
        <w:rPr>
          <w:color w:val="000000" w:themeColor="text1"/>
          <w:lang w:val="es-ES"/>
        </w:rPr>
        <w:t>s</w:t>
      </w:r>
      <w:r w:rsidRPr="00A07D32">
        <w:rPr>
          <w:color w:val="000000" w:themeColor="text1"/>
          <w:lang w:val="es-ES"/>
        </w:rPr>
        <w:t>. Es importante analizar cada variable mediante la diagonal de dicha matriz</w:t>
      </w:r>
      <w:r>
        <w:rPr>
          <w:color w:val="000000" w:themeColor="text1"/>
          <w:lang w:val="es-ES"/>
        </w:rPr>
        <w:t>.</w:t>
      </w:r>
      <w:r w:rsidRPr="00A07D32">
        <w:rPr>
          <w:color w:val="000000" w:themeColor="text1"/>
          <w:lang w:val="es-ES"/>
        </w:rPr>
        <w:t xml:space="preserve"> </w:t>
      </w:r>
      <w:r>
        <w:rPr>
          <w:color w:val="000000" w:themeColor="text1"/>
          <w:lang w:val="es-ES"/>
        </w:rPr>
        <w:t>L</w:t>
      </w:r>
      <w:r w:rsidRPr="00A07D32">
        <w:rPr>
          <w:color w:val="000000" w:themeColor="text1"/>
          <w:lang w:val="es-ES"/>
        </w:rPr>
        <w:t>os valores deberán ser ≥ .5</w:t>
      </w:r>
      <w:r>
        <w:rPr>
          <w:color w:val="000000" w:themeColor="text1"/>
          <w:lang w:val="es-ES"/>
        </w:rPr>
        <w:t>;</w:t>
      </w:r>
      <w:r w:rsidRPr="00A07D32">
        <w:rPr>
          <w:color w:val="000000" w:themeColor="text1"/>
          <w:lang w:val="es-ES"/>
        </w:rPr>
        <w:t xml:space="preserve"> en caso de ser menor</w:t>
      </w:r>
      <w:r>
        <w:rPr>
          <w:color w:val="000000" w:themeColor="text1"/>
          <w:lang w:val="es-ES"/>
        </w:rPr>
        <w:t>es,</w:t>
      </w:r>
      <w:r w:rsidRPr="00A07D32">
        <w:rPr>
          <w:color w:val="000000" w:themeColor="text1"/>
          <w:lang w:val="es-ES"/>
        </w:rPr>
        <w:t xml:space="preserve"> la variable deberá de ser eliminada del análisis y proceder a un nuevo proceso </w:t>
      </w:r>
      <w:proofErr w:type="gramStart"/>
      <w:r w:rsidRPr="00A07D32">
        <w:rPr>
          <w:color w:val="000000" w:themeColor="text1"/>
          <w:lang w:val="es-ES"/>
        </w:rPr>
        <w:t>( Garza</w:t>
      </w:r>
      <w:proofErr w:type="gramEnd"/>
      <w:r>
        <w:rPr>
          <w:color w:val="000000" w:themeColor="text1"/>
          <w:lang w:val="es-ES"/>
        </w:rPr>
        <w:t xml:space="preserve"> </w:t>
      </w:r>
      <w:r w:rsidRPr="0093540C">
        <w:rPr>
          <w:i/>
          <w:color w:val="000000" w:themeColor="text1"/>
          <w:lang w:val="es-ES"/>
        </w:rPr>
        <w:t>et al</w:t>
      </w:r>
      <w:r w:rsidRPr="00A07D32">
        <w:rPr>
          <w:color w:val="000000" w:themeColor="text1"/>
          <w:lang w:val="es-ES"/>
        </w:rPr>
        <w:t>.</w:t>
      </w:r>
      <w:r>
        <w:rPr>
          <w:color w:val="000000" w:themeColor="text1"/>
          <w:lang w:val="es-ES"/>
        </w:rPr>
        <w:t>,</w:t>
      </w:r>
      <w:r w:rsidRPr="00A07D32">
        <w:rPr>
          <w:color w:val="000000" w:themeColor="text1"/>
          <w:lang w:val="es-ES"/>
        </w:rPr>
        <w:t xml:space="preserve"> 2013).</w:t>
      </w:r>
    </w:p>
    <w:p w14:paraId="385E78F1" w14:textId="77777777" w:rsidR="00A83FC6" w:rsidRDefault="00A83FC6" w:rsidP="00A83FC6">
      <w:pPr>
        <w:spacing w:line="360" w:lineRule="auto"/>
        <w:ind w:firstLine="708"/>
        <w:jc w:val="both"/>
        <w:rPr>
          <w:color w:val="000000" w:themeColor="text1"/>
          <w:lang w:val="es-ES"/>
        </w:rPr>
      </w:pPr>
    </w:p>
    <w:p w14:paraId="1B527C36"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lastRenderedPageBreak/>
        <w:t xml:space="preserve">En cuanto al método de extracción de factores, existen diversos, </w:t>
      </w:r>
      <w:r>
        <w:rPr>
          <w:color w:val="000000" w:themeColor="text1"/>
          <w:lang w:val="es-ES"/>
        </w:rPr>
        <w:t>aunque</w:t>
      </w:r>
      <w:r w:rsidRPr="00A07D32">
        <w:rPr>
          <w:color w:val="000000" w:themeColor="text1"/>
          <w:lang w:val="es-ES"/>
        </w:rPr>
        <w:t xml:space="preserve"> los más usados en paquetes de programas estadísticos </w:t>
      </w:r>
      <w:r>
        <w:rPr>
          <w:color w:val="000000" w:themeColor="text1"/>
          <w:lang w:val="es-ES"/>
        </w:rPr>
        <w:t>son</w:t>
      </w:r>
      <w:r w:rsidRPr="00A07D32">
        <w:rPr>
          <w:color w:val="000000" w:themeColor="text1"/>
          <w:lang w:val="es-ES"/>
        </w:rPr>
        <w:t xml:space="preserve"> </w:t>
      </w:r>
      <w:r>
        <w:rPr>
          <w:color w:val="000000" w:themeColor="text1"/>
          <w:lang w:val="es-ES"/>
        </w:rPr>
        <w:t xml:space="preserve">los </w:t>
      </w:r>
      <w:r w:rsidRPr="00A07D32">
        <w:rPr>
          <w:color w:val="000000" w:themeColor="text1"/>
          <w:lang w:val="es-ES"/>
        </w:rPr>
        <w:t>componentes principales (PC) y el de máxima verosimilitud (ML). En este caso</w:t>
      </w:r>
      <w:r>
        <w:rPr>
          <w:color w:val="000000" w:themeColor="text1"/>
          <w:lang w:val="es-ES"/>
        </w:rPr>
        <w:t>,</w:t>
      </w:r>
      <w:r w:rsidRPr="00A07D32">
        <w:rPr>
          <w:color w:val="000000" w:themeColor="text1"/>
          <w:lang w:val="es-ES"/>
        </w:rPr>
        <w:t xml:space="preserve"> se usó el de PC</w:t>
      </w:r>
      <w:r>
        <w:rPr>
          <w:color w:val="000000" w:themeColor="text1"/>
          <w:lang w:val="es-ES"/>
        </w:rPr>
        <w:t>,</w:t>
      </w:r>
      <w:r w:rsidRPr="00A07D32">
        <w:rPr>
          <w:color w:val="000000" w:themeColor="text1"/>
          <w:lang w:val="es-ES"/>
        </w:rPr>
        <w:t xml:space="preserve"> que extrae factores basados en autovalores mayores que </w:t>
      </w:r>
      <w:r>
        <w:rPr>
          <w:color w:val="000000" w:themeColor="text1"/>
          <w:lang w:val="es-ES"/>
        </w:rPr>
        <w:t>1</w:t>
      </w:r>
      <w:r w:rsidRPr="00A07D32">
        <w:rPr>
          <w:color w:val="000000" w:themeColor="text1"/>
          <w:lang w:val="es-ES"/>
        </w:rPr>
        <w:t xml:space="preserve"> y determina la varianza explicada</w:t>
      </w:r>
      <w:r>
        <w:rPr>
          <w:color w:val="000000" w:themeColor="text1"/>
          <w:lang w:val="es-ES"/>
        </w:rPr>
        <w:t>.</w:t>
      </w:r>
      <w:r w:rsidRPr="00A07D32">
        <w:rPr>
          <w:color w:val="000000" w:themeColor="text1"/>
          <w:lang w:val="es-ES"/>
        </w:rPr>
        <w:t xml:space="preserve"> </w:t>
      </w:r>
      <w:r>
        <w:rPr>
          <w:color w:val="000000" w:themeColor="text1"/>
          <w:lang w:val="es-ES"/>
        </w:rPr>
        <w:t>Asimismo, p</w:t>
      </w:r>
      <w:r w:rsidRPr="00A07D32">
        <w:rPr>
          <w:color w:val="000000" w:themeColor="text1"/>
          <w:lang w:val="es-ES"/>
        </w:rPr>
        <w:t>ara que este alcance un nivel satisfactorio es recomendable que sea de 75</w:t>
      </w:r>
      <w:r>
        <w:rPr>
          <w:color w:val="000000" w:themeColor="text1"/>
          <w:lang w:val="es-ES"/>
        </w:rPr>
        <w:t xml:space="preserve"> </w:t>
      </w:r>
      <w:r w:rsidRPr="00A07D32">
        <w:rPr>
          <w:color w:val="000000" w:themeColor="text1"/>
          <w:lang w:val="es-ES"/>
        </w:rPr>
        <w:t xml:space="preserve">% </w:t>
      </w:r>
      <w:r>
        <w:rPr>
          <w:color w:val="000000" w:themeColor="text1"/>
          <w:lang w:val="es-ES"/>
        </w:rPr>
        <w:t>u</w:t>
      </w:r>
      <w:r w:rsidRPr="00A07D32">
        <w:rPr>
          <w:color w:val="000000" w:themeColor="text1"/>
          <w:lang w:val="es-ES"/>
        </w:rPr>
        <w:t xml:space="preserve"> 80</w:t>
      </w:r>
      <w:r>
        <w:rPr>
          <w:color w:val="000000" w:themeColor="text1"/>
          <w:lang w:val="es-ES"/>
        </w:rPr>
        <w:t xml:space="preserve"> % (Marti</w:t>
      </w:r>
      <w:r w:rsidRPr="00A07D32">
        <w:rPr>
          <w:color w:val="000000" w:themeColor="text1"/>
          <w:lang w:val="es-ES"/>
        </w:rPr>
        <w:t xml:space="preserve">n </w:t>
      </w:r>
      <w:r w:rsidRPr="0093540C">
        <w:rPr>
          <w:i/>
          <w:color w:val="000000" w:themeColor="text1"/>
          <w:lang w:val="es-ES"/>
        </w:rPr>
        <w:t>et al</w:t>
      </w:r>
      <w:r w:rsidRPr="00A07D32">
        <w:rPr>
          <w:color w:val="000000" w:themeColor="text1"/>
          <w:lang w:val="es-ES"/>
        </w:rPr>
        <w:t>., 2008). En lo que respecta a las rotaciones factoriales que indica</w:t>
      </w:r>
      <w:r>
        <w:rPr>
          <w:color w:val="000000" w:themeColor="text1"/>
          <w:lang w:val="es-ES"/>
        </w:rPr>
        <w:t>n</w:t>
      </w:r>
      <w:r w:rsidRPr="00A07D32">
        <w:rPr>
          <w:color w:val="000000" w:themeColor="text1"/>
          <w:lang w:val="es-ES"/>
        </w:rPr>
        <w:t xml:space="preserve"> la relación entre los factores y las variables</w:t>
      </w:r>
      <w:r>
        <w:rPr>
          <w:color w:val="000000" w:themeColor="text1"/>
          <w:lang w:val="es-ES"/>
        </w:rPr>
        <w:t>,</w:t>
      </w:r>
      <w:r w:rsidRPr="00A07D32">
        <w:rPr>
          <w:color w:val="000000" w:themeColor="text1"/>
          <w:lang w:val="es-ES"/>
        </w:rPr>
        <w:t xml:space="preserve"> es recomendable </w:t>
      </w:r>
      <w:r>
        <w:rPr>
          <w:color w:val="000000" w:themeColor="text1"/>
          <w:lang w:val="es-ES"/>
        </w:rPr>
        <w:t>utilizar</w:t>
      </w:r>
      <w:r w:rsidRPr="00A07D32">
        <w:rPr>
          <w:color w:val="000000" w:themeColor="text1"/>
          <w:lang w:val="es-ES"/>
        </w:rPr>
        <w:t xml:space="preserve"> el método </w:t>
      </w:r>
      <w:proofErr w:type="spellStart"/>
      <w:r w:rsidRPr="00A07D32">
        <w:rPr>
          <w:color w:val="000000" w:themeColor="text1"/>
          <w:lang w:val="es-ES"/>
        </w:rPr>
        <w:t>Varimax</w:t>
      </w:r>
      <w:proofErr w:type="spellEnd"/>
      <w:r w:rsidRPr="00A07D32">
        <w:rPr>
          <w:color w:val="000000" w:themeColor="text1"/>
          <w:lang w:val="es-ES"/>
        </w:rPr>
        <w:t>, que minimiza el número de variables que tienen saturaciones altas en cada factor para una interpretación; aquí se analiza la carga del factor que permite ver la relación de las variables con cada factor (Mart</w:t>
      </w:r>
      <w:r>
        <w:rPr>
          <w:color w:val="000000" w:themeColor="text1"/>
          <w:lang w:val="es-ES"/>
        </w:rPr>
        <w:t>i</w:t>
      </w:r>
      <w:r w:rsidRPr="00A07D32">
        <w:rPr>
          <w:color w:val="000000" w:themeColor="text1"/>
          <w:lang w:val="es-ES"/>
        </w:rPr>
        <w:t xml:space="preserve">n </w:t>
      </w:r>
      <w:r w:rsidRPr="0093540C">
        <w:rPr>
          <w:i/>
          <w:color w:val="000000" w:themeColor="text1"/>
          <w:lang w:val="es-ES"/>
        </w:rPr>
        <w:t>et al</w:t>
      </w:r>
      <w:r w:rsidRPr="00A07D32">
        <w:rPr>
          <w:color w:val="000000" w:themeColor="text1"/>
          <w:lang w:val="es-ES"/>
        </w:rPr>
        <w:t>., 2008).</w:t>
      </w:r>
    </w:p>
    <w:p w14:paraId="4673E21B" w14:textId="77777777" w:rsidR="00A83FC6" w:rsidRPr="0093540C" w:rsidRDefault="00A83FC6" w:rsidP="00A83FC6">
      <w:pPr>
        <w:spacing w:line="360" w:lineRule="auto"/>
        <w:ind w:firstLine="708"/>
        <w:jc w:val="both"/>
        <w:rPr>
          <w:lang w:val="es-ES"/>
        </w:rPr>
      </w:pPr>
      <w:r w:rsidRPr="00B07CB8">
        <w:rPr>
          <w:lang w:val="es-ES"/>
        </w:rPr>
        <w:t>En lo que respecta a la escala de medición, debe contene</w:t>
      </w:r>
      <w:r>
        <w:rPr>
          <w:lang w:val="es-ES"/>
        </w:rPr>
        <w:t>r</w:t>
      </w:r>
      <w:r w:rsidRPr="00B07CB8">
        <w:rPr>
          <w:lang w:val="es-ES"/>
        </w:rPr>
        <w:t xml:space="preserve"> principalmente</w:t>
      </w:r>
      <w:r>
        <w:rPr>
          <w:lang w:val="es-ES"/>
        </w:rPr>
        <w:t xml:space="preserve"> </w:t>
      </w:r>
      <w:r w:rsidRPr="00B07CB8">
        <w:rPr>
          <w:lang w:val="es-ES"/>
        </w:rPr>
        <w:t>asimetría y equidistancia. Además, debe estar sustentada por la teoría subyacente al problema</w:t>
      </w:r>
      <w:r>
        <w:rPr>
          <w:lang w:val="es-ES"/>
        </w:rPr>
        <w:t xml:space="preserve">, y </w:t>
      </w:r>
      <w:r w:rsidRPr="00B07CB8">
        <w:rPr>
          <w:lang w:val="es-ES"/>
        </w:rPr>
        <w:t xml:space="preserve">la muestra debe cumplir con los requisitos paramétricos en cuanto al tamaño. Las figuras 5 y 6 </w:t>
      </w:r>
      <w:r>
        <w:rPr>
          <w:lang w:val="es-ES"/>
        </w:rPr>
        <w:t>enseñan</w:t>
      </w:r>
      <w:r w:rsidRPr="00B07CB8">
        <w:rPr>
          <w:lang w:val="es-ES"/>
        </w:rPr>
        <w:t xml:space="preserve"> la diferencia entre un modelo factorial exploratorio y un confirmatorio.</w:t>
      </w:r>
    </w:p>
    <w:p w14:paraId="66B61261" w14:textId="77777777" w:rsidR="00A83FC6" w:rsidRDefault="00A83FC6" w:rsidP="00A83FC6">
      <w:pPr>
        <w:spacing w:line="360" w:lineRule="auto"/>
        <w:jc w:val="both"/>
        <w:rPr>
          <w:color w:val="000000" w:themeColor="text1"/>
          <w:lang w:val="es-ES"/>
        </w:rPr>
      </w:pPr>
    </w:p>
    <w:p w14:paraId="71EBF4A4" w14:textId="77777777" w:rsidR="00A83FC6" w:rsidRDefault="00A83FC6" w:rsidP="00A83FC6">
      <w:pPr>
        <w:spacing w:line="360" w:lineRule="auto"/>
        <w:jc w:val="center"/>
        <w:rPr>
          <w:color w:val="000000" w:themeColor="text1"/>
          <w:lang w:val="es-ES"/>
        </w:rPr>
      </w:pPr>
      <w:r w:rsidRPr="00F56B36">
        <w:rPr>
          <w:b/>
          <w:bCs/>
          <w:color w:val="000000" w:themeColor="text1"/>
          <w:lang w:val="es-ES"/>
        </w:rPr>
        <w:t>Figura 5.</w:t>
      </w:r>
      <w:r>
        <w:rPr>
          <w:color w:val="000000" w:themeColor="text1"/>
          <w:lang w:val="es-ES"/>
        </w:rPr>
        <w:t xml:space="preserve"> Estructura AFE</w:t>
      </w:r>
    </w:p>
    <w:p w14:paraId="04153CE1" w14:textId="77777777" w:rsidR="00A83FC6" w:rsidRDefault="00A83FC6" w:rsidP="00A83FC6">
      <w:pPr>
        <w:spacing w:line="360" w:lineRule="auto"/>
        <w:jc w:val="both"/>
        <w:rPr>
          <w:color w:val="000000" w:themeColor="text1"/>
          <w:lang w:val="es-ES"/>
        </w:rPr>
      </w:pPr>
    </w:p>
    <w:p w14:paraId="3DCD3C9C" w14:textId="77777777" w:rsidR="00A83FC6" w:rsidRDefault="00A83FC6" w:rsidP="00A83FC6">
      <w:pPr>
        <w:spacing w:line="360" w:lineRule="auto"/>
        <w:jc w:val="both"/>
        <w:rPr>
          <w:color w:val="000000" w:themeColor="text1"/>
          <w:lang w:val="es-ES"/>
        </w:rPr>
      </w:pPr>
      <w:r>
        <w:rPr>
          <w:noProof/>
          <w:color w:val="000000" w:themeColor="text1"/>
          <w:lang w:val="es-VE" w:eastAsia="es-VE"/>
        </w:rPr>
        <w:drawing>
          <wp:inline distT="0" distB="0" distL="0" distR="0" wp14:anchorId="3AC13CE3" wp14:editId="2249AB81">
            <wp:extent cx="2976245" cy="2535061"/>
            <wp:effectExtent l="0" t="0" r="0" b="5080"/>
            <wp:docPr id="9" name="Imagen 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agrama&#10;&#10;Descripción generada automáticamente"/>
                    <pic:cNvPicPr/>
                  </pic:nvPicPr>
                  <pic:blipFill>
                    <a:blip r:embed="rId11"/>
                    <a:stretch>
                      <a:fillRect/>
                    </a:stretch>
                  </pic:blipFill>
                  <pic:spPr>
                    <a:xfrm>
                      <a:off x="0" y="0"/>
                      <a:ext cx="2997105" cy="2552829"/>
                    </a:xfrm>
                    <a:prstGeom prst="rect">
                      <a:avLst/>
                    </a:prstGeom>
                  </pic:spPr>
                </pic:pic>
              </a:graphicData>
            </a:graphic>
          </wp:inline>
        </w:drawing>
      </w:r>
    </w:p>
    <w:p w14:paraId="059B0158" w14:textId="77777777" w:rsidR="00A83FC6" w:rsidRDefault="00A83FC6" w:rsidP="00A83FC6">
      <w:pPr>
        <w:spacing w:line="360" w:lineRule="auto"/>
        <w:jc w:val="center"/>
        <w:rPr>
          <w:color w:val="000000" w:themeColor="text1"/>
          <w:lang w:val="es-ES"/>
        </w:rPr>
      </w:pPr>
      <w:r>
        <w:rPr>
          <w:color w:val="000000" w:themeColor="text1"/>
          <w:lang w:val="es-ES"/>
        </w:rPr>
        <w:t>Fuente: Elaboración propia</w:t>
      </w:r>
    </w:p>
    <w:p w14:paraId="268F4A30" w14:textId="77777777" w:rsidR="00A83FC6" w:rsidRDefault="00A83FC6" w:rsidP="00A83FC6">
      <w:pPr>
        <w:spacing w:line="360" w:lineRule="auto"/>
        <w:jc w:val="center"/>
        <w:rPr>
          <w:b/>
          <w:bCs/>
          <w:color w:val="000000" w:themeColor="text1"/>
          <w:lang w:val="es-ES"/>
        </w:rPr>
      </w:pPr>
    </w:p>
    <w:p w14:paraId="621DD646" w14:textId="77777777" w:rsidR="00A83FC6" w:rsidRDefault="00A83FC6" w:rsidP="00A83FC6">
      <w:pPr>
        <w:spacing w:line="360" w:lineRule="auto"/>
        <w:jc w:val="center"/>
        <w:rPr>
          <w:b/>
          <w:bCs/>
          <w:color w:val="000000" w:themeColor="text1"/>
          <w:lang w:val="es-ES"/>
        </w:rPr>
      </w:pPr>
    </w:p>
    <w:p w14:paraId="2DB2162B" w14:textId="77777777" w:rsidR="00A83FC6" w:rsidRDefault="00A83FC6" w:rsidP="00A83FC6">
      <w:pPr>
        <w:spacing w:line="360" w:lineRule="auto"/>
        <w:jc w:val="center"/>
        <w:rPr>
          <w:b/>
          <w:bCs/>
          <w:color w:val="000000" w:themeColor="text1"/>
          <w:lang w:val="es-ES"/>
        </w:rPr>
      </w:pPr>
    </w:p>
    <w:p w14:paraId="24094830" w14:textId="77777777" w:rsidR="00A83FC6" w:rsidRDefault="00A83FC6" w:rsidP="00A83FC6">
      <w:pPr>
        <w:spacing w:line="360" w:lineRule="auto"/>
        <w:jc w:val="center"/>
        <w:rPr>
          <w:b/>
          <w:bCs/>
          <w:color w:val="000000" w:themeColor="text1"/>
          <w:lang w:val="es-ES"/>
        </w:rPr>
      </w:pPr>
    </w:p>
    <w:p w14:paraId="132327BE" w14:textId="77777777" w:rsidR="00A83FC6" w:rsidRDefault="00A83FC6" w:rsidP="00A83FC6">
      <w:pPr>
        <w:spacing w:line="360" w:lineRule="auto"/>
        <w:jc w:val="center"/>
        <w:rPr>
          <w:color w:val="000000" w:themeColor="text1"/>
          <w:lang w:val="es-ES"/>
        </w:rPr>
      </w:pPr>
      <w:r w:rsidRPr="00B67885">
        <w:rPr>
          <w:b/>
          <w:bCs/>
          <w:color w:val="000000" w:themeColor="text1"/>
          <w:lang w:val="es-ES"/>
        </w:rPr>
        <w:lastRenderedPageBreak/>
        <w:t>Figura 6.</w:t>
      </w:r>
      <w:r>
        <w:rPr>
          <w:color w:val="000000" w:themeColor="text1"/>
          <w:lang w:val="es-ES"/>
        </w:rPr>
        <w:t xml:space="preserve"> Estructura AFC</w:t>
      </w:r>
    </w:p>
    <w:p w14:paraId="46B85062" w14:textId="77777777" w:rsidR="00A83FC6" w:rsidRDefault="00A83FC6" w:rsidP="00A83FC6">
      <w:pPr>
        <w:spacing w:line="360" w:lineRule="auto"/>
        <w:jc w:val="center"/>
        <w:rPr>
          <w:color w:val="000000" w:themeColor="text1"/>
          <w:lang w:val="es-ES"/>
        </w:rPr>
      </w:pPr>
      <w:r>
        <w:rPr>
          <w:noProof/>
          <w:color w:val="000000" w:themeColor="text1"/>
          <w:lang w:val="es-VE" w:eastAsia="es-VE"/>
        </w:rPr>
        <w:drawing>
          <wp:inline distT="0" distB="0" distL="0" distR="0" wp14:anchorId="7F4541EF" wp14:editId="1EFF785E">
            <wp:extent cx="2709644" cy="2412968"/>
            <wp:effectExtent l="0" t="0" r="0" b="635"/>
            <wp:docPr id="14" name="Imagen 1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Diagrama&#10;&#10;Descripción generada automáticamente"/>
                    <pic:cNvPicPr/>
                  </pic:nvPicPr>
                  <pic:blipFill>
                    <a:blip r:embed="rId12"/>
                    <a:stretch>
                      <a:fillRect/>
                    </a:stretch>
                  </pic:blipFill>
                  <pic:spPr>
                    <a:xfrm>
                      <a:off x="0" y="0"/>
                      <a:ext cx="2717774" cy="2420208"/>
                    </a:xfrm>
                    <a:prstGeom prst="rect">
                      <a:avLst/>
                    </a:prstGeom>
                  </pic:spPr>
                </pic:pic>
              </a:graphicData>
            </a:graphic>
          </wp:inline>
        </w:drawing>
      </w:r>
    </w:p>
    <w:p w14:paraId="27F08776" w14:textId="77777777" w:rsidR="00A83FC6" w:rsidRDefault="00A83FC6" w:rsidP="00A83FC6">
      <w:pPr>
        <w:spacing w:line="360" w:lineRule="auto"/>
        <w:jc w:val="center"/>
        <w:rPr>
          <w:color w:val="000000" w:themeColor="text1"/>
          <w:lang w:val="es-ES"/>
        </w:rPr>
      </w:pPr>
      <w:r>
        <w:rPr>
          <w:color w:val="000000" w:themeColor="text1"/>
          <w:lang w:val="es-ES"/>
        </w:rPr>
        <w:t xml:space="preserve">Fuente: Elaboración propia </w:t>
      </w:r>
    </w:p>
    <w:p w14:paraId="518974C3"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t xml:space="preserve">En estas figuras se observa que existen ciertas diferencias en su estructura; en primer lugar, el AFE hace una búsqueda de relaciones de correlación donde el científico tiene que evaluar en </w:t>
      </w:r>
      <w:r>
        <w:rPr>
          <w:color w:val="000000" w:themeColor="text1"/>
          <w:lang w:val="es-ES"/>
        </w:rPr>
        <w:t>cuál</w:t>
      </w:r>
      <w:r w:rsidRPr="00A07D32">
        <w:rPr>
          <w:color w:val="000000" w:themeColor="text1"/>
          <w:lang w:val="es-ES"/>
        </w:rPr>
        <w:t xml:space="preserve"> factor o dimensión se tiene mayor o menor carga factorial para determinar a qué dimensión corresponde cada reactivo</w:t>
      </w:r>
      <w:r w:rsidRPr="00B07CB8">
        <w:rPr>
          <w:lang w:val="es-ES"/>
        </w:rPr>
        <w:t>.</w:t>
      </w:r>
      <w:r w:rsidRPr="00A07D32">
        <w:rPr>
          <w:color w:val="000000" w:themeColor="text1"/>
          <w:lang w:val="es-ES"/>
        </w:rPr>
        <w:t xml:space="preserve"> </w:t>
      </w:r>
      <w:r>
        <w:rPr>
          <w:color w:val="000000" w:themeColor="text1"/>
          <w:lang w:val="es-ES"/>
        </w:rPr>
        <w:t>Esto</w:t>
      </w:r>
      <w:r w:rsidRPr="00A07D32">
        <w:rPr>
          <w:color w:val="000000" w:themeColor="text1"/>
          <w:lang w:val="es-ES"/>
        </w:rPr>
        <w:t xml:space="preserve"> necesariamente tiene que evaluarse con la revisión de la literatura, lo </w:t>
      </w:r>
      <w:r>
        <w:rPr>
          <w:color w:val="000000" w:themeColor="text1"/>
          <w:lang w:val="es-ES"/>
        </w:rPr>
        <w:t>que</w:t>
      </w:r>
      <w:r w:rsidRPr="00A07D32">
        <w:rPr>
          <w:color w:val="000000" w:themeColor="text1"/>
          <w:lang w:val="es-ES"/>
        </w:rPr>
        <w:t xml:space="preserve"> respalda </w:t>
      </w:r>
      <w:r>
        <w:rPr>
          <w:color w:val="000000" w:themeColor="text1"/>
          <w:lang w:val="es-ES"/>
        </w:rPr>
        <w:t xml:space="preserve">a </w:t>
      </w:r>
      <w:r w:rsidRPr="00A07D32">
        <w:rPr>
          <w:color w:val="000000" w:themeColor="text1"/>
          <w:lang w:val="es-ES"/>
        </w:rPr>
        <w:t>los reactivos con sus dimensiones correspondientes</w:t>
      </w:r>
      <w:r>
        <w:rPr>
          <w:color w:val="000000" w:themeColor="text1"/>
          <w:lang w:val="es-ES"/>
        </w:rPr>
        <w:t xml:space="preserve"> para </w:t>
      </w:r>
      <w:r w:rsidRPr="00A07D32">
        <w:rPr>
          <w:color w:val="000000" w:themeColor="text1"/>
          <w:lang w:val="es-ES"/>
        </w:rPr>
        <w:t>que</w:t>
      </w:r>
      <w:r w:rsidRPr="00B07CB8">
        <w:rPr>
          <w:color w:val="000000" w:themeColor="text1"/>
          <w:lang w:val="es-ES"/>
        </w:rPr>
        <w:t>,</w:t>
      </w:r>
      <w:r w:rsidRPr="00A07D32">
        <w:rPr>
          <w:color w:val="000000" w:themeColor="text1"/>
          <w:lang w:val="es-ES"/>
        </w:rPr>
        <w:t xml:space="preserve"> si es necesario, el investigador haga los ajustes respectivos, </w:t>
      </w:r>
      <w:r>
        <w:rPr>
          <w:color w:val="000000" w:themeColor="text1"/>
          <w:lang w:val="es-ES"/>
        </w:rPr>
        <w:t>ya que</w:t>
      </w:r>
      <w:r w:rsidRPr="00A07D32">
        <w:rPr>
          <w:color w:val="000000" w:themeColor="text1"/>
          <w:lang w:val="es-ES"/>
        </w:rPr>
        <w:t xml:space="preserve"> un ítem pude cargar en ambos factores. </w:t>
      </w:r>
    </w:p>
    <w:p w14:paraId="21512DD7"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t xml:space="preserve">Por otra parte, </w:t>
      </w:r>
      <w:proofErr w:type="spellStart"/>
      <w:r w:rsidRPr="00A07D32">
        <w:rPr>
          <w:color w:val="000000" w:themeColor="text1"/>
          <w:lang w:val="es-ES"/>
        </w:rPr>
        <w:t>Jöreskog</w:t>
      </w:r>
      <w:proofErr w:type="spellEnd"/>
      <w:r w:rsidRPr="00A07D32">
        <w:rPr>
          <w:color w:val="000000" w:themeColor="text1"/>
          <w:lang w:val="es-ES"/>
        </w:rPr>
        <w:t xml:space="preserve"> (1969) desarrolló el procedimiento confirmatorio donde establece que la principal diferencia conceptual en ambas estructuras es que en el AFC se puede comprobar </w:t>
      </w:r>
      <w:r>
        <w:rPr>
          <w:color w:val="000000" w:themeColor="text1"/>
          <w:lang w:val="es-ES"/>
        </w:rPr>
        <w:t xml:space="preserve">la </w:t>
      </w:r>
      <w:r w:rsidRPr="00A07D32">
        <w:rPr>
          <w:color w:val="000000" w:themeColor="text1"/>
          <w:lang w:val="es-ES"/>
        </w:rPr>
        <w:t xml:space="preserve">hipótesis acerca de la estructura factorial de una serie de variables; además, el investigador especifica el número de factores en el modelo teórico para contrastar los datos. </w:t>
      </w:r>
    </w:p>
    <w:p w14:paraId="42585225" w14:textId="77777777" w:rsidR="00A83FC6" w:rsidRDefault="00A83FC6" w:rsidP="00A83FC6">
      <w:pPr>
        <w:spacing w:line="360" w:lineRule="auto"/>
        <w:ind w:firstLine="708"/>
        <w:jc w:val="both"/>
        <w:rPr>
          <w:lang w:val="es-ES"/>
        </w:rPr>
      </w:pPr>
      <w:r w:rsidRPr="00A07D32">
        <w:rPr>
          <w:color w:val="000000" w:themeColor="text1"/>
          <w:lang w:val="es-ES"/>
        </w:rPr>
        <w:t xml:space="preserve">Es importante considerar algunos supuestos estadísticos para el uso de esta técnica paramétrica, como la normalidad de los datos, el número de indicadores y el tamaño de </w:t>
      </w:r>
      <w:r>
        <w:rPr>
          <w:color w:val="000000" w:themeColor="text1"/>
          <w:lang w:val="es-ES"/>
        </w:rPr>
        <w:t xml:space="preserve">la </w:t>
      </w:r>
      <w:r w:rsidRPr="00A07D32">
        <w:rPr>
          <w:color w:val="000000" w:themeColor="text1"/>
          <w:lang w:val="es-ES"/>
        </w:rPr>
        <w:t xml:space="preserve">muestra. </w:t>
      </w:r>
      <w:r>
        <w:rPr>
          <w:color w:val="000000" w:themeColor="text1"/>
          <w:lang w:val="es-ES"/>
        </w:rPr>
        <w:t xml:space="preserve">En cuanto </w:t>
      </w:r>
      <w:r w:rsidRPr="00A07D32">
        <w:rPr>
          <w:color w:val="000000" w:themeColor="text1"/>
          <w:lang w:val="es-ES"/>
        </w:rPr>
        <w:t>al tamaño de la muestra</w:t>
      </w:r>
      <w:r>
        <w:rPr>
          <w:color w:val="000000" w:themeColor="text1"/>
          <w:lang w:val="es-ES"/>
        </w:rPr>
        <w:t>,</w:t>
      </w:r>
      <w:r w:rsidRPr="00A07D32">
        <w:rPr>
          <w:color w:val="000000" w:themeColor="text1"/>
          <w:lang w:val="es-ES"/>
        </w:rPr>
        <w:t xml:space="preserve"> se considera</w:t>
      </w:r>
      <w:r>
        <w:rPr>
          <w:color w:val="000000" w:themeColor="text1"/>
          <w:lang w:val="es-ES"/>
        </w:rPr>
        <w:t>n</w:t>
      </w:r>
      <w:r w:rsidRPr="00A07D32">
        <w:rPr>
          <w:color w:val="000000" w:themeColor="text1"/>
          <w:lang w:val="es-ES"/>
        </w:rPr>
        <w:t xml:space="preserve"> alrededor de 200 sujetos cuando existan al menos tres indicadores por variables latentes </w:t>
      </w:r>
      <w:r w:rsidRPr="00B07CB8">
        <w:rPr>
          <w:lang w:val="es-ES"/>
        </w:rPr>
        <w:t xml:space="preserve">(Anderson y </w:t>
      </w:r>
      <w:proofErr w:type="spellStart"/>
      <w:r w:rsidRPr="00B07CB8">
        <w:rPr>
          <w:lang w:val="es-ES"/>
        </w:rPr>
        <w:t>Gerbing</w:t>
      </w:r>
      <w:proofErr w:type="spellEnd"/>
      <w:r w:rsidRPr="00B07CB8">
        <w:rPr>
          <w:lang w:val="es-ES"/>
        </w:rPr>
        <w:t>, 1984).</w:t>
      </w:r>
    </w:p>
    <w:p w14:paraId="51542264" w14:textId="77777777" w:rsidR="00A83FC6" w:rsidRDefault="00A83FC6" w:rsidP="00A83FC6">
      <w:pPr>
        <w:spacing w:line="360" w:lineRule="auto"/>
        <w:ind w:firstLine="708"/>
        <w:jc w:val="both"/>
        <w:rPr>
          <w:color w:val="000000" w:themeColor="text1"/>
          <w:lang w:val="es-ES"/>
        </w:rPr>
      </w:pPr>
      <w:r>
        <w:rPr>
          <w:color w:val="000000" w:themeColor="text1"/>
          <w:lang w:val="es-ES"/>
        </w:rPr>
        <w:t>Con base</w:t>
      </w:r>
      <w:r w:rsidRPr="00A07D32">
        <w:rPr>
          <w:color w:val="000000" w:themeColor="text1"/>
          <w:lang w:val="es-ES"/>
        </w:rPr>
        <w:t xml:space="preserve"> en esta argumentación teórica y supuestos estadísticos, la finalidad de la presente investigación es dar a conocer el uso de la técnica estadística del análisis factorial confirmatorio (AFC) a partir de datos empíricos recabados en </w:t>
      </w:r>
      <w:r>
        <w:rPr>
          <w:color w:val="000000" w:themeColor="text1"/>
          <w:lang w:val="es-ES"/>
        </w:rPr>
        <w:t xml:space="preserve">el año </w:t>
      </w:r>
      <w:r w:rsidRPr="00A07D32">
        <w:rPr>
          <w:color w:val="000000" w:themeColor="text1"/>
          <w:lang w:val="es-ES"/>
        </w:rPr>
        <w:t>2020 de gestión del conocimiento. No se probó ninguna relación estadística o prueba de hipótesis</w:t>
      </w:r>
      <w:r>
        <w:rPr>
          <w:color w:val="000000" w:themeColor="text1"/>
          <w:lang w:val="es-ES"/>
        </w:rPr>
        <w:t>:</w:t>
      </w:r>
      <w:r w:rsidRPr="00A07D32">
        <w:rPr>
          <w:color w:val="000000" w:themeColor="text1"/>
          <w:lang w:val="es-ES"/>
        </w:rPr>
        <w:t xml:space="preserve"> únicamente se </w:t>
      </w:r>
      <w:r w:rsidRPr="00A07D32">
        <w:rPr>
          <w:color w:val="000000" w:themeColor="text1"/>
          <w:lang w:val="es-ES"/>
        </w:rPr>
        <w:lastRenderedPageBreak/>
        <w:t>aborda la aplicación de la técnica del análisis factorial confirmatori</w:t>
      </w:r>
      <w:r>
        <w:rPr>
          <w:color w:val="000000" w:themeColor="text1"/>
          <w:lang w:val="es-ES"/>
        </w:rPr>
        <w:t>o</w:t>
      </w:r>
      <w:r w:rsidRPr="00A07D32">
        <w:rPr>
          <w:color w:val="000000" w:themeColor="text1"/>
          <w:lang w:val="es-ES"/>
        </w:rPr>
        <w:t xml:space="preserve"> </w:t>
      </w:r>
      <w:r>
        <w:rPr>
          <w:color w:val="000000" w:themeColor="text1"/>
          <w:lang w:val="es-ES"/>
        </w:rPr>
        <w:t>para</w:t>
      </w:r>
      <w:r w:rsidRPr="00A07D32">
        <w:rPr>
          <w:color w:val="000000" w:themeColor="text1"/>
          <w:lang w:val="es-ES"/>
        </w:rPr>
        <w:t xml:space="preserve"> estimar el modelo de medición y conseguir la fiabilidad y validez. </w:t>
      </w:r>
    </w:p>
    <w:p w14:paraId="23B84513" w14:textId="77777777" w:rsidR="00A83FC6" w:rsidRDefault="00A83FC6" w:rsidP="00A83FC6">
      <w:pPr>
        <w:spacing w:line="360" w:lineRule="auto"/>
        <w:ind w:firstLine="708"/>
        <w:jc w:val="both"/>
        <w:rPr>
          <w:color w:val="000000" w:themeColor="text1"/>
          <w:lang w:val="es-ES"/>
        </w:rPr>
      </w:pPr>
      <w:r>
        <w:rPr>
          <w:color w:val="000000" w:themeColor="text1"/>
          <w:lang w:val="es-ES"/>
        </w:rPr>
        <w:t xml:space="preserve">En síntesis, este </w:t>
      </w:r>
      <w:r w:rsidRPr="00A07D32">
        <w:rPr>
          <w:color w:val="000000" w:themeColor="text1"/>
          <w:lang w:val="es-ES"/>
        </w:rPr>
        <w:t xml:space="preserve">documento </w:t>
      </w:r>
      <w:r>
        <w:rPr>
          <w:color w:val="000000" w:themeColor="text1"/>
          <w:lang w:val="es-ES"/>
        </w:rPr>
        <w:t>posee</w:t>
      </w:r>
      <w:r w:rsidRPr="00A07D32">
        <w:rPr>
          <w:color w:val="000000" w:themeColor="text1"/>
          <w:lang w:val="es-ES"/>
        </w:rPr>
        <w:t xml:space="preserve"> la siguiente estructura: primer</w:t>
      </w:r>
      <w:r>
        <w:rPr>
          <w:color w:val="000000" w:themeColor="text1"/>
          <w:lang w:val="es-ES"/>
        </w:rPr>
        <w:t>o</w:t>
      </w:r>
      <w:r w:rsidRPr="00A07D32">
        <w:rPr>
          <w:color w:val="000000" w:themeColor="text1"/>
          <w:lang w:val="es-ES"/>
        </w:rPr>
        <w:t xml:space="preserve"> se </w:t>
      </w:r>
      <w:r>
        <w:rPr>
          <w:color w:val="000000" w:themeColor="text1"/>
          <w:lang w:val="es-ES"/>
        </w:rPr>
        <w:t>ofrece</w:t>
      </w:r>
      <w:r w:rsidRPr="00A07D32">
        <w:rPr>
          <w:color w:val="000000" w:themeColor="text1"/>
          <w:lang w:val="es-ES"/>
        </w:rPr>
        <w:t xml:space="preserve"> la perspectiva teór</w:t>
      </w:r>
      <w:r>
        <w:rPr>
          <w:color w:val="000000" w:themeColor="text1"/>
          <w:lang w:val="es-ES"/>
        </w:rPr>
        <w:t>ica</w:t>
      </w:r>
      <w:r w:rsidRPr="00A07D32">
        <w:rPr>
          <w:color w:val="000000" w:themeColor="text1"/>
          <w:lang w:val="es-ES"/>
        </w:rPr>
        <w:t xml:space="preserve"> </w:t>
      </w:r>
      <w:r>
        <w:rPr>
          <w:color w:val="000000" w:themeColor="text1"/>
          <w:lang w:val="es-ES"/>
        </w:rPr>
        <w:t>para</w:t>
      </w:r>
      <w:r w:rsidRPr="00A07D32">
        <w:rPr>
          <w:color w:val="000000" w:themeColor="text1"/>
          <w:lang w:val="es-ES"/>
        </w:rPr>
        <w:t xml:space="preserve"> describir las variables objeto de estudio; segundo, el método de trabajo; tercero, el procedimiento de análisis de datos; cuarto, la fiabilidad y validez de modelo</w:t>
      </w:r>
      <w:r>
        <w:rPr>
          <w:color w:val="000000" w:themeColor="text1"/>
          <w:lang w:val="es-ES"/>
        </w:rPr>
        <w:t>, y e</w:t>
      </w:r>
      <w:r w:rsidRPr="00A07D32">
        <w:rPr>
          <w:color w:val="000000" w:themeColor="text1"/>
          <w:lang w:val="es-ES"/>
        </w:rPr>
        <w:t xml:space="preserve">n el último apartado se presenta la discusión de los hallazgos. </w:t>
      </w:r>
    </w:p>
    <w:p w14:paraId="6F3EAF35" w14:textId="77777777" w:rsidR="00A83FC6" w:rsidRPr="00A07D32" w:rsidRDefault="00A83FC6" w:rsidP="00A83FC6">
      <w:pPr>
        <w:spacing w:line="360" w:lineRule="auto"/>
        <w:ind w:firstLine="708"/>
        <w:jc w:val="both"/>
        <w:rPr>
          <w:color w:val="000000" w:themeColor="text1"/>
          <w:lang w:val="es-ES"/>
        </w:rPr>
      </w:pPr>
    </w:p>
    <w:p w14:paraId="52D48521" w14:textId="77777777" w:rsidR="00A83FC6" w:rsidRPr="002929EE" w:rsidRDefault="00A83FC6" w:rsidP="00A83FC6">
      <w:pPr>
        <w:spacing w:line="360" w:lineRule="auto"/>
        <w:jc w:val="center"/>
        <w:rPr>
          <w:b/>
          <w:iCs/>
          <w:sz w:val="28"/>
          <w:szCs w:val="28"/>
          <w:lang w:val="es-ES"/>
        </w:rPr>
      </w:pPr>
      <w:r w:rsidRPr="002929EE">
        <w:rPr>
          <w:b/>
          <w:iCs/>
          <w:sz w:val="28"/>
          <w:szCs w:val="28"/>
          <w:lang w:val="es-ES"/>
        </w:rPr>
        <w:t>Fundamentación teórica</w:t>
      </w:r>
    </w:p>
    <w:p w14:paraId="3E042D03" w14:textId="77777777" w:rsidR="00A83FC6" w:rsidRPr="002929EE" w:rsidRDefault="00A83FC6" w:rsidP="00A83FC6">
      <w:pPr>
        <w:spacing w:line="360" w:lineRule="auto"/>
        <w:jc w:val="center"/>
        <w:rPr>
          <w:b/>
          <w:bCs/>
          <w:sz w:val="26"/>
          <w:szCs w:val="26"/>
          <w:lang w:val="es-ES"/>
        </w:rPr>
      </w:pPr>
      <w:r w:rsidRPr="002929EE">
        <w:rPr>
          <w:b/>
          <w:bCs/>
          <w:sz w:val="26"/>
          <w:szCs w:val="26"/>
          <w:lang w:val="es-ES"/>
        </w:rPr>
        <w:t xml:space="preserve">La teoría basada en los recursos </w:t>
      </w:r>
    </w:p>
    <w:p w14:paraId="413FA6C1" w14:textId="77777777" w:rsidR="00A83FC6" w:rsidRDefault="00A83FC6" w:rsidP="00A83FC6">
      <w:pPr>
        <w:spacing w:line="360" w:lineRule="auto"/>
        <w:ind w:firstLine="708"/>
        <w:jc w:val="both"/>
        <w:rPr>
          <w:lang w:val="es-ES"/>
        </w:rPr>
      </w:pPr>
      <w:r w:rsidRPr="00A07D32">
        <w:rPr>
          <w:lang w:val="es-ES"/>
        </w:rPr>
        <w:t>La presente investigación se centra en la teoría de recursos (Barney</w:t>
      </w:r>
      <w:r>
        <w:rPr>
          <w:lang w:val="es-ES"/>
        </w:rPr>
        <w:t>,</w:t>
      </w:r>
      <w:r w:rsidRPr="00A07D32">
        <w:rPr>
          <w:lang w:val="es-ES"/>
        </w:rPr>
        <w:t xml:space="preserve"> 1991; </w:t>
      </w:r>
      <w:proofErr w:type="spellStart"/>
      <w:r w:rsidRPr="00A07D32">
        <w:rPr>
          <w:lang w:val="es-ES"/>
        </w:rPr>
        <w:t>Wernerfelt</w:t>
      </w:r>
      <w:proofErr w:type="spellEnd"/>
      <w:r>
        <w:rPr>
          <w:lang w:val="es-ES"/>
        </w:rPr>
        <w:t>,</w:t>
      </w:r>
      <w:r w:rsidRPr="00A07D32">
        <w:rPr>
          <w:lang w:val="es-ES"/>
        </w:rPr>
        <w:t xml:space="preserve"> 1984) y </w:t>
      </w:r>
      <w:r>
        <w:rPr>
          <w:lang w:val="es-ES"/>
        </w:rPr>
        <w:t xml:space="preserve">en </w:t>
      </w:r>
      <w:r w:rsidRPr="00A07D32">
        <w:rPr>
          <w:lang w:val="es-ES"/>
        </w:rPr>
        <w:t>la visión basada en el conocimiento (Grant, 1996). La teoría de recursos es ampliamente reconocida como una de las más prominentes y poderosas para describir, explicar y predecir las relaciones en la organización (Barney, 2</w:t>
      </w:r>
      <w:r>
        <w:rPr>
          <w:lang w:val="es-ES"/>
        </w:rPr>
        <w:t>011 et al..</w:t>
      </w:r>
      <w:r w:rsidRPr="00A07D32">
        <w:rPr>
          <w:lang w:val="es-ES"/>
        </w:rPr>
        <w:t>). Esta postula que la fuente de una ventaja competitiva proviene de sus recursos internos, ya sean tangibles e intangibles. Un</w:t>
      </w:r>
      <w:r>
        <w:rPr>
          <w:lang w:val="es-ES"/>
        </w:rPr>
        <w:t>o</w:t>
      </w:r>
      <w:r w:rsidRPr="00A07D32">
        <w:rPr>
          <w:lang w:val="es-ES"/>
        </w:rPr>
        <w:t xml:space="preserve"> de </w:t>
      </w:r>
      <w:r>
        <w:rPr>
          <w:lang w:val="es-ES"/>
        </w:rPr>
        <w:t>los rasgos</w:t>
      </w:r>
      <w:r w:rsidRPr="00A07D32">
        <w:rPr>
          <w:lang w:val="es-ES"/>
        </w:rPr>
        <w:t xml:space="preserve"> </w:t>
      </w:r>
      <w:r>
        <w:rPr>
          <w:lang w:val="es-ES"/>
        </w:rPr>
        <w:t xml:space="preserve">más </w:t>
      </w:r>
      <w:r w:rsidRPr="00A07D32">
        <w:rPr>
          <w:lang w:val="es-ES"/>
        </w:rPr>
        <w:t>importantes de los recursos es que deben ser heterogéneos, raros, inimitables, valioso</w:t>
      </w:r>
      <w:r>
        <w:rPr>
          <w:lang w:val="es-ES"/>
        </w:rPr>
        <w:t>s</w:t>
      </w:r>
      <w:r w:rsidRPr="00A07D32">
        <w:rPr>
          <w:lang w:val="es-ES"/>
        </w:rPr>
        <w:t xml:space="preserve"> y no sustituibles (Barney 1991</w:t>
      </w:r>
      <w:r>
        <w:rPr>
          <w:lang w:val="es-ES"/>
        </w:rPr>
        <w:t>,</w:t>
      </w:r>
      <w:r w:rsidRPr="00A07D32">
        <w:rPr>
          <w:lang w:val="es-ES"/>
        </w:rPr>
        <w:t xml:space="preserve"> 2001; </w:t>
      </w:r>
      <w:proofErr w:type="spellStart"/>
      <w:r w:rsidRPr="00A07D32">
        <w:rPr>
          <w:lang w:val="es-ES"/>
        </w:rPr>
        <w:t>Wernerfelt</w:t>
      </w:r>
      <w:proofErr w:type="spellEnd"/>
      <w:r>
        <w:rPr>
          <w:lang w:val="es-ES"/>
        </w:rPr>
        <w:t>,</w:t>
      </w:r>
      <w:r w:rsidRPr="00A07D32">
        <w:rPr>
          <w:lang w:val="es-ES"/>
        </w:rPr>
        <w:t xml:space="preserve"> 1984). Por lo tanto,</w:t>
      </w:r>
      <w:r>
        <w:rPr>
          <w:lang w:val="es-ES"/>
        </w:rPr>
        <w:t xml:space="preserve"> </w:t>
      </w:r>
      <w:r w:rsidRPr="00A07D32">
        <w:rPr>
          <w:lang w:val="es-ES"/>
        </w:rPr>
        <w:t>el conocimiento es un recurso intangible valioso y estratégico que aporta la contribución más importante para las organizaciones</w:t>
      </w:r>
      <w:r>
        <w:rPr>
          <w:lang w:val="es-ES"/>
        </w:rPr>
        <w:t xml:space="preserve">. Esto significa que </w:t>
      </w:r>
      <w:r w:rsidRPr="00A07D32">
        <w:rPr>
          <w:lang w:val="es-ES"/>
        </w:rPr>
        <w:t>el éxito depende de la capacidad de la organización para crear y desarrollar sus activos basados en el conocimiento como recurso clave para</w:t>
      </w:r>
      <w:r>
        <w:rPr>
          <w:lang w:val="es-ES"/>
        </w:rPr>
        <w:t xml:space="preserve"> </w:t>
      </w:r>
      <w:r w:rsidRPr="00A07D32">
        <w:rPr>
          <w:lang w:val="es-ES"/>
        </w:rPr>
        <w:t xml:space="preserve">el crecimiento, la innovación, el desempeño y la ventaja competitiva sostenible de </w:t>
      </w:r>
      <w:proofErr w:type="gramStart"/>
      <w:r w:rsidRPr="00A07D32">
        <w:rPr>
          <w:lang w:val="es-ES"/>
        </w:rPr>
        <w:t>las empresa</w:t>
      </w:r>
      <w:proofErr w:type="gramEnd"/>
      <w:r w:rsidRPr="00A07D32">
        <w:rPr>
          <w:lang w:val="es-ES"/>
        </w:rPr>
        <w:t xml:space="preserve"> (</w:t>
      </w:r>
      <w:proofErr w:type="spellStart"/>
      <w:r w:rsidRPr="00A07D32">
        <w:rPr>
          <w:lang w:val="es-ES"/>
        </w:rPr>
        <w:t>Nawab</w:t>
      </w:r>
      <w:proofErr w:type="spellEnd"/>
      <w:r w:rsidRPr="00A07D32">
        <w:rPr>
          <w:lang w:val="es-ES"/>
        </w:rPr>
        <w:t xml:space="preserve">, </w:t>
      </w:r>
      <w:proofErr w:type="spellStart"/>
      <w:r w:rsidRPr="00A07D32">
        <w:rPr>
          <w:lang w:val="es-ES"/>
        </w:rPr>
        <w:t>Nazir</w:t>
      </w:r>
      <w:proofErr w:type="spellEnd"/>
      <w:r w:rsidRPr="00A07D32">
        <w:rPr>
          <w:lang w:val="es-ES"/>
        </w:rPr>
        <w:t xml:space="preserve">, </w:t>
      </w:r>
      <w:proofErr w:type="spellStart"/>
      <w:r w:rsidRPr="00A07D32">
        <w:rPr>
          <w:lang w:val="es-ES"/>
        </w:rPr>
        <w:t>Mohsin</w:t>
      </w:r>
      <w:proofErr w:type="spellEnd"/>
      <w:r>
        <w:rPr>
          <w:lang w:val="es-ES"/>
        </w:rPr>
        <w:t xml:space="preserve"> y</w:t>
      </w:r>
      <w:r w:rsidRPr="00A07D32">
        <w:rPr>
          <w:lang w:val="es-ES"/>
        </w:rPr>
        <w:t xml:space="preserve"> Muhammad, 2015; </w:t>
      </w:r>
      <w:proofErr w:type="spellStart"/>
      <w:r w:rsidRPr="00A07D32">
        <w:rPr>
          <w:lang w:val="es-ES"/>
        </w:rPr>
        <w:t>Yusof</w:t>
      </w:r>
      <w:proofErr w:type="spellEnd"/>
      <w:r>
        <w:rPr>
          <w:lang w:val="es-ES"/>
        </w:rPr>
        <w:t xml:space="preserve"> y</w:t>
      </w:r>
      <w:r w:rsidRPr="00A07D32">
        <w:rPr>
          <w:lang w:val="es-ES"/>
        </w:rPr>
        <w:t xml:space="preserve"> Bakar, 2012; </w:t>
      </w:r>
      <w:proofErr w:type="spellStart"/>
      <w:r w:rsidRPr="00A07D32">
        <w:rPr>
          <w:lang w:val="es-ES"/>
        </w:rPr>
        <w:t>Salajarvi</w:t>
      </w:r>
      <w:proofErr w:type="spellEnd"/>
      <w:r w:rsidRPr="00A07D32">
        <w:rPr>
          <w:lang w:val="es-ES"/>
        </w:rPr>
        <w:t xml:space="preserve">, </w:t>
      </w:r>
      <w:proofErr w:type="spellStart"/>
      <w:r w:rsidRPr="00A07D32">
        <w:rPr>
          <w:lang w:val="es-ES"/>
        </w:rPr>
        <w:t>Sveiby</w:t>
      </w:r>
      <w:proofErr w:type="spellEnd"/>
      <w:r w:rsidRPr="00A07D32">
        <w:rPr>
          <w:lang w:val="es-ES"/>
        </w:rPr>
        <w:t xml:space="preserve"> </w:t>
      </w:r>
      <w:r>
        <w:rPr>
          <w:lang w:val="es-ES"/>
        </w:rPr>
        <w:t>y</w:t>
      </w:r>
      <w:r w:rsidRPr="00A07D32">
        <w:rPr>
          <w:lang w:val="es-ES"/>
        </w:rPr>
        <w:t xml:space="preserve"> </w:t>
      </w:r>
      <w:proofErr w:type="spellStart"/>
      <w:r w:rsidRPr="00A07D32">
        <w:rPr>
          <w:lang w:val="es-ES"/>
        </w:rPr>
        <w:t>Furu</w:t>
      </w:r>
      <w:proofErr w:type="spellEnd"/>
      <w:r w:rsidRPr="00A07D32">
        <w:rPr>
          <w:lang w:val="es-ES"/>
        </w:rPr>
        <w:t xml:space="preserve">, 2005; Hill, </w:t>
      </w:r>
      <w:proofErr w:type="spellStart"/>
      <w:r w:rsidRPr="00A07D32">
        <w:rPr>
          <w:lang w:val="es-ES"/>
        </w:rPr>
        <w:t>Nancarrow</w:t>
      </w:r>
      <w:proofErr w:type="spellEnd"/>
      <w:r w:rsidRPr="00A07D32">
        <w:rPr>
          <w:lang w:val="es-ES"/>
        </w:rPr>
        <w:t xml:space="preserve"> </w:t>
      </w:r>
      <w:r>
        <w:rPr>
          <w:lang w:val="es-ES"/>
        </w:rPr>
        <w:t>y</w:t>
      </w:r>
      <w:r w:rsidRPr="00A07D32">
        <w:rPr>
          <w:lang w:val="es-ES"/>
        </w:rPr>
        <w:t xml:space="preserve"> Wright, 2002;</w:t>
      </w:r>
      <w:r>
        <w:rPr>
          <w:lang w:val="es-ES"/>
        </w:rPr>
        <w:t xml:space="preserve"> </w:t>
      </w:r>
      <w:proofErr w:type="spellStart"/>
      <w:r w:rsidRPr="00A07D32">
        <w:rPr>
          <w:lang w:val="es-ES"/>
        </w:rPr>
        <w:t>Teece</w:t>
      </w:r>
      <w:proofErr w:type="spellEnd"/>
      <w:r w:rsidRPr="00A07D32">
        <w:rPr>
          <w:lang w:val="es-ES"/>
        </w:rPr>
        <w:t>, 2000).</w:t>
      </w:r>
      <w:r>
        <w:rPr>
          <w:lang w:val="es-ES"/>
        </w:rPr>
        <w:t xml:space="preserve"> </w:t>
      </w:r>
    </w:p>
    <w:p w14:paraId="41ED0BB6" w14:textId="77777777" w:rsidR="00A83FC6" w:rsidRDefault="00A83FC6" w:rsidP="00A83FC6">
      <w:pPr>
        <w:spacing w:line="360" w:lineRule="auto"/>
        <w:ind w:firstLine="708"/>
        <w:jc w:val="both"/>
        <w:rPr>
          <w:lang w:val="es-ES"/>
        </w:rPr>
      </w:pPr>
      <w:r w:rsidRPr="00A07D32">
        <w:rPr>
          <w:lang w:val="es-ES"/>
        </w:rPr>
        <w:t xml:space="preserve">Por su parte, </w:t>
      </w:r>
      <w:proofErr w:type="spellStart"/>
      <w:r w:rsidRPr="00A07D32">
        <w:rPr>
          <w:lang w:val="es-ES"/>
        </w:rPr>
        <w:t>Krstić</w:t>
      </w:r>
      <w:proofErr w:type="spellEnd"/>
      <w:r w:rsidRPr="00A07D32">
        <w:rPr>
          <w:lang w:val="es-ES"/>
        </w:rPr>
        <w:t xml:space="preserve"> y Petrović (2011) argumentan que la gestión del conocimiento es un proceso mediante el cual una organización genera valor en un entorno contemporáneo dinámico de cambios tecnológicos </w:t>
      </w:r>
      <w:r>
        <w:rPr>
          <w:lang w:val="es-ES"/>
        </w:rPr>
        <w:t>a través</w:t>
      </w:r>
      <w:r w:rsidRPr="00A07D32">
        <w:rPr>
          <w:lang w:val="es-ES"/>
        </w:rPr>
        <w:t xml:space="preserve"> </w:t>
      </w:r>
      <w:r>
        <w:rPr>
          <w:lang w:val="es-ES"/>
        </w:rPr>
        <w:t xml:space="preserve">de </w:t>
      </w:r>
      <w:r w:rsidRPr="00A07D32">
        <w:rPr>
          <w:lang w:val="es-ES"/>
        </w:rPr>
        <w:t xml:space="preserve">la explotación eficaz y eficiente del </w:t>
      </w:r>
      <w:r>
        <w:rPr>
          <w:lang w:val="es-ES"/>
        </w:rPr>
        <w:t>saber</w:t>
      </w:r>
      <w:r w:rsidRPr="00A07D32">
        <w:rPr>
          <w:lang w:val="es-ES"/>
        </w:rPr>
        <w:t xml:space="preserve"> como recurso clave de la economía del conocimiento. En un mundo donde las tecnologías, </w:t>
      </w:r>
      <w:r>
        <w:rPr>
          <w:lang w:val="es-ES"/>
        </w:rPr>
        <w:t xml:space="preserve">los </w:t>
      </w:r>
      <w:r w:rsidRPr="00A07D32">
        <w:rPr>
          <w:lang w:val="es-ES"/>
        </w:rPr>
        <w:t xml:space="preserve">mercados, </w:t>
      </w:r>
      <w:r>
        <w:rPr>
          <w:lang w:val="es-ES"/>
        </w:rPr>
        <w:t xml:space="preserve">los </w:t>
      </w:r>
      <w:r w:rsidRPr="00A07D32">
        <w:rPr>
          <w:lang w:val="es-ES"/>
        </w:rPr>
        <w:t xml:space="preserve">productos, </w:t>
      </w:r>
      <w:r>
        <w:rPr>
          <w:lang w:val="es-ES"/>
        </w:rPr>
        <w:t xml:space="preserve">los </w:t>
      </w:r>
      <w:r w:rsidRPr="00A07D32">
        <w:rPr>
          <w:lang w:val="es-ES"/>
        </w:rPr>
        <w:t>competidores e incluso la sociedad cambia</w:t>
      </w:r>
      <w:r>
        <w:rPr>
          <w:lang w:val="es-ES"/>
        </w:rPr>
        <w:t>n</w:t>
      </w:r>
      <w:r w:rsidRPr="00A07D32">
        <w:rPr>
          <w:lang w:val="es-ES"/>
        </w:rPr>
        <w:t xml:space="preserve"> muy rápidamente, el conocimiento se ha </w:t>
      </w:r>
      <w:r>
        <w:rPr>
          <w:lang w:val="es-ES"/>
        </w:rPr>
        <w:t>trasformado</w:t>
      </w:r>
      <w:r w:rsidRPr="00A07D32">
        <w:rPr>
          <w:lang w:val="es-ES"/>
        </w:rPr>
        <w:t xml:space="preserve"> </w:t>
      </w:r>
      <w:r>
        <w:rPr>
          <w:lang w:val="es-ES"/>
        </w:rPr>
        <w:t>en</w:t>
      </w:r>
      <w:r w:rsidRPr="00A07D32">
        <w:rPr>
          <w:lang w:val="es-ES"/>
        </w:rPr>
        <w:t xml:space="preserve"> un </w:t>
      </w:r>
      <w:r>
        <w:rPr>
          <w:lang w:val="es-ES"/>
        </w:rPr>
        <w:t>activo</w:t>
      </w:r>
      <w:r w:rsidRPr="00A07D32">
        <w:rPr>
          <w:lang w:val="es-ES"/>
        </w:rPr>
        <w:t xml:space="preserve"> </w:t>
      </w:r>
      <w:r>
        <w:rPr>
          <w:lang w:val="es-ES"/>
        </w:rPr>
        <w:t>invaluable</w:t>
      </w:r>
      <w:r w:rsidRPr="00A07D32">
        <w:rPr>
          <w:lang w:val="es-ES"/>
        </w:rPr>
        <w:t xml:space="preserve"> para </w:t>
      </w:r>
      <w:r>
        <w:rPr>
          <w:lang w:val="es-ES"/>
        </w:rPr>
        <w:t xml:space="preserve">que </w:t>
      </w:r>
      <w:r w:rsidRPr="00A07D32">
        <w:rPr>
          <w:lang w:val="es-ES"/>
        </w:rPr>
        <w:t xml:space="preserve">las organizaciones </w:t>
      </w:r>
      <w:r>
        <w:rPr>
          <w:lang w:val="es-ES"/>
        </w:rPr>
        <w:t>mantengan</w:t>
      </w:r>
      <w:r w:rsidRPr="00A07D32">
        <w:rPr>
          <w:lang w:val="es-ES"/>
        </w:rPr>
        <w:t xml:space="preserve"> una ventaja competitiva sostenible (Nonaka, Toyama y </w:t>
      </w:r>
      <w:proofErr w:type="spellStart"/>
      <w:r w:rsidRPr="00A07D32">
        <w:rPr>
          <w:lang w:val="es-ES"/>
        </w:rPr>
        <w:t>Byosiere</w:t>
      </w:r>
      <w:proofErr w:type="spellEnd"/>
      <w:r w:rsidRPr="00A07D32">
        <w:rPr>
          <w:lang w:val="es-ES"/>
        </w:rPr>
        <w:t xml:space="preserve">, 2001). </w:t>
      </w:r>
      <w:r>
        <w:rPr>
          <w:lang w:val="es-ES"/>
        </w:rPr>
        <w:t xml:space="preserve">Por </w:t>
      </w:r>
      <w:r>
        <w:rPr>
          <w:lang w:val="es-ES"/>
        </w:rPr>
        <w:lastRenderedPageBreak/>
        <w:t xml:space="preserve">ende, </w:t>
      </w:r>
      <w:r w:rsidRPr="00A07D32">
        <w:rPr>
          <w:lang w:val="es-ES"/>
        </w:rPr>
        <w:t xml:space="preserve">Quinn (1992) </w:t>
      </w:r>
      <w:r>
        <w:rPr>
          <w:lang w:val="es-ES"/>
        </w:rPr>
        <w:t>subraya</w:t>
      </w:r>
      <w:r w:rsidRPr="00A07D32">
        <w:rPr>
          <w:lang w:val="es-ES"/>
        </w:rPr>
        <w:t xml:space="preserve"> que la ventaja competitiva de una empresa depende cada vez más de los intangibles basados en el conocimiento.</w:t>
      </w:r>
    </w:p>
    <w:p w14:paraId="3DE7178A" w14:textId="77777777" w:rsidR="00A83FC6" w:rsidRDefault="00A83FC6" w:rsidP="00A83FC6">
      <w:pPr>
        <w:spacing w:line="360" w:lineRule="auto"/>
        <w:ind w:firstLine="708"/>
        <w:jc w:val="both"/>
        <w:rPr>
          <w:color w:val="222222"/>
          <w:lang w:val="es-ES"/>
        </w:rPr>
      </w:pPr>
      <w:r w:rsidRPr="00A07D32">
        <w:rPr>
          <w:lang w:val="es-ES"/>
        </w:rPr>
        <w:t xml:space="preserve">Asimismo, diversos autores argumentan que la gestión del conocimiento representará el factor más </w:t>
      </w:r>
      <w:r>
        <w:rPr>
          <w:lang w:val="es-ES"/>
        </w:rPr>
        <w:t>significativo</w:t>
      </w:r>
      <w:r w:rsidRPr="00A07D32">
        <w:rPr>
          <w:lang w:val="es-ES"/>
        </w:rPr>
        <w:t xml:space="preserve"> de ventaja competitiva para las organizaciones (Drucker, 1993; Quinn, 1992; Toffler, 1990). Por lo tanto, el desarrollo y la práctica de gestión del conocimiento está</w:t>
      </w:r>
      <w:r>
        <w:rPr>
          <w:lang w:val="es-ES"/>
        </w:rPr>
        <w:t>n</w:t>
      </w:r>
      <w:r w:rsidRPr="00A07D32">
        <w:rPr>
          <w:lang w:val="es-ES"/>
        </w:rPr>
        <w:t xml:space="preserve"> continuamente incrementándose en las organizaciones (</w:t>
      </w:r>
      <w:proofErr w:type="spellStart"/>
      <w:r w:rsidRPr="00A07D32">
        <w:rPr>
          <w:lang w:val="es-ES"/>
        </w:rPr>
        <w:t>Halawi</w:t>
      </w:r>
      <w:proofErr w:type="spellEnd"/>
      <w:r w:rsidRPr="00A07D32">
        <w:rPr>
          <w:lang w:val="es-ES"/>
        </w:rPr>
        <w:t>, Aronson y McCarthy</w:t>
      </w:r>
      <w:r>
        <w:rPr>
          <w:lang w:val="es-ES"/>
        </w:rPr>
        <w:t>,</w:t>
      </w:r>
      <w:r w:rsidRPr="00A07D32">
        <w:rPr>
          <w:lang w:val="es-ES"/>
        </w:rPr>
        <w:t xml:space="preserve"> 2005). Así</w:t>
      </w:r>
      <w:r>
        <w:rPr>
          <w:lang w:val="es-ES"/>
        </w:rPr>
        <w:t>,</w:t>
      </w:r>
      <w:r w:rsidRPr="00A07D32">
        <w:rPr>
          <w:lang w:val="es-ES"/>
        </w:rPr>
        <w:t xml:space="preserve"> la gestión del conocimiento ha sido aplicada a actividades diseñadas para administrar e intercambiar, crear y mejorar los activos intelectuales de la organización (</w:t>
      </w:r>
      <w:proofErr w:type="spellStart"/>
      <w:r w:rsidRPr="00A07D32">
        <w:rPr>
          <w:lang w:val="es-ES"/>
        </w:rPr>
        <w:t>Haggie</w:t>
      </w:r>
      <w:proofErr w:type="spellEnd"/>
      <w:r w:rsidRPr="00A07D32">
        <w:rPr>
          <w:lang w:val="es-ES"/>
        </w:rPr>
        <w:t xml:space="preserve"> y Kinston, 2003). En este contexto, </w:t>
      </w:r>
      <w:proofErr w:type="spellStart"/>
      <w:r w:rsidRPr="00A07D32">
        <w:rPr>
          <w:lang w:val="es-ES"/>
        </w:rPr>
        <w:t>Zaman</w:t>
      </w:r>
      <w:proofErr w:type="spellEnd"/>
      <w:r w:rsidRPr="00A07D32">
        <w:rPr>
          <w:lang w:val="es-ES"/>
        </w:rPr>
        <w:t xml:space="preserve">, </w:t>
      </w:r>
      <w:proofErr w:type="spellStart"/>
      <w:r w:rsidRPr="00A07D32">
        <w:rPr>
          <w:lang w:val="es-ES"/>
        </w:rPr>
        <w:t>Mahtab</w:t>
      </w:r>
      <w:proofErr w:type="spellEnd"/>
      <w:r w:rsidRPr="00A07D32">
        <w:rPr>
          <w:lang w:val="es-ES"/>
        </w:rPr>
        <w:t xml:space="preserve"> </w:t>
      </w:r>
      <w:r>
        <w:rPr>
          <w:lang w:val="es-ES"/>
        </w:rPr>
        <w:t>y</w:t>
      </w:r>
      <w:r w:rsidRPr="00A07D32">
        <w:rPr>
          <w:lang w:val="es-ES"/>
        </w:rPr>
        <w:t xml:space="preserve"> Raxa (2014) enfatizan que l</w:t>
      </w:r>
      <w:r w:rsidRPr="00A07D32">
        <w:rPr>
          <w:color w:val="222222"/>
          <w:lang w:val="es-ES"/>
        </w:rPr>
        <w:t>a gestión del conocimiento es una combinación de aptitudes y competencias básicas tanto en la información como en la gestión de los recursos humanos, y que se reconoce cada vez más como un activo clave de la organización</w:t>
      </w:r>
      <w:r>
        <w:rPr>
          <w:color w:val="222222"/>
          <w:lang w:val="es-ES"/>
        </w:rPr>
        <w:t xml:space="preserve">, puesto que </w:t>
      </w:r>
      <w:r w:rsidRPr="00A07D32">
        <w:rPr>
          <w:color w:val="222222"/>
          <w:lang w:val="es-ES"/>
        </w:rPr>
        <w:t xml:space="preserve">genera riqueza de sus </w:t>
      </w:r>
      <w:r>
        <w:rPr>
          <w:color w:val="222222"/>
          <w:lang w:val="es-ES"/>
        </w:rPr>
        <w:t>recursos</w:t>
      </w:r>
      <w:r w:rsidRPr="00A07D32">
        <w:rPr>
          <w:color w:val="222222"/>
          <w:lang w:val="es-ES"/>
        </w:rPr>
        <w:t xml:space="preserve"> intelectuales basados en el conocimiento.</w:t>
      </w:r>
    </w:p>
    <w:p w14:paraId="657EDB7A" w14:textId="77777777" w:rsidR="00A83FC6" w:rsidRDefault="00A83FC6" w:rsidP="00A83FC6">
      <w:pPr>
        <w:spacing w:line="360" w:lineRule="auto"/>
        <w:ind w:firstLine="708"/>
        <w:jc w:val="both"/>
        <w:rPr>
          <w:lang w:val="es-ES"/>
        </w:rPr>
      </w:pPr>
      <w:r w:rsidRPr="00A07D32">
        <w:rPr>
          <w:color w:val="222222"/>
          <w:lang w:val="es-ES"/>
        </w:rPr>
        <w:t xml:space="preserve">Por su parte </w:t>
      </w:r>
      <w:r w:rsidRPr="00A07D32">
        <w:rPr>
          <w:lang w:val="es-ES"/>
        </w:rPr>
        <w:t>Nonaka y Takeuchi (1995) proponen dos tipos de conocimientos</w:t>
      </w:r>
      <w:r>
        <w:rPr>
          <w:lang w:val="es-ES"/>
        </w:rPr>
        <w:t>:</w:t>
      </w:r>
      <w:r w:rsidRPr="00A07D32">
        <w:rPr>
          <w:lang w:val="es-ES"/>
        </w:rPr>
        <w:t xml:space="preserve"> </w:t>
      </w:r>
      <w:r>
        <w:rPr>
          <w:lang w:val="es-ES"/>
        </w:rPr>
        <w:t xml:space="preserve">el </w:t>
      </w:r>
      <w:r w:rsidRPr="00A07D32">
        <w:rPr>
          <w:lang w:val="es-ES"/>
        </w:rPr>
        <w:t xml:space="preserve">explícito y </w:t>
      </w:r>
      <w:r>
        <w:rPr>
          <w:lang w:val="es-ES"/>
        </w:rPr>
        <w:t xml:space="preserve">el </w:t>
      </w:r>
      <w:r w:rsidRPr="00A07D32">
        <w:rPr>
          <w:lang w:val="es-ES"/>
        </w:rPr>
        <w:t>tácito</w:t>
      </w:r>
      <w:r>
        <w:rPr>
          <w:lang w:val="es-ES"/>
        </w:rPr>
        <w:t>.</w:t>
      </w:r>
      <w:r w:rsidRPr="00A07D32">
        <w:rPr>
          <w:lang w:val="es-ES"/>
        </w:rPr>
        <w:t xml:space="preserve"> </w:t>
      </w:r>
      <w:r>
        <w:rPr>
          <w:lang w:val="es-ES"/>
        </w:rPr>
        <w:t>E</w:t>
      </w:r>
      <w:r w:rsidRPr="00A07D32">
        <w:rPr>
          <w:lang w:val="es-ES"/>
        </w:rPr>
        <w:t xml:space="preserve">l </w:t>
      </w:r>
      <w:r>
        <w:rPr>
          <w:lang w:val="es-ES"/>
        </w:rPr>
        <w:t>primero</w:t>
      </w:r>
      <w:r w:rsidRPr="00A07D32">
        <w:rPr>
          <w:lang w:val="es-ES"/>
        </w:rPr>
        <w:t xml:space="preserve"> puede ser escrito, codificado, archivado y procesado por los sistemas de información de la organización, mientras que el conocimiento tácito es el que poseen las personas y se almacena en su cerebro, </w:t>
      </w:r>
      <w:r>
        <w:rPr>
          <w:lang w:val="es-ES"/>
        </w:rPr>
        <w:t xml:space="preserve">de ahí que sea </w:t>
      </w:r>
      <w:r w:rsidRPr="00A07D32">
        <w:rPr>
          <w:lang w:val="es-ES"/>
        </w:rPr>
        <w:t xml:space="preserve">considerado como activo intangible. El AFC de esta investigación se sustenta en el modelo SECI de Nonaka </w:t>
      </w:r>
      <w:r>
        <w:rPr>
          <w:lang w:val="es-ES"/>
        </w:rPr>
        <w:t>y</w:t>
      </w:r>
      <w:r w:rsidRPr="00A07D32">
        <w:rPr>
          <w:lang w:val="es-ES"/>
        </w:rPr>
        <w:t xml:space="preserve"> Takeuchi (1995), que </w:t>
      </w:r>
      <w:r>
        <w:rPr>
          <w:lang w:val="es-ES"/>
        </w:rPr>
        <w:t>a continuación</w:t>
      </w:r>
      <w:r w:rsidRPr="00A07D32">
        <w:rPr>
          <w:lang w:val="es-ES"/>
        </w:rPr>
        <w:t xml:space="preserve"> se describe.</w:t>
      </w:r>
    </w:p>
    <w:p w14:paraId="4EB6C910" w14:textId="77777777" w:rsidR="00A83FC6" w:rsidRPr="00A07D32" w:rsidRDefault="00A83FC6" w:rsidP="00A83FC6">
      <w:pPr>
        <w:spacing w:line="360" w:lineRule="auto"/>
        <w:ind w:firstLine="708"/>
        <w:jc w:val="both"/>
        <w:rPr>
          <w:lang w:val="es-ES"/>
        </w:rPr>
      </w:pPr>
    </w:p>
    <w:p w14:paraId="554C3A4F" w14:textId="77777777" w:rsidR="00A83FC6" w:rsidRPr="001209CF" w:rsidRDefault="00A83FC6" w:rsidP="00A83FC6">
      <w:pPr>
        <w:spacing w:line="360" w:lineRule="auto"/>
        <w:jc w:val="center"/>
        <w:rPr>
          <w:b/>
          <w:sz w:val="28"/>
          <w:szCs w:val="28"/>
          <w:lang w:val="es-ES"/>
        </w:rPr>
      </w:pPr>
      <w:r w:rsidRPr="001209CF">
        <w:rPr>
          <w:b/>
          <w:sz w:val="28"/>
          <w:szCs w:val="28"/>
          <w:lang w:val="es-ES"/>
        </w:rPr>
        <w:t>Proceso de creación del conocimiento</w:t>
      </w:r>
      <w:r>
        <w:rPr>
          <w:b/>
          <w:sz w:val="28"/>
          <w:szCs w:val="28"/>
          <w:lang w:val="es-ES"/>
        </w:rPr>
        <w:t xml:space="preserve"> </w:t>
      </w:r>
    </w:p>
    <w:p w14:paraId="6865DE2F" w14:textId="2B9AB270" w:rsidR="00A83FC6" w:rsidRDefault="00A83FC6" w:rsidP="00A83FC6">
      <w:pPr>
        <w:spacing w:line="360" w:lineRule="auto"/>
        <w:ind w:firstLine="708"/>
        <w:jc w:val="both"/>
        <w:rPr>
          <w:lang w:val="es-ES"/>
        </w:rPr>
      </w:pPr>
      <w:r w:rsidRPr="00A07D32">
        <w:rPr>
          <w:lang w:val="es-ES"/>
        </w:rPr>
        <w:t>Nona</w:t>
      </w:r>
      <w:r>
        <w:rPr>
          <w:lang w:val="es-ES"/>
        </w:rPr>
        <w:t>k</w:t>
      </w:r>
      <w:r w:rsidRPr="00A07D32">
        <w:rPr>
          <w:lang w:val="es-ES"/>
        </w:rPr>
        <w:t>a (</w:t>
      </w:r>
      <w:r>
        <w:rPr>
          <w:lang w:val="es-ES"/>
        </w:rPr>
        <w:t>2008</w:t>
      </w:r>
      <w:r w:rsidRPr="00A07D32">
        <w:rPr>
          <w:lang w:val="es-ES"/>
        </w:rPr>
        <w:t xml:space="preserve">) enfatiza que la teoría dinámica de creación de conocimiento organizacional </w:t>
      </w:r>
      <w:r>
        <w:rPr>
          <w:lang w:val="es-ES"/>
        </w:rPr>
        <w:t>considera</w:t>
      </w:r>
      <w:r w:rsidRPr="00A07D32">
        <w:rPr>
          <w:lang w:val="es-ES"/>
        </w:rPr>
        <w:t xml:space="preserve"> que el </w:t>
      </w:r>
      <w:r>
        <w:rPr>
          <w:lang w:val="es-ES"/>
        </w:rPr>
        <w:t>saber</w:t>
      </w:r>
      <w:r w:rsidRPr="00A07D32">
        <w:rPr>
          <w:lang w:val="es-ES"/>
        </w:rPr>
        <w:t xml:space="preserve"> es creado a través de una interacción entre el conocimiento</w:t>
      </w:r>
      <w:r w:rsidRPr="00A07D32">
        <w:rPr>
          <w:color w:val="FF0000"/>
          <w:lang w:val="es-ES"/>
        </w:rPr>
        <w:t xml:space="preserve"> </w:t>
      </w:r>
      <w:r w:rsidRPr="00A07D32">
        <w:rPr>
          <w:lang w:val="es-ES"/>
        </w:rPr>
        <w:t>tácito y el explícito</w:t>
      </w:r>
      <w:r>
        <w:rPr>
          <w:lang w:val="es-ES"/>
        </w:rPr>
        <w:t>, lo cual es</w:t>
      </w:r>
      <w:r w:rsidRPr="00A07D32">
        <w:rPr>
          <w:lang w:val="es-ES"/>
        </w:rPr>
        <w:t xml:space="preserve"> representado mediante </w:t>
      </w:r>
      <w:r>
        <w:rPr>
          <w:lang w:val="es-ES"/>
        </w:rPr>
        <w:t>una</w:t>
      </w:r>
      <w:r w:rsidRPr="00A07D32">
        <w:rPr>
          <w:lang w:val="es-ES"/>
        </w:rPr>
        <w:t xml:space="preserve"> espiral de dos dimensiones: 1) </w:t>
      </w:r>
      <w:r>
        <w:rPr>
          <w:lang w:val="es-ES"/>
        </w:rPr>
        <w:t>una</w:t>
      </w:r>
      <w:r w:rsidRPr="00A07D32">
        <w:rPr>
          <w:lang w:val="es-ES"/>
        </w:rPr>
        <w:t xml:space="preserve"> epistemológica que fundamenta el conocimiento explícito y el conocimiento tácito, </w:t>
      </w:r>
      <w:r>
        <w:rPr>
          <w:lang w:val="es-ES"/>
        </w:rPr>
        <w:t xml:space="preserve">y </w:t>
      </w:r>
      <w:r w:rsidRPr="00A07D32">
        <w:rPr>
          <w:lang w:val="es-ES"/>
        </w:rPr>
        <w:t xml:space="preserve">2) </w:t>
      </w:r>
      <w:r>
        <w:rPr>
          <w:lang w:val="es-ES"/>
        </w:rPr>
        <w:t>una</w:t>
      </w:r>
      <w:r w:rsidRPr="00A07D32">
        <w:rPr>
          <w:lang w:val="es-ES"/>
        </w:rPr>
        <w:t xml:space="preserve"> ontológica que contempla los niveles de conocimiento </w:t>
      </w:r>
      <w:r>
        <w:rPr>
          <w:lang w:val="es-ES"/>
        </w:rPr>
        <w:t>(</w:t>
      </w:r>
      <w:r w:rsidRPr="00A07D32">
        <w:rPr>
          <w:lang w:val="es-ES"/>
        </w:rPr>
        <w:t>individual, grupal, organizacional e interorganizacional</w:t>
      </w:r>
      <w:r>
        <w:rPr>
          <w:lang w:val="es-ES"/>
        </w:rPr>
        <w:t>)</w:t>
      </w:r>
      <w:r w:rsidRPr="00A07D32">
        <w:rPr>
          <w:lang w:val="es-ES"/>
        </w:rPr>
        <w:t xml:space="preserve"> a través de los cuatro modos de conversión del conocimiento:</w:t>
      </w:r>
      <w:r>
        <w:rPr>
          <w:lang w:val="es-ES"/>
        </w:rPr>
        <w:t xml:space="preserve"> </w:t>
      </w:r>
      <w:r w:rsidRPr="00A07D32">
        <w:rPr>
          <w:lang w:val="es-ES"/>
        </w:rPr>
        <w:t>1) socialización; 2) externalización; 3) combinación</w:t>
      </w:r>
      <w:r>
        <w:rPr>
          <w:lang w:val="es-ES"/>
        </w:rPr>
        <w:t>, y</w:t>
      </w:r>
      <w:r w:rsidRPr="00A07D32">
        <w:rPr>
          <w:lang w:val="es-ES"/>
        </w:rPr>
        <w:t xml:space="preserve"> 4) internalización.</w:t>
      </w:r>
    </w:p>
    <w:p w14:paraId="68BC46C1" w14:textId="77777777" w:rsidR="00BA21F4" w:rsidRDefault="00BA21F4" w:rsidP="00A83FC6">
      <w:pPr>
        <w:spacing w:line="360" w:lineRule="auto"/>
        <w:ind w:firstLine="708"/>
        <w:jc w:val="both"/>
        <w:rPr>
          <w:lang w:val="es-ES"/>
        </w:rPr>
      </w:pPr>
    </w:p>
    <w:p w14:paraId="2709AA16" w14:textId="77777777" w:rsidR="00A83FC6" w:rsidRPr="00A10C4D" w:rsidRDefault="00A83FC6" w:rsidP="00A83FC6">
      <w:pPr>
        <w:spacing w:line="360" w:lineRule="auto"/>
        <w:ind w:firstLine="708"/>
        <w:jc w:val="both"/>
        <w:rPr>
          <w:lang w:val="es-ES"/>
        </w:rPr>
      </w:pPr>
      <w:r w:rsidRPr="00A07D32">
        <w:rPr>
          <w:lang w:val="es-ES"/>
        </w:rPr>
        <w:lastRenderedPageBreak/>
        <w:t xml:space="preserve">En este sentido, Nonaka, Toyama </w:t>
      </w:r>
      <w:r w:rsidRPr="00A10C4D">
        <w:rPr>
          <w:lang w:val="es-ES"/>
        </w:rPr>
        <w:t xml:space="preserve">y </w:t>
      </w:r>
      <w:proofErr w:type="spellStart"/>
      <w:r w:rsidRPr="00A10C4D">
        <w:rPr>
          <w:lang w:val="es-ES"/>
        </w:rPr>
        <w:t>Byosiere</w:t>
      </w:r>
      <w:proofErr w:type="spellEnd"/>
      <w:r w:rsidRPr="00A10C4D">
        <w:rPr>
          <w:lang w:val="es-ES"/>
        </w:rPr>
        <w:t xml:space="preserve"> (2001) describen los cuatro modos de conversión o creación del conocimiento: la </w:t>
      </w:r>
      <w:r w:rsidRPr="00A10C4D">
        <w:rPr>
          <w:i/>
          <w:lang w:val="es-ES"/>
        </w:rPr>
        <w:t>socialización</w:t>
      </w:r>
      <w:r w:rsidRPr="00A10C4D">
        <w:rPr>
          <w:lang w:val="es-ES"/>
        </w:rPr>
        <w:t xml:space="preserve"> es el proceso de adquirir conocimientos tácitos a través de experiencias compartidas, ya que es específico del contexto y difícil de formalizar. La clave para adquirir conocimiento tácito es comúnmente mediante el compartir de actividades; por ejemplo, en ciertas ocasiones las personas aprenden su arte no mediante la lectura, sino a través de la observación minuciosa del proceder de su maestro y con la práctica.</w:t>
      </w:r>
    </w:p>
    <w:p w14:paraId="38CECEE1" w14:textId="77777777" w:rsidR="00A83FC6" w:rsidRPr="00A10C4D" w:rsidRDefault="00A83FC6" w:rsidP="00A83FC6">
      <w:pPr>
        <w:spacing w:line="360" w:lineRule="auto"/>
        <w:ind w:firstLine="708"/>
        <w:jc w:val="both"/>
        <w:rPr>
          <w:lang w:val="es-ES"/>
        </w:rPr>
      </w:pPr>
      <w:r w:rsidRPr="00A10C4D">
        <w:rPr>
          <w:lang w:val="es-ES"/>
        </w:rPr>
        <w:t xml:space="preserve">La </w:t>
      </w:r>
      <w:r w:rsidRPr="00A10C4D">
        <w:rPr>
          <w:i/>
          <w:lang w:val="es-ES"/>
        </w:rPr>
        <w:t xml:space="preserve">externalización </w:t>
      </w:r>
      <w:r w:rsidRPr="00A10C4D">
        <w:rPr>
          <w:lang w:val="es-ES"/>
        </w:rPr>
        <w:t>es el proceso de articular el conocimiento tácito como conocimiento explícito. Este modo de conversión transfiere lo explícito a tácito. Cuando el conocimiento tácito se hace explícito, el conocimiento se ha concretado, momento en el que puede ser compartido por otros y puede transformarse en el básico para el nuevo conocimiento. La externalización se produce, por ejemplo, cuando un equipo de investigación y desarrollo (R y D) intenta aclarar el concepto de un producto nuevo.</w:t>
      </w:r>
    </w:p>
    <w:p w14:paraId="70E3731D" w14:textId="77777777" w:rsidR="00A83FC6" w:rsidRPr="00A10C4D" w:rsidRDefault="00A83FC6" w:rsidP="00A83FC6">
      <w:pPr>
        <w:spacing w:line="360" w:lineRule="auto"/>
        <w:ind w:firstLine="708"/>
        <w:jc w:val="both"/>
        <w:rPr>
          <w:lang w:val="es-ES"/>
        </w:rPr>
      </w:pPr>
      <w:r w:rsidRPr="00A10C4D">
        <w:rPr>
          <w:lang w:val="es-ES"/>
        </w:rPr>
        <w:t xml:space="preserve">La </w:t>
      </w:r>
      <w:r w:rsidRPr="00A10C4D">
        <w:rPr>
          <w:i/>
          <w:lang w:val="es-ES"/>
        </w:rPr>
        <w:t>combinación</w:t>
      </w:r>
      <w:r w:rsidRPr="00A10C4D">
        <w:rPr>
          <w:lang w:val="es-ES"/>
        </w:rPr>
        <w:t xml:space="preserve"> es la forma de conexión de conocimiento explícito en un conjunto de conocimiento explícito que es intercambiado por medios como documentos, reuniones, conversaciones y redes de comunicación computarizada.</w:t>
      </w:r>
    </w:p>
    <w:p w14:paraId="60C41685" w14:textId="77777777" w:rsidR="00A83FC6" w:rsidRPr="00A10C4D" w:rsidRDefault="00A83FC6" w:rsidP="00A83FC6">
      <w:pPr>
        <w:spacing w:line="360" w:lineRule="auto"/>
        <w:ind w:firstLine="708"/>
        <w:jc w:val="both"/>
        <w:rPr>
          <w:lang w:val="es-ES"/>
        </w:rPr>
      </w:pPr>
      <w:r w:rsidRPr="00A10C4D">
        <w:rPr>
          <w:lang w:val="es-ES"/>
        </w:rPr>
        <w:t xml:space="preserve">Finalmente, la </w:t>
      </w:r>
      <w:r w:rsidRPr="00A10C4D">
        <w:rPr>
          <w:i/>
          <w:lang w:val="es-ES"/>
        </w:rPr>
        <w:t xml:space="preserve">internalización </w:t>
      </w:r>
      <w:r w:rsidRPr="00A10C4D">
        <w:rPr>
          <w:lang w:val="es-ES"/>
        </w:rPr>
        <w:t>es el proceso de incorporar conocimiento explícito como tácito, de ahí que se relacione con el aprender haciendo. Mediante la internalización, el conocimiento creado es compartido a través de la organización, por lo que se utiliza para ampliar, extender y replantear los dos tipos de conocimiento existentes en la institución.</w:t>
      </w:r>
    </w:p>
    <w:p w14:paraId="5DA0D73D" w14:textId="77777777" w:rsidR="00A83FC6" w:rsidRPr="001209CF" w:rsidRDefault="00A83FC6" w:rsidP="00A83FC6">
      <w:pPr>
        <w:spacing w:line="360" w:lineRule="auto"/>
        <w:jc w:val="center"/>
        <w:rPr>
          <w:iCs/>
          <w:lang w:val="es-ES"/>
        </w:rPr>
      </w:pPr>
    </w:p>
    <w:p w14:paraId="7E6E20B7" w14:textId="77777777" w:rsidR="00A83FC6" w:rsidRPr="005E0BA1" w:rsidRDefault="00A83FC6" w:rsidP="00A83FC6">
      <w:pPr>
        <w:spacing w:line="360" w:lineRule="auto"/>
        <w:jc w:val="center"/>
        <w:rPr>
          <w:b/>
          <w:iCs/>
          <w:sz w:val="32"/>
          <w:szCs w:val="32"/>
          <w:lang w:val="es-ES"/>
        </w:rPr>
      </w:pPr>
      <w:r w:rsidRPr="005E0BA1">
        <w:rPr>
          <w:b/>
          <w:iCs/>
          <w:sz w:val="32"/>
          <w:szCs w:val="32"/>
          <w:lang w:val="es-ES"/>
        </w:rPr>
        <w:t>Método de trabajo</w:t>
      </w:r>
    </w:p>
    <w:p w14:paraId="61E9F959" w14:textId="77777777" w:rsidR="00A83FC6" w:rsidRPr="005E0BA1" w:rsidRDefault="00A83FC6" w:rsidP="00A83FC6">
      <w:pPr>
        <w:spacing w:line="360" w:lineRule="auto"/>
        <w:jc w:val="center"/>
        <w:rPr>
          <w:b/>
          <w:sz w:val="28"/>
          <w:szCs w:val="28"/>
          <w:lang w:val="es-ES"/>
        </w:rPr>
      </w:pPr>
      <w:r w:rsidRPr="005E0BA1">
        <w:rPr>
          <w:b/>
          <w:sz w:val="28"/>
          <w:szCs w:val="28"/>
          <w:lang w:val="es-ES"/>
        </w:rPr>
        <w:t>Enfoque y diseño de investigación</w:t>
      </w:r>
    </w:p>
    <w:p w14:paraId="680FC8AF" w14:textId="77777777" w:rsidR="00A83FC6" w:rsidRDefault="00A83FC6" w:rsidP="00A83FC6">
      <w:pPr>
        <w:spacing w:line="360" w:lineRule="auto"/>
        <w:ind w:firstLine="708"/>
        <w:jc w:val="both"/>
        <w:rPr>
          <w:lang w:val="es-ES"/>
        </w:rPr>
      </w:pPr>
      <w:r w:rsidRPr="00A07D32">
        <w:rPr>
          <w:lang w:val="es-ES"/>
        </w:rPr>
        <w:t xml:space="preserve">El diseño de la investigación </w:t>
      </w:r>
      <w:r>
        <w:rPr>
          <w:lang w:val="es-ES"/>
        </w:rPr>
        <w:t>fue</w:t>
      </w:r>
      <w:r w:rsidRPr="00A07D32">
        <w:rPr>
          <w:lang w:val="es-ES"/>
        </w:rPr>
        <w:t xml:space="preserve"> no experimental y transversal. Se utilizó la modelación (SEM-CB), cuya finalidad es evaluar múltiples relaciones simultáneas para </w:t>
      </w:r>
      <w:r>
        <w:rPr>
          <w:lang w:val="es-ES"/>
        </w:rPr>
        <w:t>efectuar,</w:t>
      </w:r>
      <w:r w:rsidRPr="00A07D32">
        <w:rPr>
          <w:lang w:val="es-ES"/>
        </w:rPr>
        <w:t xml:space="preserve"> en este caso</w:t>
      </w:r>
      <w:r>
        <w:rPr>
          <w:lang w:val="es-ES"/>
        </w:rPr>
        <w:t>,</w:t>
      </w:r>
      <w:r w:rsidRPr="00A07D32">
        <w:rPr>
          <w:lang w:val="es-ES"/>
        </w:rPr>
        <w:t xml:space="preserve"> el análisis factorial confirmatorio (</w:t>
      </w:r>
      <w:proofErr w:type="spellStart"/>
      <w:r w:rsidRPr="00A07D32">
        <w:rPr>
          <w:lang w:val="es-ES"/>
        </w:rPr>
        <w:t>Hair</w:t>
      </w:r>
      <w:proofErr w:type="spellEnd"/>
      <w:r w:rsidRPr="00A07D32">
        <w:rPr>
          <w:lang w:val="es-ES"/>
        </w:rPr>
        <w:t>, Anderson, Tatham y Black, 2008; Lévy y Varela, 2006). Este análisis de estructuras de covarianzas ofrece la posibilidad de examinar un conjunto de relaciones de dependencia simultáneas entre múltiples variables.</w:t>
      </w:r>
    </w:p>
    <w:p w14:paraId="4092DD5B" w14:textId="19F352AD" w:rsidR="00A83FC6" w:rsidRDefault="00A83FC6" w:rsidP="00A83FC6">
      <w:pPr>
        <w:spacing w:line="360" w:lineRule="auto"/>
        <w:ind w:firstLine="708"/>
        <w:jc w:val="both"/>
        <w:rPr>
          <w:lang w:val="es-ES"/>
        </w:rPr>
      </w:pPr>
      <w:r w:rsidRPr="00A07D32">
        <w:rPr>
          <w:lang w:val="es-ES"/>
        </w:rPr>
        <w:t xml:space="preserve">Esta técnica es principalmente </w:t>
      </w:r>
      <w:r>
        <w:rPr>
          <w:lang w:val="es-ES"/>
        </w:rPr>
        <w:t>empleada</w:t>
      </w:r>
      <w:r w:rsidRPr="00A07D32">
        <w:rPr>
          <w:lang w:val="es-ES"/>
        </w:rPr>
        <w:t xml:space="preserve"> para </w:t>
      </w:r>
      <w:r>
        <w:rPr>
          <w:lang w:val="es-ES"/>
        </w:rPr>
        <w:t>contrastar</w:t>
      </w:r>
      <w:r w:rsidRPr="00A07D32">
        <w:rPr>
          <w:lang w:val="es-ES"/>
        </w:rPr>
        <w:t xml:space="preserve"> teorías (cuando se pone a prueba un modelo teórico)</w:t>
      </w:r>
      <w:r>
        <w:rPr>
          <w:lang w:val="es-ES"/>
        </w:rPr>
        <w:t>.</w:t>
      </w:r>
      <w:r w:rsidRPr="00A07D32">
        <w:rPr>
          <w:lang w:val="es-ES"/>
        </w:rPr>
        <w:t xml:space="preserve"> </w:t>
      </w:r>
      <w:r>
        <w:rPr>
          <w:lang w:val="es-ES"/>
        </w:rPr>
        <w:t>U</w:t>
      </w:r>
      <w:r w:rsidRPr="00A07D32">
        <w:rPr>
          <w:lang w:val="es-ES"/>
        </w:rPr>
        <w:t>n análisis completo de la técnica implica la evaluación de dos modelos</w:t>
      </w:r>
      <w:r>
        <w:rPr>
          <w:lang w:val="es-ES"/>
        </w:rPr>
        <w:t>:</w:t>
      </w:r>
      <w:r w:rsidRPr="00A07D32">
        <w:rPr>
          <w:lang w:val="es-ES"/>
        </w:rPr>
        <w:t xml:space="preserve"> el de medida y el estructural. En este caso, únicamente se analizó el modelo de </w:t>
      </w:r>
      <w:r w:rsidRPr="00A07D32">
        <w:rPr>
          <w:lang w:val="es-ES"/>
        </w:rPr>
        <w:lastRenderedPageBreak/>
        <w:t xml:space="preserve">medida, el cual </w:t>
      </w:r>
      <w:r>
        <w:rPr>
          <w:lang w:val="es-ES"/>
        </w:rPr>
        <w:t>refleja</w:t>
      </w:r>
      <w:r w:rsidRPr="00A07D32">
        <w:rPr>
          <w:lang w:val="es-ES"/>
        </w:rPr>
        <w:t xml:space="preserve"> las relaciones entre las variables observadas y las latentes, </w:t>
      </w:r>
      <w:r>
        <w:rPr>
          <w:lang w:val="es-ES"/>
        </w:rPr>
        <w:t xml:space="preserve">lo </w:t>
      </w:r>
      <w:r w:rsidRPr="00A07D32">
        <w:rPr>
          <w:lang w:val="es-ES"/>
        </w:rPr>
        <w:t xml:space="preserve">que especifica </w:t>
      </w:r>
      <w:r>
        <w:rPr>
          <w:lang w:val="es-ES"/>
        </w:rPr>
        <w:t>cuáles</w:t>
      </w:r>
      <w:r w:rsidRPr="00A07D32">
        <w:rPr>
          <w:lang w:val="es-ES"/>
        </w:rPr>
        <w:t xml:space="preserve"> indicadores definen cada constructo.</w:t>
      </w:r>
    </w:p>
    <w:p w14:paraId="26B7744A" w14:textId="77777777" w:rsidR="00BA21F4" w:rsidRDefault="00BA21F4" w:rsidP="00A83FC6">
      <w:pPr>
        <w:spacing w:line="360" w:lineRule="auto"/>
        <w:ind w:firstLine="708"/>
        <w:jc w:val="both"/>
        <w:rPr>
          <w:lang w:val="es-ES"/>
        </w:rPr>
      </w:pPr>
    </w:p>
    <w:p w14:paraId="5D42C898" w14:textId="77777777" w:rsidR="00A83FC6" w:rsidRPr="001209CF" w:rsidRDefault="00A83FC6" w:rsidP="00A83FC6">
      <w:pPr>
        <w:spacing w:line="360" w:lineRule="auto"/>
        <w:jc w:val="center"/>
        <w:rPr>
          <w:b/>
          <w:iCs/>
          <w:sz w:val="28"/>
          <w:szCs w:val="32"/>
          <w:lang w:val="es-ES"/>
        </w:rPr>
      </w:pPr>
      <w:r w:rsidRPr="001209CF">
        <w:rPr>
          <w:b/>
          <w:iCs/>
          <w:sz w:val="28"/>
          <w:szCs w:val="32"/>
          <w:lang w:val="es-ES"/>
        </w:rPr>
        <w:t>Muestra</w:t>
      </w:r>
    </w:p>
    <w:p w14:paraId="66165592" w14:textId="77777777" w:rsidR="00A83FC6" w:rsidRDefault="00A83FC6" w:rsidP="00A83FC6">
      <w:pPr>
        <w:spacing w:line="360" w:lineRule="auto"/>
        <w:ind w:firstLine="708"/>
        <w:jc w:val="both"/>
        <w:rPr>
          <w:lang w:val="es-ES"/>
        </w:rPr>
      </w:pPr>
      <w:r>
        <w:rPr>
          <w:lang w:val="es-ES"/>
        </w:rPr>
        <w:t>Para</w:t>
      </w:r>
      <w:r w:rsidRPr="00A07D32">
        <w:rPr>
          <w:lang w:val="es-ES"/>
        </w:rPr>
        <w:t xml:space="preserve"> cumplir el objetivo de explicar el uso del análisis factorial confirmatorio</w:t>
      </w:r>
      <w:r>
        <w:rPr>
          <w:lang w:val="es-ES"/>
        </w:rPr>
        <w:t>,</w:t>
      </w:r>
      <w:r w:rsidRPr="00A07D32">
        <w:rPr>
          <w:lang w:val="es-ES"/>
        </w:rPr>
        <w:t xml:space="preserve"> los datos considerados fueron 225 empleados y directivos que corresponden a organismos de la Universidad Autónoma del Estado de México</w:t>
      </w:r>
      <w:r>
        <w:rPr>
          <w:lang w:val="es-ES"/>
        </w:rPr>
        <w:t xml:space="preserve">, para lo que se efectuó </w:t>
      </w:r>
      <w:r w:rsidRPr="00A07D32">
        <w:rPr>
          <w:lang w:val="es-ES"/>
        </w:rPr>
        <w:t xml:space="preserve">un muestreo por conveniencia </w:t>
      </w:r>
      <w:r>
        <w:rPr>
          <w:lang w:val="es-ES"/>
        </w:rPr>
        <w:t xml:space="preserve">debido a </w:t>
      </w:r>
      <w:r w:rsidRPr="00A07D32">
        <w:rPr>
          <w:lang w:val="es-ES"/>
        </w:rPr>
        <w:t xml:space="preserve">la facilidad para obtener la información. Las características de la muestra </w:t>
      </w:r>
      <w:r>
        <w:rPr>
          <w:lang w:val="es-ES"/>
        </w:rPr>
        <w:t>fueron</w:t>
      </w:r>
      <w:r w:rsidRPr="00A07D32">
        <w:rPr>
          <w:lang w:val="es-ES"/>
        </w:rPr>
        <w:t xml:space="preserve"> </w:t>
      </w:r>
      <w:r>
        <w:rPr>
          <w:lang w:val="es-ES"/>
        </w:rPr>
        <w:t xml:space="preserve">las siguientes: </w:t>
      </w:r>
      <w:r w:rsidRPr="00A07D32">
        <w:rPr>
          <w:lang w:val="es-ES"/>
        </w:rPr>
        <w:t>55</w:t>
      </w:r>
      <w:r>
        <w:rPr>
          <w:lang w:val="es-ES"/>
        </w:rPr>
        <w:t xml:space="preserve"> </w:t>
      </w:r>
      <w:r w:rsidRPr="00A07D32">
        <w:rPr>
          <w:lang w:val="es-ES"/>
        </w:rPr>
        <w:t xml:space="preserve">% mujeres y 45 </w:t>
      </w:r>
      <w:r>
        <w:rPr>
          <w:lang w:val="es-ES"/>
        </w:rPr>
        <w:t xml:space="preserve">% </w:t>
      </w:r>
      <w:r w:rsidRPr="00A07D32">
        <w:rPr>
          <w:lang w:val="es-ES"/>
        </w:rPr>
        <w:t xml:space="preserve">hombres, </w:t>
      </w:r>
      <w:r>
        <w:rPr>
          <w:lang w:val="es-ES"/>
        </w:rPr>
        <w:t xml:space="preserve">la mayoría con edades que oscilaban entre los </w:t>
      </w:r>
      <w:r w:rsidRPr="00A07D32">
        <w:rPr>
          <w:lang w:val="es-ES"/>
        </w:rPr>
        <w:t xml:space="preserve">40 </w:t>
      </w:r>
      <w:r>
        <w:rPr>
          <w:lang w:val="es-ES"/>
        </w:rPr>
        <w:t>y los</w:t>
      </w:r>
      <w:r w:rsidRPr="00A07D32">
        <w:rPr>
          <w:lang w:val="es-ES"/>
        </w:rPr>
        <w:t xml:space="preserve"> 49 años.</w:t>
      </w:r>
    </w:p>
    <w:p w14:paraId="01DDA087" w14:textId="77777777" w:rsidR="00A83FC6" w:rsidRPr="00163AD1" w:rsidRDefault="00A83FC6" w:rsidP="00A83FC6">
      <w:pPr>
        <w:spacing w:line="360" w:lineRule="auto"/>
        <w:ind w:firstLine="708"/>
        <w:jc w:val="both"/>
        <w:rPr>
          <w:lang w:val="es-ES"/>
        </w:rPr>
      </w:pPr>
    </w:p>
    <w:p w14:paraId="2E641065" w14:textId="77777777" w:rsidR="00A83FC6" w:rsidRPr="001209CF" w:rsidRDefault="00A83FC6" w:rsidP="00A83FC6">
      <w:pPr>
        <w:spacing w:line="360" w:lineRule="auto"/>
        <w:jc w:val="center"/>
        <w:rPr>
          <w:b/>
          <w:sz w:val="28"/>
          <w:szCs w:val="28"/>
          <w:lang w:val="es-ES"/>
        </w:rPr>
      </w:pPr>
      <w:r w:rsidRPr="001209CF">
        <w:rPr>
          <w:b/>
          <w:sz w:val="28"/>
          <w:szCs w:val="28"/>
          <w:lang w:val="es-ES"/>
        </w:rPr>
        <w:t>Medición de variables</w:t>
      </w:r>
    </w:p>
    <w:p w14:paraId="4FD5B2C2" w14:textId="77777777" w:rsidR="00A83FC6" w:rsidRDefault="00A83FC6" w:rsidP="00A83FC6">
      <w:pPr>
        <w:spacing w:line="360" w:lineRule="auto"/>
        <w:ind w:firstLine="708"/>
        <w:jc w:val="both"/>
        <w:rPr>
          <w:lang w:val="es-ES"/>
        </w:rPr>
      </w:pPr>
      <w:r w:rsidRPr="00A07D32">
        <w:rPr>
          <w:bCs/>
          <w:lang w:val="es-ES"/>
        </w:rPr>
        <w:t xml:space="preserve">En esta investigación, se construyó un instrumento para medir el proceso de gestión del conocimiento a partir de la </w:t>
      </w:r>
      <w:r w:rsidRPr="00A07D32">
        <w:rPr>
          <w:lang w:val="es-ES"/>
        </w:rPr>
        <w:t>base teórica de</w:t>
      </w:r>
      <w:r>
        <w:rPr>
          <w:lang w:val="es-ES"/>
        </w:rPr>
        <w:t xml:space="preserve"> diversos autores</w:t>
      </w:r>
      <w:r w:rsidRPr="00A07D32">
        <w:rPr>
          <w:lang w:val="es-ES"/>
        </w:rPr>
        <w:t xml:space="preserve"> </w:t>
      </w:r>
      <w:r w:rsidRPr="001935FF">
        <w:rPr>
          <w:lang w:val="es-ES"/>
        </w:rPr>
        <w:t>(</w:t>
      </w:r>
      <w:r w:rsidRPr="00A07D32">
        <w:rPr>
          <w:lang w:val="es-ES"/>
        </w:rPr>
        <w:t>Choi</w:t>
      </w:r>
      <w:r>
        <w:rPr>
          <w:lang w:val="es-ES"/>
        </w:rPr>
        <w:t xml:space="preserve"> y</w:t>
      </w:r>
      <w:r w:rsidRPr="007B015E">
        <w:rPr>
          <w:lang w:val="es-VE"/>
        </w:rPr>
        <w:t xml:space="preserve"> Heeseok</w:t>
      </w:r>
      <w:r w:rsidRPr="00A07D32">
        <w:rPr>
          <w:lang w:val="es-ES"/>
        </w:rPr>
        <w:t xml:space="preserve">, 2002; Choi </w:t>
      </w:r>
      <w:r>
        <w:rPr>
          <w:lang w:val="es-ES"/>
        </w:rPr>
        <w:t>y</w:t>
      </w:r>
      <w:r w:rsidRPr="00A07D32">
        <w:rPr>
          <w:lang w:val="es-ES"/>
        </w:rPr>
        <w:t xml:space="preserve"> Lee, 2002</w:t>
      </w:r>
      <w:r>
        <w:rPr>
          <w:lang w:val="es-ES"/>
        </w:rPr>
        <w:t xml:space="preserve">; </w:t>
      </w:r>
      <w:r w:rsidRPr="00A07D32">
        <w:rPr>
          <w:lang w:val="es-ES"/>
        </w:rPr>
        <w:t xml:space="preserve">Nonaka </w:t>
      </w:r>
      <w:r>
        <w:rPr>
          <w:lang w:val="es-ES"/>
        </w:rPr>
        <w:t>y</w:t>
      </w:r>
      <w:r w:rsidRPr="00A07D32">
        <w:rPr>
          <w:lang w:val="es-ES"/>
        </w:rPr>
        <w:t xml:space="preserve"> Takeuchi, 1995; Nonaka, Toyama </w:t>
      </w:r>
      <w:r>
        <w:rPr>
          <w:lang w:val="es-ES"/>
        </w:rPr>
        <w:t>y</w:t>
      </w:r>
      <w:r w:rsidRPr="00A07D32">
        <w:rPr>
          <w:lang w:val="es-ES"/>
        </w:rPr>
        <w:t xml:space="preserve"> </w:t>
      </w:r>
      <w:proofErr w:type="spellStart"/>
      <w:r w:rsidRPr="00A07D32">
        <w:rPr>
          <w:lang w:val="es-ES"/>
        </w:rPr>
        <w:t>Konno</w:t>
      </w:r>
      <w:proofErr w:type="spellEnd"/>
      <w:r w:rsidRPr="00A07D32">
        <w:rPr>
          <w:lang w:val="es-ES"/>
        </w:rPr>
        <w:t xml:space="preserve">; 2000; Nonaka, Toyama </w:t>
      </w:r>
      <w:r>
        <w:rPr>
          <w:lang w:val="es-ES"/>
        </w:rPr>
        <w:t>y</w:t>
      </w:r>
      <w:r w:rsidRPr="00A07D32">
        <w:rPr>
          <w:lang w:val="es-ES"/>
        </w:rPr>
        <w:t xml:space="preserve"> </w:t>
      </w:r>
      <w:proofErr w:type="spellStart"/>
      <w:r w:rsidRPr="00A07D32">
        <w:rPr>
          <w:lang w:val="es-ES"/>
        </w:rPr>
        <w:t>Byosiere</w:t>
      </w:r>
      <w:proofErr w:type="spellEnd"/>
      <w:r w:rsidRPr="00A07D32">
        <w:rPr>
          <w:lang w:val="es-ES"/>
        </w:rPr>
        <w:t xml:space="preserve"> 2001)</w:t>
      </w:r>
      <w:r>
        <w:rPr>
          <w:lang w:val="es-ES"/>
        </w:rPr>
        <w:t xml:space="preserve">. Esto </w:t>
      </w:r>
      <w:r w:rsidRPr="00A07D32">
        <w:rPr>
          <w:lang w:val="es-ES"/>
        </w:rPr>
        <w:t>permitió medir los cuatro modos de conversión o creación de conocimiento (socialización, externalización, combinación e internalización). La medición fue en escala Likert (1</w:t>
      </w:r>
      <w:r>
        <w:rPr>
          <w:lang w:val="es-ES"/>
        </w:rPr>
        <w:t xml:space="preserve"> </w:t>
      </w:r>
      <w:r w:rsidRPr="00A07D32">
        <w:rPr>
          <w:lang w:val="es-ES"/>
        </w:rPr>
        <w:t xml:space="preserve">= totalmente en desacuerdo y 5 totalmente de acuerdo). </w:t>
      </w:r>
    </w:p>
    <w:p w14:paraId="54379291" w14:textId="77777777" w:rsidR="00A83FC6" w:rsidRPr="00163AD1" w:rsidRDefault="00A83FC6" w:rsidP="00A83FC6">
      <w:pPr>
        <w:spacing w:line="360" w:lineRule="auto"/>
        <w:ind w:firstLine="708"/>
        <w:jc w:val="both"/>
        <w:rPr>
          <w:lang w:val="es-ES"/>
        </w:rPr>
      </w:pPr>
    </w:p>
    <w:p w14:paraId="72FEB990" w14:textId="77777777" w:rsidR="00A83FC6" w:rsidRPr="001209CF" w:rsidRDefault="00A83FC6" w:rsidP="00A83FC6">
      <w:pPr>
        <w:spacing w:line="360" w:lineRule="auto"/>
        <w:jc w:val="center"/>
        <w:rPr>
          <w:b/>
          <w:bCs/>
          <w:sz w:val="28"/>
          <w:szCs w:val="28"/>
          <w:lang w:val="es-ES"/>
        </w:rPr>
      </w:pPr>
      <w:r w:rsidRPr="001209CF">
        <w:rPr>
          <w:b/>
          <w:bCs/>
          <w:sz w:val="28"/>
          <w:szCs w:val="28"/>
          <w:lang w:val="es-ES"/>
        </w:rPr>
        <w:t>Variación del método común</w:t>
      </w:r>
      <w:r>
        <w:rPr>
          <w:b/>
          <w:bCs/>
          <w:sz w:val="28"/>
          <w:szCs w:val="28"/>
          <w:lang w:val="es-ES"/>
        </w:rPr>
        <w:t xml:space="preserve"> </w:t>
      </w:r>
    </w:p>
    <w:p w14:paraId="3121B0F1" w14:textId="77777777" w:rsidR="00A83FC6" w:rsidRDefault="00A83FC6" w:rsidP="00A83FC6">
      <w:pPr>
        <w:spacing w:line="360" w:lineRule="auto"/>
        <w:ind w:firstLine="708"/>
        <w:jc w:val="both"/>
        <w:rPr>
          <w:lang w:val="es-ES"/>
        </w:rPr>
      </w:pPr>
      <w:r w:rsidRPr="00A07D32">
        <w:rPr>
          <w:lang w:val="es-ES"/>
        </w:rPr>
        <w:t>El método común vías es un aspecto importante que se debe de tomar en cuenta en la construcción de escalas de medida.</w:t>
      </w:r>
      <w:r>
        <w:rPr>
          <w:lang w:val="es-ES"/>
        </w:rPr>
        <w:t xml:space="preserve"> </w:t>
      </w:r>
      <w:r w:rsidRPr="00A07D32">
        <w:rPr>
          <w:lang w:val="es-ES"/>
        </w:rPr>
        <w:t>Este refiere a la medida en que la varianza entre las correlaciones deriva del método de medición</w:t>
      </w:r>
      <w:r>
        <w:rPr>
          <w:lang w:val="es-ES"/>
        </w:rPr>
        <w:t>,</w:t>
      </w:r>
      <w:r w:rsidRPr="00A07D32">
        <w:rPr>
          <w:lang w:val="es-ES"/>
        </w:rPr>
        <w:t xml:space="preserve"> y no a los constructos que se miden.</w:t>
      </w:r>
      <w:r w:rsidRPr="00A07D32">
        <w:rPr>
          <w:color w:val="FF0000"/>
          <w:lang w:val="es-ES"/>
        </w:rPr>
        <w:t xml:space="preserve"> </w:t>
      </w:r>
      <w:r>
        <w:rPr>
          <w:color w:val="000000" w:themeColor="text1"/>
          <w:lang w:val="es-ES"/>
        </w:rPr>
        <w:t>Al respecto,</w:t>
      </w:r>
      <w:r w:rsidRPr="00A07D32">
        <w:rPr>
          <w:color w:val="000000" w:themeColor="text1"/>
          <w:lang w:val="es-ES"/>
        </w:rPr>
        <w:t xml:space="preserve"> </w:t>
      </w:r>
      <w:proofErr w:type="spellStart"/>
      <w:r w:rsidRPr="00A07D32">
        <w:rPr>
          <w:color w:val="000000" w:themeColor="text1"/>
          <w:lang w:val="es-ES"/>
        </w:rPr>
        <w:t>Podsakoff</w:t>
      </w:r>
      <w:proofErr w:type="spellEnd"/>
      <w:r w:rsidRPr="00A07D32">
        <w:rPr>
          <w:color w:val="000000" w:themeColor="text1"/>
          <w:lang w:val="es-ES"/>
        </w:rPr>
        <w:t xml:space="preserve">, </w:t>
      </w:r>
      <w:proofErr w:type="spellStart"/>
      <w:r w:rsidRPr="00A07D32">
        <w:rPr>
          <w:color w:val="000000" w:themeColor="text1"/>
          <w:lang w:val="es-ES"/>
        </w:rPr>
        <w:t>MacKenzie</w:t>
      </w:r>
      <w:proofErr w:type="spellEnd"/>
      <w:r w:rsidRPr="00A07D32">
        <w:rPr>
          <w:color w:val="000000" w:themeColor="text1"/>
          <w:lang w:val="es-ES"/>
        </w:rPr>
        <w:t xml:space="preserve">, Lee y </w:t>
      </w:r>
      <w:proofErr w:type="spellStart"/>
      <w:r w:rsidRPr="00A07D32">
        <w:rPr>
          <w:color w:val="000000" w:themeColor="text1"/>
          <w:lang w:val="es-ES"/>
        </w:rPr>
        <w:t>Podsakoff</w:t>
      </w:r>
      <w:proofErr w:type="spellEnd"/>
      <w:r w:rsidRPr="00A07D32">
        <w:rPr>
          <w:color w:val="000000" w:themeColor="text1"/>
          <w:lang w:val="es-ES"/>
        </w:rPr>
        <w:t xml:space="preserve"> (2003) sugieren varios remedios estadísticos para evitar el sesgo del método común</w:t>
      </w:r>
      <w:r>
        <w:rPr>
          <w:color w:val="000000" w:themeColor="text1"/>
          <w:lang w:val="es-ES"/>
        </w:rPr>
        <w:t>, los cuales fueron revisados</w:t>
      </w:r>
      <w:r w:rsidRPr="00A07D32">
        <w:rPr>
          <w:color w:val="000000" w:themeColor="text1"/>
          <w:lang w:val="es-ES"/>
        </w:rPr>
        <w:t>.</w:t>
      </w:r>
      <w:r>
        <w:rPr>
          <w:color w:val="000000" w:themeColor="text1"/>
          <w:lang w:val="es-ES"/>
        </w:rPr>
        <w:t xml:space="preserve"> </w:t>
      </w:r>
    </w:p>
    <w:p w14:paraId="748DC91E" w14:textId="77777777" w:rsidR="00A83FC6" w:rsidRPr="00163AD1" w:rsidRDefault="00A83FC6" w:rsidP="00A83FC6">
      <w:pPr>
        <w:spacing w:line="360" w:lineRule="auto"/>
        <w:ind w:firstLine="708"/>
        <w:jc w:val="both"/>
        <w:rPr>
          <w:lang w:val="es-ES"/>
        </w:rPr>
      </w:pPr>
    </w:p>
    <w:p w14:paraId="7E696D3F" w14:textId="77777777" w:rsidR="00A83FC6" w:rsidRPr="00A10C4D" w:rsidRDefault="00A83FC6" w:rsidP="00A83FC6">
      <w:pPr>
        <w:spacing w:line="360" w:lineRule="auto"/>
        <w:jc w:val="center"/>
        <w:rPr>
          <w:b/>
          <w:bCs/>
          <w:sz w:val="28"/>
          <w:szCs w:val="28"/>
          <w:lang w:val="es-ES"/>
        </w:rPr>
      </w:pPr>
      <w:r w:rsidRPr="00A10C4D">
        <w:rPr>
          <w:b/>
          <w:bCs/>
          <w:sz w:val="28"/>
          <w:szCs w:val="28"/>
          <w:lang w:val="es-ES"/>
        </w:rPr>
        <w:t xml:space="preserve">Procedimiento de análisis de datos </w:t>
      </w:r>
    </w:p>
    <w:p w14:paraId="2D90F2B6" w14:textId="77777777" w:rsidR="00A83FC6" w:rsidRDefault="00A83FC6" w:rsidP="00A83FC6">
      <w:pPr>
        <w:spacing w:line="360" w:lineRule="auto"/>
        <w:ind w:firstLine="708"/>
        <w:jc w:val="both"/>
        <w:rPr>
          <w:lang w:val="es-ES"/>
        </w:rPr>
      </w:pPr>
      <w:r>
        <w:rPr>
          <w:color w:val="000000" w:themeColor="text1"/>
          <w:lang w:val="es-ES"/>
        </w:rPr>
        <w:t>P</w:t>
      </w:r>
      <w:r w:rsidRPr="00A07D32">
        <w:rPr>
          <w:lang w:val="es-ES"/>
        </w:rPr>
        <w:t>ara evaluar si los constructos fueron evaluados correctamente, en primer lugar, se efectuó el análisis factorial exploratorio y</w:t>
      </w:r>
      <w:r>
        <w:rPr>
          <w:lang w:val="es-ES"/>
        </w:rPr>
        <w:t>,</w:t>
      </w:r>
      <w:r w:rsidRPr="00A07D32">
        <w:rPr>
          <w:lang w:val="es-ES"/>
        </w:rPr>
        <w:t xml:space="preserve"> posteriormente</w:t>
      </w:r>
      <w:r>
        <w:rPr>
          <w:lang w:val="es-ES"/>
        </w:rPr>
        <w:t>,</w:t>
      </w:r>
      <w:r w:rsidRPr="00A07D32">
        <w:rPr>
          <w:lang w:val="es-ES"/>
        </w:rPr>
        <w:t xml:space="preserve"> el análisis factorial confirmatorio.</w:t>
      </w:r>
    </w:p>
    <w:p w14:paraId="2CBC0E74" w14:textId="77777777" w:rsidR="00A83FC6" w:rsidRDefault="00A83FC6" w:rsidP="00A83FC6">
      <w:pPr>
        <w:spacing w:line="360" w:lineRule="auto"/>
        <w:ind w:firstLine="708"/>
        <w:jc w:val="both"/>
        <w:rPr>
          <w:lang w:val="es-ES"/>
        </w:rPr>
      </w:pPr>
    </w:p>
    <w:p w14:paraId="458345EB" w14:textId="77777777" w:rsidR="00A83FC6" w:rsidRPr="005E0BA1" w:rsidRDefault="00A83FC6" w:rsidP="00A83FC6">
      <w:pPr>
        <w:spacing w:line="360" w:lineRule="auto"/>
        <w:jc w:val="center"/>
        <w:rPr>
          <w:b/>
          <w:bCs/>
          <w:sz w:val="28"/>
          <w:szCs w:val="28"/>
          <w:lang w:val="es-ES"/>
        </w:rPr>
      </w:pPr>
      <w:r w:rsidRPr="005E0BA1">
        <w:rPr>
          <w:b/>
          <w:bCs/>
          <w:sz w:val="28"/>
          <w:szCs w:val="28"/>
          <w:lang w:val="es-ES"/>
        </w:rPr>
        <w:lastRenderedPageBreak/>
        <w:t>Análisis factorial exploratorio</w:t>
      </w:r>
      <w:r>
        <w:rPr>
          <w:b/>
          <w:bCs/>
          <w:sz w:val="28"/>
          <w:szCs w:val="28"/>
          <w:lang w:val="es-ES"/>
        </w:rPr>
        <w:t xml:space="preserve"> </w:t>
      </w:r>
    </w:p>
    <w:p w14:paraId="581E10AD" w14:textId="77777777" w:rsidR="00A83FC6" w:rsidRPr="00A07D32" w:rsidRDefault="00A83FC6" w:rsidP="00A83FC6">
      <w:pPr>
        <w:spacing w:line="360" w:lineRule="auto"/>
        <w:ind w:firstLine="708"/>
        <w:jc w:val="both"/>
        <w:rPr>
          <w:lang w:val="es-ES"/>
        </w:rPr>
      </w:pPr>
      <w:r w:rsidRPr="00A07D32">
        <w:rPr>
          <w:lang w:val="es-ES"/>
        </w:rPr>
        <w:t>En este tipo de análisis se determinó el índice de adecuación muestral Kaiser-Meyer-</w:t>
      </w:r>
      <w:proofErr w:type="spellStart"/>
      <w:r w:rsidRPr="00A07D32">
        <w:rPr>
          <w:lang w:val="es-ES"/>
        </w:rPr>
        <w:t>Oklin</w:t>
      </w:r>
      <w:proofErr w:type="spellEnd"/>
      <w:r w:rsidRPr="00A07D32">
        <w:rPr>
          <w:lang w:val="es-ES"/>
        </w:rPr>
        <w:t xml:space="preserve"> (KMO), </w:t>
      </w:r>
      <w:r>
        <w:rPr>
          <w:lang w:val="es-ES"/>
        </w:rPr>
        <w:t xml:space="preserve">cuyo valor </w:t>
      </w:r>
      <w:r w:rsidRPr="00A07D32">
        <w:rPr>
          <w:lang w:val="es-ES"/>
        </w:rPr>
        <w:t>fue de KMO</w:t>
      </w:r>
      <w:r>
        <w:rPr>
          <w:lang w:val="es-ES"/>
        </w:rPr>
        <w:t xml:space="preserve"> </w:t>
      </w:r>
      <w:r w:rsidRPr="00A07D32">
        <w:rPr>
          <w:lang w:val="es-ES"/>
        </w:rPr>
        <w:t>=</w:t>
      </w:r>
      <w:r>
        <w:rPr>
          <w:lang w:val="es-ES"/>
        </w:rPr>
        <w:t xml:space="preserve"> </w:t>
      </w:r>
      <w:r w:rsidRPr="00A07D32">
        <w:rPr>
          <w:lang w:val="es-ES"/>
        </w:rPr>
        <w:t>.897</w:t>
      </w:r>
      <w:r>
        <w:rPr>
          <w:lang w:val="es-ES"/>
        </w:rPr>
        <w:t>. Al respecto, cabe señalar que su</w:t>
      </w:r>
      <w:r w:rsidRPr="00A07D32">
        <w:rPr>
          <w:lang w:val="es-ES"/>
        </w:rPr>
        <w:t xml:space="preserve"> parámetro de validez es de 0 a 1 </w:t>
      </w:r>
      <w:r>
        <w:rPr>
          <w:lang w:val="es-ES"/>
        </w:rPr>
        <w:t>(cuanto</w:t>
      </w:r>
      <w:r w:rsidRPr="00A07D32">
        <w:rPr>
          <w:lang w:val="es-ES"/>
        </w:rPr>
        <w:t xml:space="preserve"> más cerc</w:t>
      </w:r>
      <w:r>
        <w:rPr>
          <w:lang w:val="es-ES"/>
        </w:rPr>
        <w:t>a</w:t>
      </w:r>
      <w:r w:rsidRPr="00A07D32">
        <w:rPr>
          <w:lang w:val="es-ES"/>
        </w:rPr>
        <w:t xml:space="preserve"> </w:t>
      </w:r>
      <w:r>
        <w:rPr>
          <w:lang w:val="es-ES"/>
        </w:rPr>
        <w:t>de</w:t>
      </w:r>
      <w:r w:rsidRPr="00A07D32">
        <w:rPr>
          <w:lang w:val="es-ES"/>
        </w:rPr>
        <w:t xml:space="preserve"> 1 la correlación es más fuerte</w:t>
      </w:r>
      <w:r>
        <w:rPr>
          <w:lang w:val="es-ES"/>
        </w:rPr>
        <w:t>)</w:t>
      </w:r>
      <w:r w:rsidRPr="00A07D32">
        <w:rPr>
          <w:lang w:val="es-ES"/>
        </w:rPr>
        <w:t xml:space="preserve">. En relación </w:t>
      </w:r>
      <w:r>
        <w:rPr>
          <w:lang w:val="es-ES"/>
        </w:rPr>
        <w:t>con</w:t>
      </w:r>
      <w:r w:rsidRPr="00A07D32">
        <w:rPr>
          <w:lang w:val="es-ES"/>
        </w:rPr>
        <w:t xml:space="preserve"> la prueba de esfericidad de Bartlett, requiere que el resultado sea significativo. En lo que respecta a las cargas</w:t>
      </w:r>
      <w:r>
        <w:rPr>
          <w:lang w:val="es-ES"/>
        </w:rPr>
        <w:t>,</w:t>
      </w:r>
      <w:r w:rsidRPr="00A07D32">
        <w:rPr>
          <w:lang w:val="es-ES"/>
        </w:rPr>
        <w:t xml:space="preserve"> se recomienda que sean superiores a 0.05 (Castañeda, Cabrera, Navarro </w:t>
      </w:r>
      <w:r>
        <w:rPr>
          <w:lang w:val="es-ES"/>
        </w:rPr>
        <w:t>y</w:t>
      </w:r>
      <w:r w:rsidRPr="00A07D32">
        <w:rPr>
          <w:lang w:val="es-ES"/>
        </w:rPr>
        <w:t xml:space="preserve"> </w:t>
      </w:r>
      <w:proofErr w:type="spellStart"/>
      <w:r w:rsidRPr="00A07D32">
        <w:rPr>
          <w:lang w:val="es-ES"/>
        </w:rPr>
        <w:t>DeVries</w:t>
      </w:r>
      <w:proofErr w:type="spellEnd"/>
      <w:r w:rsidRPr="00A07D32">
        <w:rPr>
          <w:lang w:val="es-ES"/>
        </w:rPr>
        <w:t>, 2010)</w:t>
      </w:r>
      <w:r>
        <w:rPr>
          <w:lang w:val="es-ES"/>
        </w:rPr>
        <w:t>.</w:t>
      </w:r>
      <w:r w:rsidRPr="00A07D32">
        <w:rPr>
          <w:lang w:val="es-ES"/>
        </w:rPr>
        <w:t xml:space="preserve"> </w:t>
      </w:r>
      <w:r>
        <w:rPr>
          <w:lang w:val="es-ES"/>
        </w:rPr>
        <w:t>A</w:t>
      </w:r>
      <w:r w:rsidRPr="00A07D32">
        <w:rPr>
          <w:lang w:val="es-ES"/>
        </w:rPr>
        <w:t>l final</w:t>
      </w:r>
      <w:r>
        <w:rPr>
          <w:lang w:val="es-ES"/>
        </w:rPr>
        <w:t>,</w:t>
      </w:r>
      <w:r w:rsidRPr="00A07D32">
        <w:rPr>
          <w:lang w:val="es-ES"/>
        </w:rPr>
        <w:t xml:space="preserve"> se determinó la varianza explicada de 78.56</w:t>
      </w:r>
      <w:r>
        <w:rPr>
          <w:lang w:val="es-ES"/>
        </w:rPr>
        <w:t xml:space="preserve"> </w:t>
      </w:r>
      <w:r w:rsidRPr="00A07D32">
        <w:rPr>
          <w:lang w:val="es-ES"/>
        </w:rPr>
        <w:t>%.</w:t>
      </w:r>
    </w:p>
    <w:p w14:paraId="1472A18E" w14:textId="77777777" w:rsidR="00A83FC6" w:rsidRDefault="00A83FC6" w:rsidP="00A83FC6">
      <w:pPr>
        <w:spacing w:line="360" w:lineRule="auto"/>
        <w:jc w:val="center"/>
        <w:rPr>
          <w:b/>
          <w:bCs/>
          <w:sz w:val="28"/>
          <w:szCs w:val="28"/>
          <w:lang w:val="es-ES"/>
        </w:rPr>
      </w:pPr>
    </w:p>
    <w:p w14:paraId="0CAC7CDC" w14:textId="77777777" w:rsidR="00A83FC6" w:rsidRPr="001209CF" w:rsidRDefault="00A83FC6" w:rsidP="00A83FC6">
      <w:pPr>
        <w:spacing w:line="360" w:lineRule="auto"/>
        <w:jc w:val="center"/>
        <w:rPr>
          <w:b/>
          <w:bCs/>
          <w:sz w:val="28"/>
          <w:szCs w:val="28"/>
          <w:lang w:val="es-ES"/>
        </w:rPr>
      </w:pPr>
      <w:r w:rsidRPr="001209CF">
        <w:rPr>
          <w:b/>
          <w:bCs/>
          <w:sz w:val="28"/>
          <w:szCs w:val="28"/>
          <w:lang w:val="es-ES"/>
        </w:rPr>
        <w:t>Fiabilidad de la escala</w:t>
      </w:r>
      <w:r>
        <w:rPr>
          <w:b/>
          <w:bCs/>
          <w:sz w:val="28"/>
          <w:szCs w:val="28"/>
          <w:lang w:val="es-ES"/>
        </w:rPr>
        <w:t xml:space="preserve"> </w:t>
      </w:r>
    </w:p>
    <w:p w14:paraId="503EC735" w14:textId="77777777" w:rsidR="00A83FC6" w:rsidRPr="00A07D32" w:rsidRDefault="00A83FC6" w:rsidP="00A83FC6">
      <w:pPr>
        <w:spacing w:line="360" w:lineRule="auto"/>
        <w:ind w:firstLine="708"/>
        <w:jc w:val="both"/>
        <w:rPr>
          <w:lang w:val="es-ES"/>
        </w:rPr>
      </w:pPr>
      <w:r w:rsidRPr="00A07D32">
        <w:rPr>
          <w:lang w:val="es-ES"/>
        </w:rPr>
        <w:t>Se analizó la escala por medio de un análisis de fiabilidad para determinar el alfa de Cronbach</w:t>
      </w:r>
      <w:r>
        <w:rPr>
          <w:lang w:val="es-ES"/>
        </w:rPr>
        <w:t>.</w:t>
      </w:r>
      <w:r w:rsidRPr="00A07D32">
        <w:rPr>
          <w:lang w:val="es-ES"/>
        </w:rPr>
        <w:t xml:space="preserve"> </w:t>
      </w:r>
      <w:r>
        <w:rPr>
          <w:lang w:val="es-ES"/>
        </w:rPr>
        <w:t xml:space="preserve">Se </w:t>
      </w:r>
      <w:r w:rsidRPr="00A07D32">
        <w:rPr>
          <w:lang w:val="es-ES"/>
        </w:rPr>
        <w:t>reportó que la socialización presentó una fiabilidad de 0.85; la externalización 0.82; la combinación 0.89</w:t>
      </w:r>
      <w:r>
        <w:rPr>
          <w:lang w:val="es-ES"/>
        </w:rPr>
        <w:t>, y</w:t>
      </w:r>
      <w:r w:rsidRPr="00A07D32">
        <w:rPr>
          <w:lang w:val="es-ES"/>
        </w:rPr>
        <w:t xml:space="preserve"> la internalización 0.86. La fiabilidad compuesta es una medida de la consistencia interna de los indicadores del constructo</w:t>
      </w:r>
      <w:r>
        <w:rPr>
          <w:lang w:val="es-ES"/>
        </w:rPr>
        <w:t>,</w:t>
      </w:r>
      <w:r w:rsidRPr="00A07D32">
        <w:rPr>
          <w:lang w:val="es-ES"/>
        </w:rPr>
        <w:t xml:space="preserve"> y debe ser calculad</w:t>
      </w:r>
      <w:r>
        <w:rPr>
          <w:lang w:val="es-ES"/>
        </w:rPr>
        <w:t>a</w:t>
      </w:r>
      <w:r w:rsidRPr="00A07D32">
        <w:rPr>
          <w:lang w:val="es-ES"/>
        </w:rPr>
        <w:t xml:space="preserve"> para cada constructo</w:t>
      </w:r>
      <w:r>
        <w:rPr>
          <w:lang w:val="es-ES"/>
        </w:rPr>
        <w:t>.</w:t>
      </w:r>
      <w:r w:rsidRPr="00A07D32">
        <w:rPr>
          <w:lang w:val="es-ES"/>
        </w:rPr>
        <w:t xml:space="preserve"> </w:t>
      </w:r>
      <w:r>
        <w:rPr>
          <w:lang w:val="es-ES"/>
        </w:rPr>
        <w:t>Su</w:t>
      </w:r>
      <w:r w:rsidRPr="00A07D32">
        <w:rPr>
          <w:lang w:val="es-ES"/>
        </w:rPr>
        <w:t xml:space="preserve"> umbral recomendable debe ser igual o superior a 0.70; cuando el valor es menor</w:t>
      </w:r>
      <w:r>
        <w:rPr>
          <w:lang w:val="es-ES"/>
        </w:rPr>
        <w:t>,</w:t>
      </w:r>
      <w:r w:rsidRPr="00A07D32">
        <w:rPr>
          <w:lang w:val="es-ES"/>
        </w:rPr>
        <w:t xml:space="preserve"> puede ser aceptado si la investigación tiene carácter exploratorio (</w:t>
      </w:r>
      <w:proofErr w:type="spellStart"/>
      <w:r w:rsidRPr="00A07D32">
        <w:rPr>
          <w:lang w:val="es-ES"/>
        </w:rPr>
        <w:t>Hair</w:t>
      </w:r>
      <w:proofErr w:type="spellEnd"/>
      <w:r w:rsidRPr="00A07D32">
        <w:rPr>
          <w:lang w:val="es-ES"/>
        </w:rPr>
        <w:t>, Anderson, Tatham y Black, 2007).</w:t>
      </w:r>
    </w:p>
    <w:p w14:paraId="136D1A71" w14:textId="77777777" w:rsidR="00A83FC6" w:rsidRDefault="00A83FC6" w:rsidP="00A83FC6">
      <w:pPr>
        <w:spacing w:line="360" w:lineRule="auto"/>
        <w:jc w:val="center"/>
        <w:rPr>
          <w:b/>
          <w:bCs/>
          <w:sz w:val="28"/>
          <w:szCs w:val="28"/>
          <w:lang w:val="es-ES"/>
        </w:rPr>
      </w:pPr>
    </w:p>
    <w:p w14:paraId="5B9C20E3" w14:textId="77777777" w:rsidR="00A83FC6" w:rsidRPr="001209CF" w:rsidRDefault="00A83FC6" w:rsidP="00A83FC6">
      <w:pPr>
        <w:spacing w:line="360" w:lineRule="auto"/>
        <w:jc w:val="center"/>
        <w:rPr>
          <w:b/>
          <w:bCs/>
          <w:sz w:val="28"/>
          <w:szCs w:val="28"/>
          <w:lang w:val="es-ES"/>
        </w:rPr>
      </w:pPr>
      <w:r w:rsidRPr="001209CF">
        <w:rPr>
          <w:b/>
          <w:bCs/>
          <w:sz w:val="28"/>
          <w:szCs w:val="28"/>
          <w:lang w:val="es-ES"/>
        </w:rPr>
        <w:t>Análisis factorial confirmatorio</w:t>
      </w:r>
      <w:r>
        <w:rPr>
          <w:b/>
          <w:bCs/>
          <w:sz w:val="28"/>
          <w:szCs w:val="28"/>
          <w:lang w:val="es-ES"/>
        </w:rPr>
        <w:t xml:space="preserve"> </w:t>
      </w:r>
    </w:p>
    <w:p w14:paraId="0FA69B61" w14:textId="77777777" w:rsidR="00A83FC6" w:rsidRDefault="00A83FC6" w:rsidP="00A83FC6">
      <w:pPr>
        <w:spacing w:line="360" w:lineRule="auto"/>
        <w:ind w:firstLine="708"/>
        <w:jc w:val="both"/>
        <w:rPr>
          <w:color w:val="000000" w:themeColor="text1"/>
          <w:lang w:val="es-ES"/>
        </w:rPr>
      </w:pPr>
      <w:r w:rsidRPr="00A07D32">
        <w:rPr>
          <w:lang w:val="es-ES"/>
        </w:rPr>
        <w:t>Una vez que el análisis factorial exploratorio present</w:t>
      </w:r>
      <w:r>
        <w:rPr>
          <w:lang w:val="es-ES"/>
        </w:rPr>
        <w:t>ó</w:t>
      </w:r>
      <w:r w:rsidRPr="00A07D32">
        <w:rPr>
          <w:lang w:val="es-ES"/>
        </w:rPr>
        <w:t xml:space="preserve"> índices adecuados, se procedió a realizar el análisis factorial confirmatorio (CFA) para confirmar la fiabilidad y validez del modelo de los cuatro modos de conversión o creación del conocimiento. En este sentido, el AFC también permitió probar si las medidas eran consistentes con la teoría. Por lo tanto, para este análisis se utilizó un programa estadístico de ecuaciones estructurales (AMOS). En primer lugar, se estimó el modelo de medida, y se examinaron los coeficientes estandarizados (cargas factoriales λ) para identificar la varianza de cada indicador que explicó el constructo. </w:t>
      </w:r>
      <w:r w:rsidRPr="00A07D32">
        <w:rPr>
          <w:color w:val="000000" w:themeColor="text1"/>
          <w:lang w:val="es-ES"/>
        </w:rPr>
        <w:t xml:space="preserve">Todas las cargas factoriales estandarizadas excedieron .70, y la varianza promedio extraída (AVE) excedió </w:t>
      </w:r>
      <w:r>
        <w:rPr>
          <w:color w:val="000000" w:themeColor="text1"/>
          <w:lang w:val="es-ES"/>
        </w:rPr>
        <w:t>.</w:t>
      </w:r>
      <w:r w:rsidRPr="00A07D32">
        <w:rPr>
          <w:color w:val="000000" w:themeColor="text1"/>
          <w:lang w:val="es-ES"/>
        </w:rPr>
        <w:t>50. Estos resultados muestran fiabilidad y validez convergente.</w:t>
      </w:r>
      <w:r>
        <w:rPr>
          <w:color w:val="000000" w:themeColor="text1"/>
          <w:lang w:val="es-ES"/>
        </w:rPr>
        <w:t xml:space="preserve"> </w:t>
      </w:r>
    </w:p>
    <w:p w14:paraId="05A395D5" w14:textId="77777777" w:rsidR="00A83FC6" w:rsidRDefault="00A83FC6" w:rsidP="00A83FC6">
      <w:pPr>
        <w:spacing w:line="360" w:lineRule="auto"/>
        <w:ind w:firstLine="708"/>
        <w:jc w:val="both"/>
        <w:rPr>
          <w:color w:val="000000" w:themeColor="text1"/>
          <w:lang w:val="es-ES"/>
        </w:rPr>
      </w:pPr>
      <w:r w:rsidRPr="00A07D32">
        <w:rPr>
          <w:color w:val="000000" w:themeColor="text1"/>
          <w:lang w:val="es-ES"/>
        </w:rPr>
        <w:t>En cuanto a la validez discriminante, la tabla 1 muestra que el AVE es mayor que las correlaciones, lo que permite inferir que existe validez discriminante (</w:t>
      </w:r>
      <w:proofErr w:type="spellStart"/>
      <w:r w:rsidRPr="00A07D32">
        <w:rPr>
          <w:color w:val="000000" w:themeColor="text1"/>
          <w:lang w:val="es-ES"/>
        </w:rPr>
        <w:t>Fornell</w:t>
      </w:r>
      <w:proofErr w:type="spellEnd"/>
      <w:r w:rsidRPr="00A07D32">
        <w:rPr>
          <w:color w:val="000000" w:themeColor="text1"/>
          <w:lang w:val="es-ES"/>
        </w:rPr>
        <w:t xml:space="preserve"> y </w:t>
      </w:r>
      <w:proofErr w:type="spellStart"/>
      <w:r w:rsidRPr="00A07D32">
        <w:rPr>
          <w:color w:val="000000" w:themeColor="text1"/>
          <w:lang w:val="es-ES"/>
        </w:rPr>
        <w:t>Larcker</w:t>
      </w:r>
      <w:proofErr w:type="spellEnd"/>
      <w:r w:rsidRPr="00A07D32">
        <w:rPr>
          <w:color w:val="000000" w:themeColor="text1"/>
          <w:lang w:val="es-ES"/>
        </w:rPr>
        <w:t xml:space="preserve">, 1981; </w:t>
      </w:r>
      <w:proofErr w:type="spellStart"/>
      <w:r w:rsidRPr="00A07D32">
        <w:rPr>
          <w:color w:val="000000" w:themeColor="text1"/>
          <w:lang w:val="es-ES"/>
        </w:rPr>
        <w:t>Nunnally</w:t>
      </w:r>
      <w:proofErr w:type="spellEnd"/>
      <w:r w:rsidRPr="00A07D32">
        <w:rPr>
          <w:color w:val="000000" w:themeColor="text1"/>
          <w:lang w:val="es-ES"/>
        </w:rPr>
        <w:t>, 1978).</w:t>
      </w:r>
    </w:p>
    <w:p w14:paraId="4BB0D9AA" w14:textId="77777777" w:rsidR="00A83FC6" w:rsidRDefault="00A83FC6" w:rsidP="00A83FC6">
      <w:pPr>
        <w:spacing w:line="360" w:lineRule="auto"/>
        <w:jc w:val="center"/>
        <w:rPr>
          <w:color w:val="000000" w:themeColor="text1"/>
          <w:lang w:val="es-ES"/>
        </w:rPr>
      </w:pPr>
      <w:r w:rsidRPr="00B67885">
        <w:rPr>
          <w:b/>
          <w:bCs/>
          <w:color w:val="000000" w:themeColor="text1"/>
          <w:lang w:val="es-ES"/>
        </w:rPr>
        <w:lastRenderedPageBreak/>
        <w:t>Figura 7</w:t>
      </w:r>
      <w:r>
        <w:rPr>
          <w:color w:val="000000" w:themeColor="text1"/>
          <w:lang w:val="es-ES"/>
        </w:rPr>
        <w:t>. Estimación de parámetros del modelo de medida</w:t>
      </w:r>
    </w:p>
    <w:p w14:paraId="5A9B1BDC" w14:textId="77777777" w:rsidR="00A83FC6" w:rsidRPr="00A07D32" w:rsidRDefault="00A83FC6" w:rsidP="00A83FC6">
      <w:pPr>
        <w:spacing w:line="360" w:lineRule="auto"/>
        <w:jc w:val="center"/>
        <w:rPr>
          <w:color w:val="000000" w:themeColor="text1"/>
          <w:lang w:val="es-ES"/>
        </w:rPr>
      </w:pPr>
      <w:r>
        <w:rPr>
          <w:noProof/>
          <w:color w:val="000000" w:themeColor="text1"/>
          <w:lang w:val="es-VE" w:eastAsia="es-VE"/>
        </w:rPr>
        <w:drawing>
          <wp:inline distT="0" distB="0" distL="0" distR="0" wp14:anchorId="49B98271" wp14:editId="6CCE1026">
            <wp:extent cx="4821573" cy="3959604"/>
            <wp:effectExtent l="0" t="0" r="4445" b="3175"/>
            <wp:docPr id="15" name="Imagen 1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Descripción generada automáticamente"/>
                    <pic:cNvPicPr/>
                  </pic:nvPicPr>
                  <pic:blipFill>
                    <a:blip r:embed="rId13"/>
                    <a:stretch>
                      <a:fillRect/>
                    </a:stretch>
                  </pic:blipFill>
                  <pic:spPr>
                    <a:xfrm>
                      <a:off x="0" y="0"/>
                      <a:ext cx="4825665" cy="3962964"/>
                    </a:xfrm>
                    <a:prstGeom prst="rect">
                      <a:avLst/>
                    </a:prstGeom>
                  </pic:spPr>
                </pic:pic>
              </a:graphicData>
            </a:graphic>
          </wp:inline>
        </w:drawing>
      </w:r>
    </w:p>
    <w:p w14:paraId="0B88A8B5" w14:textId="77777777" w:rsidR="00A83FC6" w:rsidRPr="00A10C4D" w:rsidRDefault="00A83FC6" w:rsidP="00A83FC6">
      <w:pPr>
        <w:spacing w:line="360" w:lineRule="auto"/>
        <w:jc w:val="center"/>
        <w:rPr>
          <w:color w:val="000000" w:themeColor="text1"/>
          <w:szCs w:val="28"/>
          <w:lang w:val="es-ES"/>
        </w:rPr>
      </w:pPr>
      <w:r w:rsidRPr="00A10C4D">
        <w:rPr>
          <w:color w:val="000000" w:themeColor="text1"/>
          <w:szCs w:val="28"/>
          <w:lang w:val="es-ES"/>
        </w:rPr>
        <w:t>Fuente: Elaboración propia</w:t>
      </w:r>
    </w:p>
    <w:p w14:paraId="14BCDCCE" w14:textId="77777777" w:rsidR="00A83FC6" w:rsidRDefault="00A83FC6" w:rsidP="00A83FC6">
      <w:pPr>
        <w:spacing w:line="360" w:lineRule="auto"/>
        <w:ind w:firstLine="708"/>
        <w:jc w:val="both"/>
        <w:rPr>
          <w:lang w:val="es-ES"/>
        </w:rPr>
      </w:pPr>
      <w:r w:rsidRPr="006D342D">
        <w:rPr>
          <w:lang w:val="es-ES"/>
        </w:rPr>
        <w:t>En primera instancia, se revisó la multicolinealidad según los datos de la figura 7. Como se observa</w:t>
      </w:r>
      <w:r>
        <w:rPr>
          <w:lang w:val="es-ES"/>
        </w:rPr>
        <w:t>,</w:t>
      </w:r>
      <w:r w:rsidRPr="006D342D">
        <w:rPr>
          <w:lang w:val="es-ES"/>
        </w:rPr>
        <w:t xml:space="preserve"> la</w:t>
      </w:r>
      <w:r>
        <w:rPr>
          <w:lang w:val="es-ES"/>
        </w:rPr>
        <w:t>s</w:t>
      </w:r>
      <w:r w:rsidRPr="006D342D">
        <w:rPr>
          <w:lang w:val="es-ES"/>
        </w:rPr>
        <w:t xml:space="preserve"> variable</w:t>
      </w:r>
      <w:r>
        <w:rPr>
          <w:lang w:val="es-ES"/>
        </w:rPr>
        <w:t>s</w:t>
      </w:r>
      <w:r w:rsidRPr="006D342D">
        <w:rPr>
          <w:lang w:val="es-ES"/>
        </w:rPr>
        <w:t xml:space="preserve"> </w:t>
      </w:r>
      <w:r w:rsidRPr="006D342D">
        <w:rPr>
          <w:i/>
          <w:lang w:val="es-ES"/>
        </w:rPr>
        <w:t>socialización</w:t>
      </w:r>
      <w:r w:rsidRPr="006D342D">
        <w:rPr>
          <w:lang w:val="es-ES"/>
        </w:rPr>
        <w:t xml:space="preserve"> y </w:t>
      </w:r>
      <w:r w:rsidRPr="006D342D">
        <w:rPr>
          <w:i/>
          <w:lang w:val="es-ES"/>
        </w:rPr>
        <w:t>combinación</w:t>
      </w:r>
      <w:r w:rsidRPr="006D342D">
        <w:rPr>
          <w:lang w:val="es-ES"/>
        </w:rPr>
        <w:t xml:space="preserve"> presentan la mayor covarianza de .39, lo cual no es un problema representativo de multicolinealidad. No obstante, también se llevó a cabo un análisis de </w:t>
      </w:r>
      <w:proofErr w:type="spellStart"/>
      <w:r w:rsidRPr="006D342D">
        <w:rPr>
          <w:lang w:val="es-ES"/>
        </w:rPr>
        <w:t>colinelidad</w:t>
      </w:r>
      <w:proofErr w:type="spellEnd"/>
      <w:r w:rsidRPr="006D342D">
        <w:rPr>
          <w:lang w:val="es-ES"/>
        </w:rPr>
        <w:t xml:space="preserve"> para evaluar la multicolinealidad, en donde se analizó el factor de inflación de la varianza (FIV), la tolerancia y el índice de condición. </w:t>
      </w:r>
      <w:r>
        <w:rPr>
          <w:lang w:val="es-ES"/>
        </w:rPr>
        <w:t xml:space="preserve">Se reportó lo siguiente: </w:t>
      </w:r>
      <w:r w:rsidRPr="006D342D">
        <w:rPr>
          <w:lang w:val="es-ES"/>
        </w:rPr>
        <w:t>FIV</w:t>
      </w:r>
      <w:r>
        <w:rPr>
          <w:lang w:val="es-ES"/>
        </w:rPr>
        <w:t xml:space="preserve"> </w:t>
      </w:r>
      <w:r w:rsidRPr="006D342D">
        <w:rPr>
          <w:lang w:val="es-ES"/>
        </w:rPr>
        <w:t>= 2.9, tolerancia 0.84 y IC</w:t>
      </w:r>
      <w:r>
        <w:rPr>
          <w:lang w:val="es-ES"/>
        </w:rPr>
        <w:t xml:space="preserve"> </w:t>
      </w:r>
      <w:r w:rsidRPr="006D342D">
        <w:rPr>
          <w:lang w:val="es-ES"/>
        </w:rPr>
        <w:t>= 11.23</w:t>
      </w:r>
      <w:r>
        <w:rPr>
          <w:lang w:val="es-ES"/>
        </w:rPr>
        <w:t>,</w:t>
      </w:r>
      <w:r w:rsidRPr="006D342D">
        <w:rPr>
          <w:lang w:val="es-ES"/>
        </w:rPr>
        <w:t xml:space="preserve"> lo que indica que no existe</w:t>
      </w:r>
      <w:r>
        <w:rPr>
          <w:lang w:val="es-ES"/>
        </w:rPr>
        <w:t>n</w:t>
      </w:r>
      <w:r w:rsidRPr="006D342D">
        <w:rPr>
          <w:lang w:val="es-ES"/>
        </w:rPr>
        <w:t xml:space="preserve"> problemas de colinealidad, ya que un FIV</w:t>
      </w:r>
      <w:r>
        <w:rPr>
          <w:lang w:val="es-ES"/>
        </w:rPr>
        <w:t xml:space="preserve"> </w:t>
      </w:r>
      <w:r w:rsidRPr="006D342D">
        <w:rPr>
          <w:lang w:val="es-ES"/>
        </w:rPr>
        <w:t>&gt;</w:t>
      </w:r>
      <w:r>
        <w:rPr>
          <w:lang w:val="es-ES"/>
        </w:rPr>
        <w:t xml:space="preserve"> </w:t>
      </w:r>
      <w:r w:rsidRPr="006D342D">
        <w:rPr>
          <w:lang w:val="es-ES"/>
        </w:rPr>
        <w:t>3.3, tolerancia abajo de 0.20 y IC</w:t>
      </w:r>
      <w:r>
        <w:rPr>
          <w:lang w:val="es-ES"/>
        </w:rPr>
        <w:t xml:space="preserve"> </w:t>
      </w:r>
      <w:r w:rsidRPr="006D342D">
        <w:rPr>
          <w:lang w:val="es-ES"/>
        </w:rPr>
        <w:t>&gt;</w:t>
      </w:r>
      <w:r>
        <w:rPr>
          <w:lang w:val="es-ES"/>
        </w:rPr>
        <w:t xml:space="preserve"> </w:t>
      </w:r>
      <w:r w:rsidRPr="006D342D">
        <w:rPr>
          <w:lang w:val="es-ES"/>
        </w:rPr>
        <w:t>30 presentan problemas de colinealidad (</w:t>
      </w:r>
      <w:proofErr w:type="spellStart"/>
      <w:r w:rsidRPr="006D342D">
        <w:rPr>
          <w:lang w:val="es-ES"/>
        </w:rPr>
        <w:t>Belsley</w:t>
      </w:r>
      <w:proofErr w:type="spellEnd"/>
      <w:r w:rsidRPr="006D342D">
        <w:rPr>
          <w:lang w:val="es-ES"/>
        </w:rPr>
        <w:t>, 1991</w:t>
      </w:r>
      <w:r>
        <w:rPr>
          <w:lang w:val="es-ES"/>
        </w:rPr>
        <w:t xml:space="preserve">; </w:t>
      </w:r>
      <w:proofErr w:type="spellStart"/>
      <w:r w:rsidRPr="006D342D">
        <w:rPr>
          <w:lang w:val="es-ES"/>
        </w:rPr>
        <w:t>Diamantopoulos</w:t>
      </w:r>
      <w:proofErr w:type="spellEnd"/>
      <w:r w:rsidRPr="006D342D">
        <w:rPr>
          <w:lang w:val="es-ES"/>
        </w:rPr>
        <w:t xml:space="preserve"> y </w:t>
      </w:r>
      <w:proofErr w:type="spellStart"/>
      <w:r w:rsidRPr="006D342D">
        <w:rPr>
          <w:lang w:val="es-ES"/>
        </w:rPr>
        <w:t>Siguaw</w:t>
      </w:r>
      <w:proofErr w:type="spellEnd"/>
      <w:r w:rsidRPr="006D342D">
        <w:rPr>
          <w:lang w:val="es-ES"/>
        </w:rPr>
        <w:t xml:space="preserve">, 2006). </w:t>
      </w:r>
    </w:p>
    <w:p w14:paraId="2C6F9564" w14:textId="3C491777" w:rsidR="00A83FC6" w:rsidRDefault="00A83FC6" w:rsidP="00A83FC6">
      <w:pPr>
        <w:spacing w:line="360" w:lineRule="auto"/>
        <w:ind w:firstLine="708"/>
        <w:jc w:val="both"/>
        <w:rPr>
          <w:lang w:val="es-ES"/>
        </w:rPr>
      </w:pPr>
      <w:r>
        <w:rPr>
          <w:lang w:val="es-ES"/>
        </w:rPr>
        <w:t>L</w:t>
      </w:r>
      <w:r w:rsidRPr="006D342D">
        <w:rPr>
          <w:lang w:val="es-ES"/>
        </w:rPr>
        <w:t>a fiabilidad por medio del AFC se calculó tomando como base las cargas y el AVE de los indicadores del constructo, que se muestran en la figura 7. A continuación</w:t>
      </w:r>
      <w:r>
        <w:rPr>
          <w:lang w:val="es-ES"/>
        </w:rPr>
        <w:t>,</w:t>
      </w:r>
      <w:r w:rsidRPr="006D342D">
        <w:rPr>
          <w:lang w:val="es-ES"/>
        </w:rPr>
        <w:t xml:space="preserve"> se </w:t>
      </w:r>
      <w:r>
        <w:rPr>
          <w:lang w:val="es-ES"/>
        </w:rPr>
        <w:t>presenta</w:t>
      </w:r>
      <w:r w:rsidRPr="006D342D">
        <w:rPr>
          <w:lang w:val="es-ES"/>
        </w:rPr>
        <w:t xml:space="preserve"> un ejemplo del cálculo de un constructo, donde se resta 1 de cada varianza (1-.80</w:t>
      </w:r>
      <w:r>
        <w:rPr>
          <w:lang w:val="es-ES"/>
        </w:rPr>
        <w:t xml:space="preserve"> </w:t>
      </w:r>
      <w:r w:rsidRPr="006D342D">
        <w:rPr>
          <w:lang w:val="es-ES"/>
        </w:rPr>
        <w:t>= 0.20; 1-.83</w:t>
      </w:r>
      <w:r>
        <w:rPr>
          <w:lang w:val="es-ES"/>
        </w:rPr>
        <w:t xml:space="preserve"> </w:t>
      </w:r>
      <w:r w:rsidRPr="006D342D">
        <w:rPr>
          <w:lang w:val="es-ES"/>
        </w:rPr>
        <w:t>= 0.17; 1-.64</w:t>
      </w:r>
      <w:r>
        <w:rPr>
          <w:lang w:val="es-ES"/>
        </w:rPr>
        <w:t xml:space="preserve"> </w:t>
      </w:r>
      <w:r w:rsidRPr="006D342D">
        <w:rPr>
          <w:lang w:val="es-ES"/>
        </w:rPr>
        <w:t>= 0.36).</w:t>
      </w:r>
    </w:p>
    <w:p w14:paraId="5B15FD7B" w14:textId="75AA3BEF" w:rsidR="00A93475" w:rsidRDefault="00A93475" w:rsidP="00A83FC6">
      <w:pPr>
        <w:spacing w:line="360" w:lineRule="auto"/>
        <w:ind w:firstLine="708"/>
        <w:jc w:val="both"/>
        <w:rPr>
          <w:lang w:val="es-ES"/>
        </w:rPr>
      </w:pPr>
    </w:p>
    <w:p w14:paraId="1ECA4161" w14:textId="77777777" w:rsidR="00A93475" w:rsidRDefault="00A93475" w:rsidP="00A83FC6">
      <w:pPr>
        <w:spacing w:line="360" w:lineRule="auto"/>
        <w:ind w:firstLine="708"/>
        <w:jc w:val="both"/>
        <w:rPr>
          <w:lang w:val="es-ES"/>
        </w:rPr>
      </w:pPr>
    </w:p>
    <w:p w14:paraId="6736FA84" w14:textId="787BB12E" w:rsidR="00A93475" w:rsidRPr="006D342D" w:rsidRDefault="00A93475" w:rsidP="00A83FC6">
      <w:pPr>
        <w:spacing w:line="360" w:lineRule="auto"/>
        <w:ind w:firstLine="708"/>
        <w:jc w:val="both"/>
        <w:rPr>
          <w:lang w:val="es-ES"/>
        </w:rPr>
      </w:pPr>
      <m:oMath>
        <m:r>
          <w:rPr>
            <w:rFonts w:ascii="Cambria Math" w:hAnsi="Cambria Math" w:cs="Cambria Math"/>
            <w:lang w:val="es-ES"/>
          </w:rPr>
          <w:lastRenderedPageBreak/>
          <m:t>C</m:t>
        </m:r>
        <m:r>
          <m:rPr>
            <m:sty m:val="p"/>
          </m:rPr>
          <w:rPr>
            <w:rFonts w:ascii="Cambria Math" w:hAnsi="Cambria Math" w:cs="Cambria Math"/>
            <w:lang w:val="es-ES"/>
          </w:rPr>
          <m:t>=(</m:t>
        </m:r>
        <m:f>
          <m:fPr>
            <m:ctrlPr>
              <w:rPr>
                <w:rFonts w:ascii="Cambria Math" w:hAnsi="Cambria Math"/>
                <w:lang w:val="es-ES"/>
              </w:rPr>
            </m:ctrlPr>
          </m:fPr>
          <m:num>
            <m:r>
              <w:rPr>
                <w:rFonts w:ascii="Cambria Math" w:hAnsi="Cambria Math"/>
                <w:lang w:val="es-ES"/>
              </w:rPr>
              <m:t>(0.89+0.91+0.80</m:t>
            </m:r>
            <m:sSup>
              <m:sSupPr>
                <m:ctrlPr>
                  <w:rPr>
                    <w:rFonts w:ascii="Cambria Math" w:hAnsi="Cambria Math"/>
                    <w:i/>
                    <w:lang w:val="es-ES"/>
                  </w:rPr>
                </m:ctrlPr>
              </m:sSupPr>
              <m:e>
                <m:r>
                  <w:rPr>
                    <w:rFonts w:ascii="Cambria Math" w:hAnsi="Cambria Math"/>
                    <w:lang w:val="es-ES"/>
                  </w:rPr>
                  <m:t>)</m:t>
                </m:r>
              </m:e>
              <m:sup>
                <m:r>
                  <w:rPr>
                    <w:rFonts w:ascii="Cambria Math" w:hAnsi="Cambria Math"/>
                    <w:lang w:val="es-ES"/>
                  </w:rPr>
                  <m:t>2</m:t>
                </m:r>
              </m:sup>
            </m:sSup>
          </m:num>
          <m:den>
            <m:r>
              <m:rPr>
                <m:sty m:val="p"/>
              </m:rPr>
              <w:rPr>
                <w:rFonts w:ascii="Cambria Math" w:hAnsi="Cambria Math" w:cs="Cambria Math"/>
                <w:lang w:val="es-ES"/>
              </w:rPr>
              <m:t>(0.89+0.91+0.80</m:t>
            </m:r>
            <m:sSup>
              <m:sSupPr>
                <m:ctrlPr>
                  <w:rPr>
                    <w:rFonts w:ascii="Cambria Math" w:hAnsi="Cambria Math" w:cs="Cambria Math"/>
                    <w:lang w:val="es-ES"/>
                  </w:rPr>
                </m:ctrlPr>
              </m:sSupPr>
              <m:e>
                <m:r>
                  <w:rPr>
                    <w:rFonts w:ascii="Cambria Math" w:hAnsi="Cambria Math" w:cs="Cambria Math"/>
                    <w:lang w:val="es-ES"/>
                  </w:rPr>
                  <m:t>)</m:t>
                </m:r>
              </m:e>
              <m:sup>
                <m:r>
                  <w:rPr>
                    <w:rFonts w:ascii="Cambria Math" w:hAnsi="Cambria Math" w:cs="Cambria Math"/>
                    <w:lang w:val="es-ES"/>
                  </w:rPr>
                  <m:t xml:space="preserve">2 </m:t>
                </m:r>
              </m:sup>
            </m:sSup>
            <m:r>
              <w:rPr>
                <w:rFonts w:ascii="Cambria Math" w:hAnsi="Cambria Math" w:cs="Cambria Math"/>
                <w:lang w:val="es-ES"/>
              </w:rPr>
              <m:t>+0.20+0.17+0.36</m:t>
            </m:r>
          </m:den>
        </m:f>
      </m:oMath>
      <w:r>
        <w:rPr>
          <w:lang w:val="es-ES"/>
        </w:rPr>
        <w:t>) = 0.90</w:t>
      </w:r>
    </w:p>
    <w:p w14:paraId="04073004" w14:textId="3242D43E" w:rsidR="00A83FC6" w:rsidRDefault="00A83FC6" w:rsidP="000B2144">
      <w:pPr>
        <w:spacing w:line="360" w:lineRule="auto"/>
        <w:ind w:firstLine="708"/>
        <w:jc w:val="both"/>
        <w:rPr>
          <w:lang w:val="es-ES"/>
        </w:rPr>
      </w:pPr>
      <w:r w:rsidRPr="006D342D">
        <w:rPr>
          <w:lang w:val="es-ES"/>
        </w:rPr>
        <w:t xml:space="preserve"> </w:t>
      </w:r>
      <w:r>
        <w:rPr>
          <w:lang w:val="es-ES"/>
        </w:rPr>
        <w:t>Igualmente</w:t>
      </w:r>
      <w:r w:rsidRPr="006D342D">
        <w:rPr>
          <w:lang w:val="es-ES"/>
        </w:rPr>
        <w:t xml:space="preserve">, se </w:t>
      </w:r>
      <w:r>
        <w:rPr>
          <w:lang w:val="es-ES"/>
        </w:rPr>
        <w:t>ofrece</w:t>
      </w:r>
      <w:r w:rsidRPr="006D342D">
        <w:rPr>
          <w:lang w:val="es-ES"/>
        </w:rPr>
        <w:t xml:space="preserve"> un ejemplo de la determinación del AVE. La cantidad total de varianza de los indicadores tenida en cuenta por cada uno de los constructos latentes. Una </w:t>
      </w:r>
      <w:r>
        <w:rPr>
          <w:lang w:val="es-ES"/>
        </w:rPr>
        <w:t>manera</w:t>
      </w:r>
      <w:r w:rsidRPr="006D342D">
        <w:rPr>
          <w:lang w:val="es-ES"/>
        </w:rPr>
        <w:t xml:space="preserve"> es utilizar una fórmula establecida o determinar el promedio por constructo. Para muestra se ilustra el siguiente ejemplo C = 0.80</w:t>
      </w:r>
      <w:r>
        <w:rPr>
          <w:lang w:val="es-ES"/>
        </w:rPr>
        <w:t xml:space="preserve"> </w:t>
      </w:r>
      <w:r w:rsidRPr="006D342D">
        <w:rPr>
          <w:lang w:val="es-ES"/>
        </w:rPr>
        <w:t>+</w:t>
      </w:r>
      <w:r>
        <w:rPr>
          <w:lang w:val="es-ES"/>
        </w:rPr>
        <w:t xml:space="preserve"> </w:t>
      </w:r>
      <w:r w:rsidRPr="006D342D">
        <w:rPr>
          <w:lang w:val="es-ES"/>
        </w:rPr>
        <w:t>0.83</w:t>
      </w:r>
      <w:r>
        <w:rPr>
          <w:lang w:val="es-ES"/>
        </w:rPr>
        <w:t xml:space="preserve"> </w:t>
      </w:r>
      <w:r w:rsidRPr="006D342D">
        <w:rPr>
          <w:lang w:val="es-ES"/>
        </w:rPr>
        <w:t>+</w:t>
      </w:r>
      <w:r>
        <w:rPr>
          <w:lang w:val="es-ES"/>
        </w:rPr>
        <w:t xml:space="preserve"> </w:t>
      </w:r>
      <w:r w:rsidRPr="006D342D">
        <w:rPr>
          <w:lang w:val="es-ES"/>
        </w:rPr>
        <w:t>0. 64/3</w:t>
      </w:r>
      <w:r>
        <w:rPr>
          <w:lang w:val="es-ES"/>
        </w:rPr>
        <w:t xml:space="preserve"> </w:t>
      </w:r>
      <w:r w:rsidRPr="006D342D">
        <w:rPr>
          <w:lang w:val="es-ES"/>
        </w:rPr>
        <w:t>= 0.75</w:t>
      </w:r>
    </w:p>
    <w:p w14:paraId="22C9B19E" w14:textId="77777777" w:rsidR="00A83FC6" w:rsidRPr="006D342D" w:rsidRDefault="00A83FC6" w:rsidP="00A83FC6">
      <w:pPr>
        <w:spacing w:line="360" w:lineRule="auto"/>
        <w:ind w:firstLine="708"/>
        <w:jc w:val="both"/>
        <w:rPr>
          <w:lang w:val="es-ES"/>
        </w:rPr>
      </w:pPr>
      <w:r w:rsidRPr="006D342D">
        <w:rPr>
          <w:lang w:val="es-ES"/>
        </w:rPr>
        <w:t>Como se puede observar en la tabla 1, la fiabilidad de todos los constructos supera el umbral establecido de 0.75, mientras que la varianza media extraída siempre debe ser superior a 50</w:t>
      </w:r>
      <w:r>
        <w:rPr>
          <w:lang w:val="es-ES"/>
        </w:rPr>
        <w:t xml:space="preserve"> </w:t>
      </w:r>
      <w:r w:rsidRPr="006D342D">
        <w:rPr>
          <w:lang w:val="es-ES"/>
        </w:rPr>
        <w:t>% (Lévi y Varela, 2006). Por lo tanto, estos resultados muestran la idoneidad de los indicadores para la explicación empírica de los constructos latentes.</w:t>
      </w:r>
      <w:r>
        <w:rPr>
          <w:lang w:val="es-ES"/>
        </w:rPr>
        <w:t xml:space="preserve"> </w:t>
      </w:r>
    </w:p>
    <w:p w14:paraId="2EAFBBAA" w14:textId="77777777" w:rsidR="00A83FC6" w:rsidRPr="006D342D" w:rsidRDefault="00A83FC6" w:rsidP="00A83FC6">
      <w:pPr>
        <w:spacing w:line="360" w:lineRule="auto"/>
        <w:jc w:val="both"/>
        <w:rPr>
          <w:lang w:val="es-ES"/>
        </w:rPr>
      </w:pPr>
    </w:p>
    <w:p w14:paraId="26BF2441" w14:textId="77777777" w:rsidR="00A83FC6" w:rsidRPr="006D342D" w:rsidRDefault="00A83FC6" w:rsidP="00A83FC6">
      <w:pPr>
        <w:spacing w:line="360" w:lineRule="auto"/>
        <w:jc w:val="center"/>
        <w:rPr>
          <w:bCs/>
          <w:lang w:val="es-ES"/>
        </w:rPr>
      </w:pPr>
      <w:r w:rsidRPr="006D342D">
        <w:rPr>
          <w:b/>
          <w:bCs/>
          <w:lang w:val="es-ES"/>
        </w:rPr>
        <w:t xml:space="preserve">Tabla 1. </w:t>
      </w:r>
      <w:r w:rsidRPr="006D342D">
        <w:rPr>
          <w:bCs/>
          <w:lang w:val="es-ES"/>
        </w:rPr>
        <w:t xml:space="preserve">Fiabilidad de constructo y validez </w:t>
      </w:r>
      <w:r>
        <w:rPr>
          <w:bCs/>
          <w:lang w:val="es-ES"/>
        </w:rPr>
        <w:t>c</w:t>
      </w:r>
      <w:r w:rsidRPr="006D342D">
        <w:rPr>
          <w:bCs/>
          <w:lang w:val="es-ES"/>
        </w:rPr>
        <w:t>onvergente</w:t>
      </w:r>
    </w:p>
    <w:tbl>
      <w:tblPr>
        <w:tblStyle w:val="Tablaconcuadrcula"/>
        <w:tblW w:w="0" w:type="auto"/>
        <w:jc w:val="center"/>
        <w:tblLook w:val="04A0" w:firstRow="1" w:lastRow="0" w:firstColumn="1" w:lastColumn="0" w:noHBand="0" w:noVBand="1"/>
      </w:tblPr>
      <w:tblGrid>
        <w:gridCol w:w="1363"/>
        <w:gridCol w:w="1365"/>
        <w:gridCol w:w="992"/>
      </w:tblGrid>
      <w:tr w:rsidR="00A83FC6" w:rsidRPr="00A10C4D" w14:paraId="3170842A" w14:textId="77777777" w:rsidTr="00A00FA6">
        <w:trPr>
          <w:jc w:val="center"/>
        </w:trPr>
        <w:tc>
          <w:tcPr>
            <w:tcW w:w="1363" w:type="dxa"/>
          </w:tcPr>
          <w:p w14:paraId="0DDE8DA2" w14:textId="77777777" w:rsidR="00A83FC6" w:rsidRPr="00A10C4D" w:rsidRDefault="00A83FC6" w:rsidP="00A00FA6">
            <w:pPr>
              <w:jc w:val="center"/>
              <w:rPr>
                <w:bCs/>
                <w:lang w:val="es-ES"/>
              </w:rPr>
            </w:pPr>
            <w:r w:rsidRPr="00A10C4D">
              <w:rPr>
                <w:bCs/>
                <w:lang w:val="es-ES"/>
              </w:rPr>
              <w:t>Constructo</w:t>
            </w:r>
          </w:p>
        </w:tc>
        <w:tc>
          <w:tcPr>
            <w:tcW w:w="1365" w:type="dxa"/>
          </w:tcPr>
          <w:p w14:paraId="2DEC4649" w14:textId="77777777" w:rsidR="00A83FC6" w:rsidRPr="00A10C4D" w:rsidRDefault="00A83FC6" w:rsidP="00A00FA6">
            <w:pPr>
              <w:jc w:val="center"/>
              <w:rPr>
                <w:bCs/>
                <w:lang w:val="es-ES"/>
              </w:rPr>
            </w:pPr>
            <w:r w:rsidRPr="00A10C4D">
              <w:rPr>
                <w:bCs/>
                <w:lang w:val="es-ES"/>
              </w:rPr>
              <w:t>Fiabilidad</w:t>
            </w:r>
          </w:p>
        </w:tc>
        <w:tc>
          <w:tcPr>
            <w:tcW w:w="992" w:type="dxa"/>
          </w:tcPr>
          <w:p w14:paraId="5C512E77" w14:textId="77777777" w:rsidR="00A83FC6" w:rsidRPr="00A10C4D" w:rsidRDefault="00A83FC6" w:rsidP="00A00FA6">
            <w:pPr>
              <w:jc w:val="center"/>
              <w:rPr>
                <w:bCs/>
                <w:lang w:val="es-ES"/>
              </w:rPr>
            </w:pPr>
            <w:r w:rsidRPr="00A10C4D">
              <w:rPr>
                <w:bCs/>
                <w:lang w:val="es-ES"/>
              </w:rPr>
              <w:t>AVE</w:t>
            </w:r>
          </w:p>
        </w:tc>
      </w:tr>
      <w:tr w:rsidR="00A83FC6" w:rsidRPr="00A10C4D" w14:paraId="4FBE3287" w14:textId="77777777" w:rsidTr="00A00FA6">
        <w:trPr>
          <w:jc w:val="center"/>
        </w:trPr>
        <w:tc>
          <w:tcPr>
            <w:tcW w:w="1363" w:type="dxa"/>
          </w:tcPr>
          <w:p w14:paraId="448B1F8A" w14:textId="77777777" w:rsidR="00A83FC6" w:rsidRPr="00A10C4D" w:rsidRDefault="00A83FC6" w:rsidP="00A00FA6">
            <w:pPr>
              <w:jc w:val="center"/>
              <w:rPr>
                <w:bCs/>
                <w:lang w:val="es-ES"/>
              </w:rPr>
            </w:pPr>
            <w:r w:rsidRPr="00A10C4D">
              <w:rPr>
                <w:bCs/>
                <w:lang w:val="es-ES"/>
              </w:rPr>
              <w:t>S</w:t>
            </w:r>
          </w:p>
        </w:tc>
        <w:tc>
          <w:tcPr>
            <w:tcW w:w="1365" w:type="dxa"/>
          </w:tcPr>
          <w:p w14:paraId="2845DAA2" w14:textId="77777777" w:rsidR="00A83FC6" w:rsidRPr="00A10C4D" w:rsidRDefault="00A83FC6" w:rsidP="00A00FA6">
            <w:pPr>
              <w:jc w:val="center"/>
              <w:rPr>
                <w:bCs/>
                <w:lang w:val="es-ES"/>
              </w:rPr>
            </w:pPr>
            <w:r w:rsidRPr="00A10C4D">
              <w:rPr>
                <w:bCs/>
                <w:lang w:val="es-ES"/>
              </w:rPr>
              <w:t>0.95</w:t>
            </w:r>
          </w:p>
        </w:tc>
        <w:tc>
          <w:tcPr>
            <w:tcW w:w="992" w:type="dxa"/>
          </w:tcPr>
          <w:p w14:paraId="1AE1491A" w14:textId="77777777" w:rsidR="00A83FC6" w:rsidRPr="00A10C4D" w:rsidRDefault="00A83FC6" w:rsidP="00A00FA6">
            <w:pPr>
              <w:jc w:val="center"/>
              <w:rPr>
                <w:bCs/>
                <w:lang w:val="es-ES"/>
              </w:rPr>
            </w:pPr>
            <w:r w:rsidRPr="00A10C4D">
              <w:rPr>
                <w:bCs/>
                <w:lang w:val="es-ES"/>
              </w:rPr>
              <w:t>0.83</w:t>
            </w:r>
          </w:p>
        </w:tc>
      </w:tr>
      <w:tr w:rsidR="00A83FC6" w:rsidRPr="00A10C4D" w14:paraId="2ADC0AD8" w14:textId="77777777" w:rsidTr="00A00FA6">
        <w:trPr>
          <w:jc w:val="center"/>
        </w:trPr>
        <w:tc>
          <w:tcPr>
            <w:tcW w:w="1363" w:type="dxa"/>
          </w:tcPr>
          <w:p w14:paraId="4EA534D7" w14:textId="77777777" w:rsidR="00A83FC6" w:rsidRPr="00A10C4D" w:rsidRDefault="00A83FC6" w:rsidP="00A00FA6">
            <w:pPr>
              <w:jc w:val="center"/>
              <w:rPr>
                <w:bCs/>
                <w:lang w:val="es-ES"/>
              </w:rPr>
            </w:pPr>
            <w:r w:rsidRPr="00A10C4D">
              <w:rPr>
                <w:bCs/>
                <w:lang w:val="es-ES"/>
              </w:rPr>
              <w:t>E</w:t>
            </w:r>
          </w:p>
        </w:tc>
        <w:tc>
          <w:tcPr>
            <w:tcW w:w="1365" w:type="dxa"/>
          </w:tcPr>
          <w:p w14:paraId="32E9071B" w14:textId="77777777" w:rsidR="00A83FC6" w:rsidRPr="00A10C4D" w:rsidRDefault="00A83FC6" w:rsidP="00A00FA6">
            <w:pPr>
              <w:jc w:val="center"/>
              <w:rPr>
                <w:bCs/>
                <w:lang w:val="es-ES"/>
              </w:rPr>
            </w:pPr>
            <w:r w:rsidRPr="00A10C4D">
              <w:rPr>
                <w:bCs/>
                <w:lang w:val="es-ES"/>
              </w:rPr>
              <w:t>0.90</w:t>
            </w:r>
          </w:p>
        </w:tc>
        <w:tc>
          <w:tcPr>
            <w:tcW w:w="992" w:type="dxa"/>
          </w:tcPr>
          <w:p w14:paraId="30C258F9" w14:textId="77777777" w:rsidR="00A83FC6" w:rsidRPr="00A10C4D" w:rsidRDefault="00A83FC6" w:rsidP="00A00FA6">
            <w:pPr>
              <w:jc w:val="center"/>
              <w:rPr>
                <w:bCs/>
                <w:lang w:val="es-ES"/>
              </w:rPr>
            </w:pPr>
            <w:r w:rsidRPr="00A10C4D">
              <w:rPr>
                <w:bCs/>
                <w:lang w:val="es-ES"/>
              </w:rPr>
              <w:t>0.82</w:t>
            </w:r>
          </w:p>
        </w:tc>
      </w:tr>
      <w:tr w:rsidR="00A83FC6" w:rsidRPr="00A10C4D" w14:paraId="24B19040" w14:textId="77777777" w:rsidTr="00A00FA6">
        <w:trPr>
          <w:jc w:val="center"/>
        </w:trPr>
        <w:tc>
          <w:tcPr>
            <w:tcW w:w="1363" w:type="dxa"/>
          </w:tcPr>
          <w:p w14:paraId="5698D7C2" w14:textId="77777777" w:rsidR="00A83FC6" w:rsidRPr="00A10C4D" w:rsidRDefault="00A83FC6" w:rsidP="00A00FA6">
            <w:pPr>
              <w:jc w:val="center"/>
              <w:rPr>
                <w:bCs/>
                <w:lang w:val="es-ES"/>
              </w:rPr>
            </w:pPr>
            <w:r w:rsidRPr="00A10C4D">
              <w:rPr>
                <w:bCs/>
                <w:lang w:val="es-ES"/>
              </w:rPr>
              <w:t>C</w:t>
            </w:r>
          </w:p>
        </w:tc>
        <w:tc>
          <w:tcPr>
            <w:tcW w:w="1365" w:type="dxa"/>
          </w:tcPr>
          <w:p w14:paraId="409A1EC5" w14:textId="77777777" w:rsidR="00A83FC6" w:rsidRPr="00A10C4D" w:rsidRDefault="00A83FC6" w:rsidP="00A00FA6">
            <w:pPr>
              <w:jc w:val="center"/>
              <w:rPr>
                <w:bCs/>
                <w:lang w:val="es-ES"/>
              </w:rPr>
            </w:pPr>
            <w:r w:rsidRPr="00A10C4D">
              <w:rPr>
                <w:bCs/>
                <w:lang w:val="es-ES"/>
              </w:rPr>
              <w:t>0.90</w:t>
            </w:r>
          </w:p>
        </w:tc>
        <w:tc>
          <w:tcPr>
            <w:tcW w:w="992" w:type="dxa"/>
          </w:tcPr>
          <w:p w14:paraId="739B379E" w14:textId="77777777" w:rsidR="00A83FC6" w:rsidRPr="00A10C4D" w:rsidRDefault="00A83FC6" w:rsidP="00A00FA6">
            <w:pPr>
              <w:jc w:val="center"/>
              <w:rPr>
                <w:bCs/>
                <w:lang w:val="es-ES"/>
              </w:rPr>
            </w:pPr>
            <w:r w:rsidRPr="00A10C4D">
              <w:rPr>
                <w:bCs/>
                <w:lang w:val="es-ES"/>
              </w:rPr>
              <w:t>0.75</w:t>
            </w:r>
          </w:p>
        </w:tc>
      </w:tr>
      <w:tr w:rsidR="00A83FC6" w:rsidRPr="00A10C4D" w14:paraId="7CDC1FE7" w14:textId="77777777" w:rsidTr="00A00FA6">
        <w:trPr>
          <w:jc w:val="center"/>
        </w:trPr>
        <w:tc>
          <w:tcPr>
            <w:tcW w:w="1363" w:type="dxa"/>
          </w:tcPr>
          <w:p w14:paraId="4AF7B7CC" w14:textId="77777777" w:rsidR="00A83FC6" w:rsidRPr="00A10C4D" w:rsidRDefault="00A83FC6" w:rsidP="00A00FA6">
            <w:pPr>
              <w:jc w:val="center"/>
              <w:rPr>
                <w:bCs/>
                <w:lang w:val="es-ES"/>
              </w:rPr>
            </w:pPr>
            <w:r w:rsidRPr="00A10C4D">
              <w:rPr>
                <w:bCs/>
                <w:lang w:val="es-ES"/>
              </w:rPr>
              <w:t>I</w:t>
            </w:r>
          </w:p>
        </w:tc>
        <w:tc>
          <w:tcPr>
            <w:tcW w:w="1365" w:type="dxa"/>
          </w:tcPr>
          <w:p w14:paraId="1C52F111" w14:textId="77777777" w:rsidR="00A83FC6" w:rsidRPr="00A10C4D" w:rsidRDefault="00A83FC6" w:rsidP="00A00FA6">
            <w:pPr>
              <w:jc w:val="center"/>
              <w:rPr>
                <w:bCs/>
                <w:lang w:val="es-ES"/>
              </w:rPr>
            </w:pPr>
            <w:r w:rsidRPr="00A10C4D">
              <w:rPr>
                <w:bCs/>
                <w:lang w:val="es-ES"/>
              </w:rPr>
              <w:t>0.86</w:t>
            </w:r>
          </w:p>
        </w:tc>
        <w:tc>
          <w:tcPr>
            <w:tcW w:w="992" w:type="dxa"/>
          </w:tcPr>
          <w:p w14:paraId="34F6D87E" w14:textId="77777777" w:rsidR="00A83FC6" w:rsidRPr="00A10C4D" w:rsidRDefault="00A83FC6" w:rsidP="00A00FA6">
            <w:pPr>
              <w:jc w:val="center"/>
              <w:rPr>
                <w:bCs/>
                <w:lang w:val="es-ES"/>
              </w:rPr>
            </w:pPr>
            <w:r w:rsidRPr="00A10C4D">
              <w:rPr>
                <w:bCs/>
                <w:lang w:val="es-ES"/>
              </w:rPr>
              <w:t>0.77</w:t>
            </w:r>
          </w:p>
        </w:tc>
      </w:tr>
    </w:tbl>
    <w:p w14:paraId="23C0E1B9" w14:textId="77777777" w:rsidR="00A83FC6" w:rsidRPr="00A10C4D" w:rsidRDefault="00A83FC6" w:rsidP="00A83FC6">
      <w:pPr>
        <w:spacing w:line="360" w:lineRule="auto"/>
        <w:jc w:val="center"/>
        <w:rPr>
          <w:color w:val="000000" w:themeColor="text1"/>
          <w:szCs w:val="28"/>
          <w:lang w:val="es-ES"/>
        </w:rPr>
      </w:pPr>
      <w:r w:rsidRPr="00A10C4D">
        <w:rPr>
          <w:color w:val="000000" w:themeColor="text1"/>
          <w:szCs w:val="28"/>
          <w:lang w:val="es-ES"/>
        </w:rPr>
        <w:t>Fuente: Elaboración propia</w:t>
      </w:r>
    </w:p>
    <w:p w14:paraId="39A032F9" w14:textId="77777777" w:rsidR="00A83FC6" w:rsidRPr="00F0251A" w:rsidRDefault="00A83FC6" w:rsidP="00A83FC6">
      <w:pPr>
        <w:spacing w:line="360" w:lineRule="auto"/>
        <w:jc w:val="center"/>
        <w:rPr>
          <w:b/>
          <w:bCs/>
          <w:color w:val="000000" w:themeColor="text1"/>
        </w:rPr>
      </w:pPr>
    </w:p>
    <w:p w14:paraId="51D06035" w14:textId="77777777" w:rsidR="00A83FC6" w:rsidRPr="006D342D" w:rsidRDefault="00A83FC6" w:rsidP="00A83FC6">
      <w:pPr>
        <w:spacing w:line="360" w:lineRule="auto"/>
        <w:jc w:val="center"/>
        <w:rPr>
          <w:bCs/>
          <w:color w:val="000000" w:themeColor="text1"/>
          <w:lang w:val="es-ES"/>
        </w:rPr>
      </w:pPr>
      <w:r w:rsidRPr="001209CF">
        <w:rPr>
          <w:b/>
          <w:bCs/>
          <w:color w:val="000000" w:themeColor="text1"/>
          <w:lang w:val="es-ES"/>
        </w:rPr>
        <w:t xml:space="preserve">Tabla </w:t>
      </w:r>
      <w:r>
        <w:rPr>
          <w:b/>
          <w:bCs/>
          <w:color w:val="000000" w:themeColor="text1"/>
          <w:lang w:val="es-ES"/>
        </w:rPr>
        <w:t>2</w:t>
      </w:r>
      <w:r w:rsidRPr="001209CF">
        <w:rPr>
          <w:b/>
          <w:bCs/>
          <w:color w:val="000000" w:themeColor="text1"/>
          <w:lang w:val="es-ES"/>
        </w:rPr>
        <w:t xml:space="preserve">. </w:t>
      </w:r>
      <w:r w:rsidRPr="006D342D">
        <w:rPr>
          <w:bCs/>
          <w:color w:val="000000" w:themeColor="text1"/>
          <w:lang w:val="es-ES"/>
        </w:rPr>
        <w:t>Fiabilidad y validez (convergente y discrim</w:t>
      </w:r>
      <w:r>
        <w:rPr>
          <w:bCs/>
          <w:color w:val="000000" w:themeColor="text1"/>
          <w:lang w:val="es-ES"/>
        </w:rPr>
        <w:t>i</w:t>
      </w:r>
      <w:r w:rsidRPr="006D342D">
        <w:rPr>
          <w:bCs/>
          <w:color w:val="000000" w:themeColor="text1"/>
          <w:lang w:val="es-ES"/>
        </w:rPr>
        <w:t>na</w:t>
      </w:r>
      <w:r>
        <w:rPr>
          <w:bCs/>
          <w:color w:val="000000" w:themeColor="text1"/>
          <w:lang w:val="es-ES"/>
        </w:rPr>
        <w:t>n</w:t>
      </w:r>
      <w:r w:rsidRPr="006D342D">
        <w:rPr>
          <w:bCs/>
          <w:color w:val="000000" w:themeColor="text1"/>
          <w:lang w:val="es-ES"/>
        </w:rPr>
        <w:t>te)</w:t>
      </w:r>
    </w:p>
    <w:tbl>
      <w:tblPr>
        <w:tblStyle w:val="Tablaconcuadrcula"/>
        <w:tblW w:w="0" w:type="auto"/>
        <w:jc w:val="center"/>
        <w:tblLook w:val="04A0" w:firstRow="1" w:lastRow="0" w:firstColumn="1" w:lastColumn="0" w:noHBand="0" w:noVBand="1"/>
      </w:tblPr>
      <w:tblGrid>
        <w:gridCol w:w="1631"/>
        <w:gridCol w:w="1132"/>
        <w:gridCol w:w="1431"/>
        <w:gridCol w:w="1632"/>
        <w:gridCol w:w="1432"/>
        <w:gridCol w:w="1570"/>
      </w:tblGrid>
      <w:tr w:rsidR="00A83FC6" w:rsidRPr="00A10C4D" w14:paraId="4AC6F26A" w14:textId="77777777" w:rsidTr="00A00FA6">
        <w:trPr>
          <w:jc w:val="center"/>
        </w:trPr>
        <w:tc>
          <w:tcPr>
            <w:tcW w:w="1597" w:type="dxa"/>
          </w:tcPr>
          <w:p w14:paraId="4207C4B8" w14:textId="77777777" w:rsidR="00A83FC6" w:rsidRPr="00A10C4D" w:rsidRDefault="00A83FC6" w:rsidP="00A00FA6">
            <w:pPr>
              <w:jc w:val="both"/>
              <w:rPr>
                <w:color w:val="000000" w:themeColor="text1"/>
                <w:lang w:val="es-ES"/>
              </w:rPr>
            </w:pPr>
            <w:r w:rsidRPr="00A10C4D">
              <w:rPr>
                <w:color w:val="000000" w:themeColor="text1"/>
                <w:lang w:val="es-ES"/>
              </w:rPr>
              <w:t xml:space="preserve">Variable </w:t>
            </w:r>
          </w:p>
        </w:tc>
        <w:tc>
          <w:tcPr>
            <w:tcW w:w="1217" w:type="dxa"/>
          </w:tcPr>
          <w:p w14:paraId="3F129D29" w14:textId="77777777" w:rsidR="00A83FC6" w:rsidRPr="00A10C4D" w:rsidRDefault="00A83FC6" w:rsidP="00A00FA6">
            <w:pPr>
              <w:jc w:val="both"/>
              <w:rPr>
                <w:color w:val="000000" w:themeColor="text1"/>
                <w:lang w:val="es-ES"/>
              </w:rPr>
            </w:pPr>
            <w:r w:rsidRPr="00A10C4D">
              <w:rPr>
                <w:color w:val="000000" w:themeColor="text1"/>
                <w:lang w:val="es-ES"/>
              </w:rPr>
              <w:t xml:space="preserve">Fiabilidad </w:t>
            </w:r>
          </w:p>
        </w:tc>
        <w:tc>
          <w:tcPr>
            <w:tcW w:w="1445" w:type="dxa"/>
          </w:tcPr>
          <w:p w14:paraId="48241153" w14:textId="77777777" w:rsidR="00A83FC6" w:rsidRPr="00A10C4D" w:rsidRDefault="00A83FC6" w:rsidP="00A00FA6">
            <w:pPr>
              <w:jc w:val="both"/>
              <w:rPr>
                <w:color w:val="000000" w:themeColor="text1"/>
                <w:lang w:val="es-ES"/>
              </w:rPr>
            </w:pPr>
            <w:r w:rsidRPr="00A10C4D">
              <w:rPr>
                <w:color w:val="000000" w:themeColor="text1"/>
                <w:lang w:val="es-ES"/>
              </w:rPr>
              <w:t xml:space="preserve">Socialización </w:t>
            </w:r>
          </w:p>
        </w:tc>
        <w:tc>
          <w:tcPr>
            <w:tcW w:w="1597" w:type="dxa"/>
          </w:tcPr>
          <w:p w14:paraId="2AB9786B" w14:textId="77777777" w:rsidR="00A83FC6" w:rsidRPr="00A10C4D" w:rsidRDefault="00A83FC6" w:rsidP="00A00FA6">
            <w:pPr>
              <w:jc w:val="both"/>
              <w:rPr>
                <w:color w:val="000000" w:themeColor="text1"/>
                <w:lang w:val="es-ES"/>
              </w:rPr>
            </w:pPr>
            <w:r w:rsidRPr="00A10C4D">
              <w:rPr>
                <w:color w:val="000000" w:themeColor="text1"/>
                <w:lang w:val="es-ES"/>
              </w:rPr>
              <w:t xml:space="preserve">Externalización </w:t>
            </w:r>
          </w:p>
        </w:tc>
        <w:tc>
          <w:tcPr>
            <w:tcW w:w="1446" w:type="dxa"/>
          </w:tcPr>
          <w:p w14:paraId="284D5D7D" w14:textId="77777777" w:rsidR="00A83FC6" w:rsidRPr="00A10C4D" w:rsidRDefault="00A83FC6" w:rsidP="00A00FA6">
            <w:pPr>
              <w:jc w:val="both"/>
              <w:rPr>
                <w:color w:val="000000" w:themeColor="text1"/>
                <w:lang w:val="es-ES"/>
              </w:rPr>
            </w:pPr>
            <w:r w:rsidRPr="00A10C4D">
              <w:rPr>
                <w:color w:val="000000" w:themeColor="text1"/>
                <w:lang w:val="es-ES"/>
              </w:rPr>
              <w:t xml:space="preserve">Combinación </w:t>
            </w:r>
          </w:p>
        </w:tc>
        <w:tc>
          <w:tcPr>
            <w:tcW w:w="1536" w:type="dxa"/>
          </w:tcPr>
          <w:p w14:paraId="3B085C3A" w14:textId="77777777" w:rsidR="00A83FC6" w:rsidRPr="00A10C4D" w:rsidRDefault="00A83FC6" w:rsidP="00A00FA6">
            <w:pPr>
              <w:jc w:val="both"/>
              <w:rPr>
                <w:color w:val="000000" w:themeColor="text1"/>
                <w:lang w:val="es-ES"/>
              </w:rPr>
            </w:pPr>
            <w:r w:rsidRPr="00A10C4D">
              <w:rPr>
                <w:color w:val="000000" w:themeColor="text1"/>
                <w:lang w:val="es-ES"/>
              </w:rPr>
              <w:t>Internalización</w:t>
            </w:r>
          </w:p>
        </w:tc>
      </w:tr>
      <w:tr w:rsidR="00A83FC6" w:rsidRPr="00A10C4D" w14:paraId="1047CE23" w14:textId="77777777" w:rsidTr="00A00FA6">
        <w:trPr>
          <w:jc w:val="center"/>
        </w:trPr>
        <w:tc>
          <w:tcPr>
            <w:tcW w:w="1597" w:type="dxa"/>
          </w:tcPr>
          <w:p w14:paraId="4D4EA213" w14:textId="77777777" w:rsidR="00A83FC6" w:rsidRPr="00A10C4D" w:rsidRDefault="00A83FC6" w:rsidP="00A00FA6">
            <w:pPr>
              <w:jc w:val="both"/>
              <w:rPr>
                <w:color w:val="000000" w:themeColor="text1"/>
                <w:lang w:val="es-ES"/>
              </w:rPr>
            </w:pPr>
            <w:r w:rsidRPr="00A10C4D">
              <w:rPr>
                <w:color w:val="000000" w:themeColor="text1"/>
                <w:lang w:val="es-ES"/>
              </w:rPr>
              <w:t xml:space="preserve">Socialización </w:t>
            </w:r>
          </w:p>
        </w:tc>
        <w:tc>
          <w:tcPr>
            <w:tcW w:w="1217" w:type="dxa"/>
          </w:tcPr>
          <w:p w14:paraId="5CAC9D60" w14:textId="77777777" w:rsidR="00A83FC6" w:rsidRPr="00A10C4D" w:rsidRDefault="00A83FC6" w:rsidP="00A00FA6">
            <w:pPr>
              <w:jc w:val="both"/>
              <w:rPr>
                <w:color w:val="000000" w:themeColor="text1"/>
                <w:lang w:val="es-ES"/>
              </w:rPr>
            </w:pPr>
            <w:r w:rsidRPr="00A10C4D">
              <w:rPr>
                <w:color w:val="000000" w:themeColor="text1"/>
                <w:lang w:val="es-ES"/>
              </w:rPr>
              <w:t>0.812</w:t>
            </w:r>
          </w:p>
        </w:tc>
        <w:tc>
          <w:tcPr>
            <w:tcW w:w="1445" w:type="dxa"/>
          </w:tcPr>
          <w:p w14:paraId="651E49FC" w14:textId="77777777" w:rsidR="00A83FC6" w:rsidRPr="00A10C4D" w:rsidRDefault="00A83FC6" w:rsidP="00A00FA6">
            <w:pPr>
              <w:jc w:val="both"/>
              <w:rPr>
                <w:i/>
                <w:iCs/>
                <w:color w:val="000000" w:themeColor="text1"/>
                <w:lang w:val="es-ES"/>
              </w:rPr>
            </w:pPr>
            <w:r w:rsidRPr="00A10C4D">
              <w:rPr>
                <w:i/>
                <w:iCs/>
                <w:color w:val="000000" w:themeColor="text1"/>
                <w:lang w:val="es-ES"/>
              </w:rPr>
              <w:t>(0.83)</w:t>
            </w:r>
          </w:p>
        </w:tc>
        <w:tc>
          <w:tcPr>
            <w:tcW w:w="1597" w:type="dxa"/>
          </w:tcPr>
          <w:p w14:paraId="560927C8" w14:textId="77777777" w:rsidR="00A83FC6" w:rsidRPr="00A10C4D" w:rsidRDefault="00A83FC6" w:rsidP="00A00FA6">
            <w:pPr>
              <w:jc w:val="both"/>
              <w:rPr>
                <w:color w:val="000000" w:themeColor="text1"/>
                <w:lang w:val="es-ES"/>
              </w:rPr>
            </w:pPr>
          </w:p>
        </w:tc>
        <w:tc>
          <w:tcPr>
            <w:tcW w:w="1446" w:type="dxa"/>
          </w:tcPr>
          <w:p w14:paraId="3847F853" w14:textId="77777777" w:rsidR="00A83FC6" w:rsidRPr="00A10C4D" w:rsidRDefault="00A83FC6" w:rsidP="00A00FA6">
            <w:pPr>
              <w:jc w:val="both"/>
              <w:rPr>
                <w:color w:val="000000" w:themeColor="text1"/>
                <w:lang w:val="es-ES"/>
              </w:rPr>
            </w:pPr>
          </w:p>
        </w:tc>
        <w:tc>
          <w:tcPr>
            <w:tcW w:w="1536" w:type="dxa"/>
          </w:tcPr>
          <w:p w14:paraId="3C0E6BBC" w14:textId="77777777" w:rsidR="00A83FC6" w:rsidRPr="00A10C4D" w:rsidRDefault="00A83FC6" w:rsidP="00A00FA6">
            <w:pPr>
              <w:jc w:val="both"/>
              <w:rPr>
                <w:color w:val="000000" w:themeColor="text1"/>
                <w:lang w:val="es-ES"/>
              </w:rPr>
            </w:pPr>
          </w:p>
        </w:tc>
      </w:tr>
      <w:tr w:rsidR="00A83FC6" w:rsidRPr="00A10C4D" w14:paraId="083F66E3" w14:textId="77777777" w:rsidTr="00A00FA6">
        <w:trPr>
          <w:jc w:val="center"/>
        </w:trPr>
        <w:tc>
          <w:tcPr>
            <w:tcW w:w="1597" w:type="dxa"/>
          </w:tcPr>
          <w:p w14:paraId="2DBBC917" w14:textId="77777777" w:rsidR="00A83FC6" w:rsidRPr="00A10C4D" w:rsidRDefault="00A83FC6" w:rsidP="00A00FA6">
            <w:pPr>
              <w:jc w:val="both"/>
              <w:rPr>
                <w:color w:val="000000" w:themeColor="text1"/>
                <w:lang w:val="es-ES"/>
              </w:rPr>
            </w:pPr>
            <w:r w:rsidRPr="00A10C4D">
              <w:rPr>
                <w:color w:val="000000" w:themeColor="text1"/>
                <w:lang w:val="es-ES"/>
              </w:rPr>
              <w:t xml:space="preserve">Externalización </w:t>
            </w:r>
          </w:p>
        </w:tc>
        <w:tc>
          <w:tcPr>
            <w:tcW w:w="1217" w:type="dxa"/>
          </w:tcPr>
          <w:p w14:paraId="181E4FEC" w14:textId="77777777" w:rsidR="00A83FC6" w:rsidRPr="00A10C4D" w:rsidRDefault="00A83FC6" w:rsidP="00A00FA6">
            <w:pPr>
              <w:jc w:val="both"/>
              <w:rPr>
                <w:color w:val="000000" w:themeColor="text1"/>
                <w:lang w:val="es-ES"/>
              </w:rPr>
            </w:pPr>
            <w:r w:rsidRPr="00A10C4D">
              <w:rPr>
                <w:color w:val="000000" w:themeColor="text1"/>
                <w:lang w:val="es-ES"/>
              </w:rPr>
              <w:t>0.901</w:t>
            </w:r>
          </w:p>
        </w:tc>
        <w:tc>
          <w:tcPr>
            <w:tcW w:w="1445" w:type="dxa"/>
          </w:tcPr>
          <w:p w14:paraId="5DECDF08" w14:textId="77777777" w:rsidR="00A83FC6" w:rsidRPr="00A10C4D" w:rsidRDefault="00A83FC6" w:rsidP="00A00FA6">
            <w:pPr>
              <w:jc w:val="both"/>
              <w:rPr>
                <w:color w:val="000000" w:themeColor="text1"/>
                <w:lang w:val="es-ES"/>
              </w:rPr>
            </w:pPr>
            <w:r w:rsidRPr="00A10C4D">
              <w:rPr>
                <w:color w:val="000000" w:themeColor="text1"/>
                <w:lang w:val="es-ES"/>
              </w:rPr>
              <w:t>0.285</w:t>
            </w:r>
          </w:p>
        </w:tc>
        <w:tc>
          <w:tcPr>
            <w:tcW w:w="1597" w:type="dxa"/>
          </w:tcPr>
          <w:p w14:paraId="63352EFD" w14:textId="77777777" w:rsidR="00A83FC6" w:rsidRPr="00A10C4D" w:rsidRDefault="00A83FC6" w:rsidP="00A00FA6">
            <w:pPr>
              <w:jc w:val="both"/>
              <w:rPr>
                <w:i/>
                <w:iCs/>
                <w:color w:val="000000" w:themeColor="text1"/>
                <w:lang w:val="es-ES"/>
              </w:rPr>
            </w:pPr>
            <w:r w:rsidRPr="00A10C4D">
              <w:rPr>
                <w:i/>
                <w:iCs/>
                <w:color w:val="000000" w:themeColor="text1"/>
                <w:lang w:val="es-ES"/>
              </w:rPr>
              <w:t>(0.82)</w:t>
            </w:r>
          </w:p>
        </w:tc>
        <w:tc>
          <w:tcPr>
            <w:tcW w:w="1446" w:type="dxa"/>
          </w:tcPr>
          <w:p w14:paraId="0A588E22" w14:textId="77777777" w:rsidR="00A83FC6" w:rsidRPr="00A10C4D" w:rsidRDefault="00A83FC6" w:rsidP="00A00FA6">
            <w:pPr>
              <w:jc w:val="both"/>
              <w:rPr>
                <w:color w:val="000000" w:themeColor="text1"/>
                <w:lang w:val="es-ES"/>
              </w:rPr>
            </w:pPr>
          </w:p>
        </w:tc>
        <w:tc>
          <w:tcPr>
            <w:tcW w:w="1536" w:type="dxa"/>
          </w:tcPr>
          <w:p w14:paraId="02516940" w14:textId="77777777" w:rsidR="00A83FC6" w:rsidRPr="00A10C4D" w:rsidRDefault="00A83FC6" w:rsidP="00A00FA6">
            <w:pPr>
              <w:jc w:val="both"/>
              <w:rPr>
                <w:color w:val="000000" w:themeColor="text1"/>
                <w:lang w:val="es-ES"/>
              </w:rPr>
            </w:pPr>
          </w:p>
        </w:tc>
      </w:tr>
      <w:tr w:rsidR="00A83FC6" w:rsidRPr="00A10C4D" w14:paraId="226406AE" w14:textId="77777777" w:rsidTr="00A00FA6">
        <w:trPr>
          <w:jc w:val="center"/>
        </w:trPr>
        <w:tc>
          <w:tcPr>
            <w:tcW w:w="1597" w:type="dxa"/>
          </w:tcPr>
          <w:p w14:paraId="035AD382" w14:textId="77777777" w:rsidR="00A83FC6" w:rsidRPr="00A10C4D" w:rsidRDefault="00A83FC6" w:rsidP="00A00FA6">
            <w:pPr>
              <w:jc w:val="both"/>
              <w:rPr>
                <w:color w:val="000000" w:themeColor="text1"/>
                <w:lang w:val="es-ES"/>
              </w:rPr>
            </w:pPr>
            <w:r w:rsidRPr="00A10C4D">
              <w:rPr>
                <w:color w:val="000000" w:themeColor="text1"/>
                <w:lang w:val="es-ES"/>
              </w:rPr>
              <w:t xml:space="preserve">Combinación </w:t>
            </w:r>
          </w:p>
        </w:tc>
        <w:tc>
          <w:tcPr>
            <w:tcW w:w="1217" w:type="dxa"/>
          </w:tcPr>
          <w:p w14:paraId="4E70DFCF" w14:textId="77777777" w:rsidR="00A83FC6" w:rsidRPr="00A10C4D" w:rsidRDefault="00A83FC6" w:rsidP="00A00FA6">
            <w:pPr>
              <w:jc w:val="both"/>
              <w:rPr>
                <w:color w:val="000000" w:themeColor="text1"/>
                <w:lang w:val="es-ES"/>
              </w:rPr>
            </w:pPr>
            <w:r w:rsidRPr="00A10C4D">
              <w:rPr>
                <w:color w:val="000000" w:themeColor="text1"/>
                <w:lang w:val="es-ES"/>
              </w:rPr>
              <w:t>0.876</w:t>
            </w:r>
          </w:p>
        </w:tc>
        <w:tc>
          <w:tcPr>
            <w:tcW w:w="1445" w:type="dxa"/>
          </w:tcPr>
          <w:p w14:paraId="5B46DE9E" w14:textId="77777777" w:rsidR="00A83FC6" w:rsidRPr="00A10C4D" w:rsidRDefault="00A83FC6" w:rsidP="00A00FA6">
            <w:pPr>
              <w:jc w:val="both"/>
              <w:rPr>
                <w:color w:val="000000" w:themeColor="text1"/>
                <w:lang w:val="es-ES"/>
              </w:rPr>
            </w:pPr>
            <w:r w:rsidRPr="00A10C4D">
              <w:rPr>
                <w:color w:val="000000" w:themeColor="text1"/>
                <w:lang w:val="es-ES"/>
              </w:rPr>
              <w:t>0.377</w:t>
            </w:r>
          </w:p>
        </w:tc>
        <w:tc>
          <w:tcPr>
            <w:tcW w:w="1597" w:type="dxa"/>
          </w:tcPr>
          <w:p w14:paraId="48D74537" w14:textId="77777777" w:rsidR="00A83FC6" w:rsidRPr="00A10C4D" w:rsidRDefault="00A83FC6" w:rsidP="00A00FA6">
            <w:pPr>
              <w:jc w:val="both"/>
              <w:rPr>
                <w:color w:val="000000" w:themeColor="text1"/>
                <w:lang w:val="es-ES"/>
              </w:rPr>
            </w:pPr>
            <w:r w:rsidRPr="00A10C4D">
              <w:rPr>
                <w:color w:val="000000" w:themeColor="text1"/>
                <w:lang w:val="es-ES"/>
              </w:rPr>
              <w:t>0.555</w:t>
            </w:r>
          </w:p>
        </w:tc>
        <w:tc>
          <w:tcPr>
            <w:tcW w:w="1446" w:type="dxa"/>
          </w:tcPr>
          <w:p w14:paraId="05872574" w14:textId="77777777" w:rsidR="00A83FC6" w:rsidRPr="00A10C4D" w:rsidRDefault="00A83FC6" w:rsidP="00A00FA6">
            <w:pPr>
              <w:jc w:val="both"/>
              <w:rPr>
                <w:i/>
                <w:iCs/>
                <w:color w:val="000000" w:themeColor="text1"/>
                <w:lang w:val="es-ES"/>
              </w:rPr>
            </w:pPr>
            <w:r w:rsidRPr="00A10C4D">
              <w:rPr>
                <w:i/>
                <w:iCs/>
                <w:color w:val="000000" w:themeColor="text1"/>
                <w:lang w:val="es-ES"/>
              </w:rPr>
              <w:t>(0.75)</w:t>
            </w:r>
          </w:p>
        </w:tc>
        <w:tc>
          <w:tcPr>
            <w:tcW w:w="1536" w:type="dxa"/>
          </w:tcPr>
          <w:p w14:paraId="2CB477C8" w14:textId="77777777" w:rsidR="00A83FC6" w:rsidRPr="00A10C4D" w:rsidRDefault="00A83FC6" w:rsidP="00A00FA6">
            <w:pPr>
              <w:jc w:val="both"/>
              <w:rPr>
                <w:color w:val="000000" w:themeColor="text1"/>
                <w:lang w:val="es-ES"/>
              </w:rPr>
            </w:pPr>
          </w:p>
        </w:tc>
      </w:tr>
      <w:tr w:rsidR="00A83FC6" w:rsidRPr="00A10C4D" w14:paraId="0181906F" w14:textId="77777777" w:rsidTr="00A00FA6">
        <w:trPr>
          <w:jc w:val="center"/>
        </w:trPr>
        <w:tc>
          <w:tcPr>
            <w:tcW w:w="1597" w:type="dxa"/>
          </w:tcPr>
          <w:p w14:paraId="7260FE93" w14:textId="77777777" w:rsidR="00A83FC6" w:rsidRPr="00A10C4D" w:rsidRDefault="00A83FC6" w:rsidP="00A00FA6">
            <w:pPr>
              <w:jc w:val="both"/>
              <w:rPr>
                <w:color w:val="000000" w:themeColor="text1"/>
                <w:lang w:val="es-ES"/>
              </w:rPr>
            </w:pPr>
            <w:r w:rsidRPr="00A10C4D">
              <w:rPr>
                <w:color w:val="000000" w:themeColor="text1"/>
                <w:lang w:val="es-ES"/>
              </w:rPr>
              <w:t xml:space="preserve">Internalización </w:t>
            </w:r>
          </w:p>
        </w:tc>
        <w:tc>
          <w:tcPr>
            <w:tcW w:w="1217" w:type="dxa"/>
          </w:tcPr>
          <w:p w14:paraId="0E13448B" w14:textId="77777777" w:rsidR="00A83FC6" w:rsidRPr="00A10C4D" w:rsidRDefault="00A83FC6" w:rsidP="00A00FA6">
            <w:pPr>
              <w:jc w:val="both"/>
              <w:rPr>
                <w:color w:val="000000" w:themeColor="text1"/>
                <w:lang w:val="es-ES"/>
              </w:rPr>
            </w:pPr>
            <w:r w:rsidRPr="00A10C4D">
              <w:rPr>
                <w:color w:val="000000" w:themeColor="text1"/>
                <w:lang w:val="es-ES"/>
              </w:rPr>
              <w:t>0.921</w:t>
            </w:r>
          </w:p>
        </w:tc>
        <w:tc>
          <w:tcPr>
            <w:tcW w:w="1445" w:type="dxa"/>
          </w:tcPr>
          <w:p w14:paraId="143934C8" w14:textId="77777777" w:rsidR="00A83FC6" w:rsidRPr="00A10C4D" w:rsidRDefault="00A83FC6" w:rsidP="00A00FA6">
            <w:pPr>
              <w:jc w:val="both"/>
              <w:rPr>
                <w:color w:val="000000" w:themeColor="text1"/>
                <w:lang w:val="es-ES"/>
              </w:rPr>
            </w:pPr>
            <w:r w:rsidRPr="00A10C4D">
              <w:rPr>
                <w:color w:val="000000" w:themeColor="text1"/>
                <w:lang w:val="es-ES"/>
              </w:rPr>
              <w:t>0.395</w:t>
            </w:r>
          </w:p>
        </w:tc>
        <w:tc>
          <w:tcPr>
            <w:tcW w:w="1597" w:type="dxa"/>
          </w:tcPr>
          <w:p w14:paraId="71AA9D8B" w14:textId="77777777" w:rsidR="00A83FC6" w:rsidRPr="00A10C4D" w:rsidRDefault="00A83FC6" w:rsidP="00A00FA6">
            <w:pPr>
              <w:jc w:val="both"/>
              <w:rPr>
                <w:color w:val="000000" w:themeColor="text1"/>
                <w:lang w:val="es-ES"/>
              </w:rPr>
            </w:pPr>
            <w:r w:rsidRPr="00A10C4D">
              <w:rPr>
                <w:color w:val="000000" w:themeColor="text1"/>
                <w:lang w:val="es-ES"/>
              </w:rPr>
              <w:t>0.379</w:t>
            </w:r>
          </w:p>
        </w:tc>
        <w:tc>
          <w:tcPr>
            <w:tcW w:w="1446" w:type="dxa"/>
          </w:tcPr>
          <w:p w14:paraId="396AC2E0" w14:textId="77777777" w:rsidR="00A83FC6" w:rsidRPr="00A10C4D" w:rsidRDefault="00A83FC6" w:rsidP="00A00FA6">
            <w:pPr>
              <w:jc w:val="both"/>
              <w:rPr>
                <w:color w:val="000000" w:themeColor="text1"/>
                <w:lang w:val="es-ES"/>
              </w:rPr>
            </w:pPr>
            <w:r w:rsidRPr="00A10C4D">
              <w:rPr>
                <w:color w:val="000000" w:themeColor="text1"/>
                <w:lang w:val="es-ES"/>
              </w:rPr>
              <w:t>0.356</w:t>
            </w:r>
          </w:p>
        </w:tc>
        <w:tc>
          <w:tcPr>
            <w:tcW w:w="1536" w:type="dxa"/>
          </w:tcPr>
          <w:p w14:paraId="4FC2DC12" w14:textId="77777777" w:rsidR="00A83FC6" w:rsidRPr="00A10C4D" w:rsidRDefault="00A83FC6" w:rsidP="00A00FA6">
            <w:pPr>
              <w:jc w:val="both"/>
              <w:rPr>
                <w:color w:val="000000" w:themeColor="text1"/>
                <w:lang w:val="es-ES"/>
              </w:rPr>
            </w:pPr>
            <w:r w:rsidRPr="00A10C4D">
              <w:rPr>
                <w:color w:val="000000" w:themeColor="text1"/>
                <w:lang w:val="es-ES"/>
              </w:rPr>
              <w:t>(0.77)</w:t>
            </w:r>
          </w:p>
        </w:tc>
      </w:tr>
    </w:tbl>
    <w:p w14:paraId="628EA965" w14:textId="77777777" w:rsidR="00A83FC6" w:rsidRPr="00A10C4D" w:rsidRDefault="00A83FC6" w:rsidP="00A83FC6">
      <w:pPr>
        <w:spacing w:line="360" w:lineRule="auto"/>
        <w:jc w:val="center"/>
        <w:rPr>
          <w:color w:val="000000" w:themeColor="text1"/>
          <w:szCs w:val="28"/>
          <w:lang w:val="es-ES"/>
        </w:rPr>
      </w:pPr>
      <w:r w:rsidRPr="00A10C4D">
        <w:rPr>
          <w:color w:val="000000" w:themeColor="text1"/>
          <w:szCs w:val="28"/>
          <w:lang w:val="es-ES"/>
        </w:rPr>
        <w:t>Nota: Los valores mostrados entre paréntesis son la varianza media extraída (AVE), que implica la validez convergente.</w:t>
      </w:r>
    </w:p>
    <w:p w14:paraId="160574F1" w14:textId="77777777" w:rsidR="00A83FC6" w:rsidRPr="00A10C4D" w:rsidRDefault="00A83FC6" w:rsidP="00A83FC6">
      <w:pPr>
        <w:spacing w:line="360" w:lineRule="auto"/>
        <w:jc w:val="center"/>
        <w:rPr>
          <w:color w:val="000000" w:themeColor="text1"/>
          <w:szCs w:val="28"/>
          <w:lang w:val="es-ES"/>
        </w:rPr>
      </w:pPr>
      <w:r w:rsidRPr="00A10C4D">
        <w:rPr>
          <w:color w:val="000000" w:themeColor="text1"/>
          <w:szCs w:val="28"/>
          <w:lang w:val="es-ES"/>
        </w:rPr>
        <w:t>Fuente: Elaboración propia</w:t>
      </w:r>
    </w:p>
    <w:p w14:paraId="6A63FA0B" w14:textId="77777777" w:rsidR="00A83FC6" w:rsidRDefault="00A83FC6" w:rsidP="00A83FC6">
      <w:pPr>
        <w:spacing w:line="360" w:lineRule="auto"/>
        <w:jc w:val="center"/>
        <w:rPr>
          <w:b/>
          <w:iCs/>
          <w:sz w:val="28"/>
          <w:szCs w:val="28"/>
          <w:lang w:val="es-ES"/>
        </w:rPr>
      </w:pPr>
    </w:p>
    <w:p w14:paraId="187C768D" w14:textId="77777777" w:rsidR="00A83FC6" w:rsidRPr="001209CF" w:rsidRDefault="00A83FC6" w:rsidP="00A83FC6">
      <w:pPr>
        <w:spacing w:line="360" w:lineRule="auto"/>
        <w:jc w:val="center"/>
        <w:rPr>
          <w:b/>
          <w:iCs/>
          <w:sz w:val="28"/>
          <w:szCs w:val="28"/>
          <w:lang w:val="es-ES"/>
        </w:rPr>
      </w:pPr>
      <w:r w:rsidRPr="001209CF">
        <w:rPr>
          <w:b/>
          <w:iCs/>
          <w:sz w:val="28"/>
          <w:szCs w:val="28"/>
          <w:lang w:val="es-ES"/>
        </w:rPr>
        <w:t>Evaluación del ajuste del modelo de media</w:t>
      </w:r>
      <w:r>
        <w:rPr>
          <w:b/>
          <w:iCs/>
          <w:sz w:val="28"/>
          <w:szCs w:val="28"/>
          <w:lang w:val="es-ES"/>
        </w:rPr>
        <w:t xml:space="preserve"> </w:t>
      </w:r>
    </w:p>
    <w:p w14:paraId="79DCD10B" w14:textId="77777777" w:rsidR="00A83FC6" w:rsidRPr="008866BC" w:rsidRDefault="00A83FC6" w:rsidP="00A83FC6">
      <w:pPr>
        <w:spacing w:line="360" w:lineRule="auto"/>
        <w:ind w:firstLine="708"/>
        <w:jc w:val="both"/>
        <w:rPr>
          <w:lang w:val="es-VE"/>
        </w:rPr>
      </w:pPr>
      <w:r w:rsidRPr="00A07D32">
        <w:rPr>
          <w:color w:val="000000" w:themeColor="text1"/>
          <w:lang w:val="es-ES"/>
        </w:rPr>
        <w:t xml:space="preserve">Para verificar si los datos se ajustan al modelo, </w:t>
      </w:r>
      <w:r w:rsidRPr="00A07D32">
        <w:rPr>
          <w:lang w:val="es-ES"/>
        </w:rPr>
        <w:t>se analizaron los índices de bondad de ajuste a través de tres tipologías de ajuste global (</w:t>
      </w:r>
      <w:r w:rsidRPr="008866BC">
        <w:rPr>
          <w:lang w:val="es-VE"/>
        </w:rPr>
        <w:t xml:space="preserve">Bollen, 1989; </w:t>
      </w:r>
      <w:proofErr w:type="spellStart"/>
      <w:r w:rsidRPr="008866BC">
        <w:rPr>
          <w:lang w:val="es-VE"/>
        </w:rPr>
        <w:t>Hair</w:t>
      </w:r>
      <w:proofErr w:type="spellEnd"/>
      <w:r w:rsidRPr="008866BC">
        <w:rPr>
          <w:lang w:val="es-VE"/>
        </w:rPr>
        <w:t xml:space="preserve">, Anderson, Tatham </w:t>
      </w:r>
      <w:r w:rsidRPr="008866BC">
        <w:rPr>
          <w:lang w:val="es-VE"/>
        </w:rPr>
        <w:lastRenderedPageBreak/>
        <w:t xml:space="preserve">y Black, 2007; </w:t>
      </w:r>
      <w:r w:rsidRPr="00A07D32">
        <w:rPr>
          <w:lang w:val="es-ES"/>
        </w:rPr>
        <w:t>Lévy y Varela, 2006</w:t>
      </w:r>
      <w:r>
        <w:rPr>
          <w:lang w:val="es-ES"/>
        </w:rPr>
        <w:t xml:space="preserve">; </w:t>
      </w:r>
      <w:r w:rsidRPr="00A07D32">
        <w:rPr>
          <w:lang w:val="es-ES"/>
        </w:rPr>
        <w:t>Marsh</w:t>
      </w:r>
      <w:r>
        <w:rPr>
          <w:lang w:val="es-ES"/>
        </w:rPr>
        <w:t xml:space="preserve"> y</w:t>
      </w:r>
      <w:r w:rsidRPr="00A07D32">
        <w:rPr>
          <w:lang w:val="es-ES"/>
        </w:rPr>
        <w:t xml:space="preserve"> </w:t>
      </w:r>
      <w:proofErr w:type="spellStart"/>
      <w:r w:rsidRPr="00A07D32">
        <w:rPr>
          <w:lang w:val="es-ES"/>
        </w:rPr>
        <w:t>Hocevar</w:t>
      </w:r>
      <w:proofErr w:type="spellEnd"/>
      <w:r w:rsidRPr="00A07D32">
        <w:rPr>
          <w:lang w:val="es-ES"/>
        </w:rPr>
        <w:t xml:space="preserve">, 1985; </w:t>
      </w:r>
      <w:proofErr w:type="spellStart"/>
      <w:r w:rsidRPr="008866BC">
        <w:rPr>
          <w:lang w:val="es-VE"/>
        </w:rPr>
        <w:t>Mohamad</w:t>
      </w:r>
      <w:proofErr w:type="spellEnd"/>
      <w:r w:rsidRPr="008866BC">
        <w:rPr>
          <w:lang w:val="es-VE"/>
        </w:rPr>
        <w:t xml:space="preserve"> y </w:t>
      </w:r>
      <w:proofErr w:type="spellStart"/>
      <w:r w:rsidRPr="008866BC">
        <w:rPr>
          <w:lang w:val="es-VE"/>
        </w:rPr>
        <w:t>Wan</w:t>
      </w:r>
      <w:proofErr w:type="spellEnd"/>
      <w:r w:rsidRPr="008866BC">
        <w:rPr>
          <w:lang w:val="es-VE"/>
        </w:rPr>
        <w:t>, 2013</w:t>
      </w:r>
      <w:r>
        <w:rPr>
          <w:lang w:val="es-VE"/>
        </w:rPr>
        <w:t xml:space="preserve">; </w:t>
      </w:r>
      <w:r w:rsidRPr="00A07D32">
        <w:rPr>
          <w:lang w:val="es-ES"/>
        </w:rPr>
        <w:t xml:space="preserve">Tanaka </w:t>
      </w:r>
      <w:r>
        <w:rPr>
          <w:lang w:val="es-ES"/>
        </w:rPr>
        <w:t>y</w:t>
      </w:r>
      <w:r w:rsidRPr="00A07D32">
        <w:rPr>
          <w:lang w:val="es-ES"/>
        </w:rPr>
        <w:t xml:space="preserve"> </w:t>
      </w:r>
      <w:proofErr w:type="spellStart"/>
      <w:r w:rsidRPr="00A07D32">
        <w:rPr>
          <w:lang w:val="es-ES"/>
        </w:rPr>
        <w:t>Huba</w:t>
      </w:r>
      <w:proofErr w:type="spellEnd"/>
      <w:r w:rsidRPr="00A07D32">
        <w:rPr>
          <w:lang w:val="es-ES"/>
        </w:rPr>
        <w:t xml:space="preserve"> 1989</w:t>
      </w:r>
      <w:r>
        <w:rPr>
          <w:lang w:val="es-ES"/>
        </w:rPr>
        <w:t>):</w:t>
      </w:r>
    </w:p>
    <w:p w14:paraId="274C7A53" w14:textId="77777777" w:rsidR="00A83FC6" w:rsidRPr="008866BC" w:rsidRDefault="00A83FC6" w:rsidP="00A83FC6">
      <w:pPr>
        <w:pStyle w:val="Prrafodelista"/>
        <w:numPr>
          <w:ilvl w:val="0"/>
          <w:numId w:val="4"/>
        </w:numPr>
        <w:spacing w:after="0" w:line="360" w:lineRule="auto"/>
        <w:jc w:val="both"/>
        <w:rPr>
          <w:rFonts w:ascii="Times New Roman" w:hAnsi="Times New Roman" w:cs="Times New Roman"/>
          <w:sz w:val="24"/>
          <w:szCs w:val="24"/>
          <w:lang w:val="es-ES" w:eastAsia="es-MX"/>
        </w:rPr>
      </w:pPr>
      <w:r w:rsidRPr="00A10C4D">
        <w:rPr>
          <w:rFonts w:ascii="Times New Roman" w:hAnsi="Times New Roman" w:cs="Times New Roman"/>
          <w:i/>
          <w:iCs/>
          <w:color w:val="000000" w:themeColor="text1"/>
          <w:sz w:val="24"/>
          <w:szCs w:val="24"/>
          <w:lang w:val="es-ES" w:eastAsia="es-MX"/>
        </w:rPr>
        <w:t>Índices</w:t>
      </w:r>
      <w:r w:rsidRPr="00A10C4D">
        <w:rPr>
          <w:rFonts w:ascii="Times New Roman" w:hAnsi="Times New Roman" w:cs="Times New Roman"/>
          <w:i/>
          <w:iCs/>
          <w:sz w:val="24"/>
          <w:szCs w:val="24"/>
          <w:lang w:val="es-ES" w:eastAsia="es-MX"/>
        </w:rPr>
        <w:t xml:space="preserve"> de ajuste absoluto.</w:t>
      </w:r>
      <w:r w:rsidRPr="008866BC">
        <w:rPr>
          <w:rFonts w:ascii="Times New Roman" w:hAnsi="Times New Roman" w:cs="Times New Roman"/>
          <w:sz w:val="24"/>
          <w:szCs w:val="24"/>
          <w:lang w:val="es-ES" w:eastAsia="es-MX"/>
        </w:rPr>
        <w:t xml:space="preserve"> Establecen en qué medida el modelo predice a partir de los parámetros estimados la matriz de covarianza observada; donde se evalúa el índice de </w:t>
      </w:r>
      <w:r>
        <w:rPr>
          <w:rFonts w:ascii="Times New Roman" w:hAnsi="Times New Roman" w:cs="Times New Roman"/>
          <w:sz w:val="24"/>
          <w:szCs w:val="24"/>
          <w:lang w:val="es-ES" w:eastAsia="es-MX"/>
        </w:rPr>
        <w:t>c</w:t>
      </w:r>
      <w:r w:rsidRPr="008866BC">
        <w:rPr>
          <w:rFonts w:ascii="Times New Roman" w:hAnsi="Times New Roman" w:cs="Times New Roman"/>
          <w:sz w:val="24"/>
          <w:szCs w:val="24"/>
          <w:lang w:val="es-ES" w:eastAsia="es-MX"/>
        </w:rPr>
        <w:t xml:space="preserve">hi-cuadrado (Chi </w:t>
      </w:r>
      <w:proofErr w:type="spellStart"/>
      <w:r w:rsidRPr="008866BC">
        <w:rPr>
          <w:rFonts w:ascii="Times New Roman" w:hAnsi="Times New Roman" w:cs="Times New Roman"/>
          <w:sz w:val="24"/>
          <w:szCs w:val="24"/>
          <w:lang w:val="es-ES" w:eastAsia="es-MX"/>
        </w:rPr>
        <w:t>Squared</w:t>
      </w:r>
      <w:proofErr w:type="spellEnd"/>
      <w:r w:rsidRPr="008866BC">
        <w:rPr>
          <w:rFonts w:ascii="Times New Roman" w:hAnsi="Times New Roman" w:cs="Times New Roman"/>
          <w:sz w:val="24"/>
          <w:szCs w:val="24"/>
          <w:lang w:val="es-ES" w:eastAsia="es-MX"/>
        </w:rPr>
        <w:t>, χ</w:t>
      </w:r>
      <w:r w:rsidRPr="008866BC">
        <w:rPr>
          <w:rFonts w:ascii="Times New Roman" w:hAnsi="Times New Roman" w:cs="Times New Roman"/>
          <w:sz w:val="24"/>
          <w:szCs w:val="24"/>
          <w:vertAlign w:val="superscript"/>
          <w:lang w:val="es-ES" w:eastAsia="es-MX"/>
        </w:rPr>
        <w:t>2</w:t>
      </w:r>
      <w:r w:rsidRPr="008866BC">
        <w:rPr>
          <w:rFonts w:ascii="Times New Roman" w:hAnsi="Times New Roman" w:cs="Times New Roman"/>
          <w:sz w:val="24"/>
          <w:szCs w:val="24"/>
          <w:lang w:val="es-ES" w:eastAsia="es-MX"/>
        </w:rPr>
        <w:t>) que analiza la hipótesis nula de que un modelo es no significativo; es decir, indica la significatividad de las diferencias de las matrices de covarianza o correlaciones, cuyo valor recomendable es χ</w:t>
      </w:r>
      <w:r w:rsidRPr="008866BC">
        <w:rPr>
          <w:rFonts w:ascii="Times New Roman" w:hAnsi="Times New Roman" w:cs="Times New Roman"/>
          <w:sz w:val="24"/>
          <w:szCs w:val="24"/>
          <w:vertAlign w:val="superscript"/>
          <w:lang w:val="es-ES" w:eastAsia="es-MX"/>
        </w:rPr>
        <w:t>2</w:t>
      </w:r>
      <w:r w:rsidRPr="008866BC">
        <w:rPr>
          <w:rFonts w:ascii="Times New Roman" w:hAnsi="Times New Roman" w:cs="Times New Roman"/>
          <w:sz w:val="24"/>
          <w:szCs w:val="24"/>
          <w:lang w:val="es-ES" w:eastAsia="es-MX"/>
        </w:rPr>
        <w:t>/</w:t>
      </w:r>
      <w:proofErr w:type="spellStart"/>
      <w:r w:rsidRPr="008866BC">
        <w:rPr>
          <w:rFonts w:ascii="Times New Roman" w:hAnsi="Times New Roman" w:cs="Times New Roman"/>
          <w:sz w:val="24"/>
          <w:szCs w:val="24"/>
          <w:lang w:val="es-ES" w:eastAsia="es-MX"/>
        </w:rPr>
        <w:t>df</w:t>
      </w:r>
      <w:proofErr w:type="spellEnd"/>
      <w:r w:rsidRPr="008866BC">
        <w:rPr>
          <w:rFonts w:ascii="Times New Roman" w:hAnsi="Times New Roman" w:cs="Times New Roman"/>
          <w:sz w:val="24"/>
          <w:szCs w:val="24"/>
          <w:lang w:val="es-ES" w:eastAsia="es-MX"/>
        </w:rPr>
        <w:t xml:space="preserve"> &lt; 5 (</w:t>
      </w:r>
      <w:proofErr w:type="spellStart"/>
      <w:r w:rsidRPr="008866BC">
        <w:rPr>
          <w:rFonts w:ascii="Times New Roman" w:hAnsi="Times New Roman" w:cs="Times New Roman"/>
          <w:sz w:val="24"/>
          <w:szCs w:val="24"/>
          <w:lang w:val="es-ES" w:eastAsia="es-MX"/>
        </w:rPr>
        <w:t>Ghorbanhosseini</w:t>
      </w:r>
      <w:proofErr w:type="spellEnd"/>
      <w:r w:rsidRPr="008866BC">
        <w:rPr>
          <w:rFonts w:ascii="Times New Roman" w:hAnsi="Times New Roman" w:cs="Times New Roman"/>
          <w:sz w:val="24"/>
          <w:szCs w:val="24"/>
          <w:lang w:val="es-ES" w:eastAsia="es-MX"/>
        </w:rPr>
        <w:t xml:space="preserve">, 2013). Sin </w:t>
      </w:r>
      <w:r w:rsidRPr="001375BD">
        <w:rPr>
          <w:rFonts w:ascii="Times New Roman" w:hAnsi="Times New Roman" w:cs="Times New Roman"/>
          <w:sz w:val="24"/>
          <w:szCs w:val="24"/>
          <w:lang w:val="es-ES" w:eastAsia="es-MX"/>
        </w:rPr>
        <w:t>embargo, existen críticas en contra de este estadístico en relación con el tamaño de muestra (</w:t>
      </w:r>
      <w:proofErr w:type="spellStart"/>
      <w:r w:rsidRPr="001375BD">
        <w:rPr>
          <w:rFonts w:ascii="Times New Roman" w:hAnsi="Times New Roman" w:cs="Times New Roman"/>
          <w:sz w:val="24"/>
          <w:szCs w:val="24"/>
          <w:lang w:val="es-ES" w:eastAsia="es-MX"/>
        </w:rPr>
        <w:t>Bagozzi</w:t>
      </w:r>
      <w:proofErr w:type="spellEnd"/>
      <w:r w:rsidRPr="001375BD">
        <w:rPr>
          <w:rFonts w:ascii="Times New Roman" w:hAnsi="Times New Roman" w:cs="Times New Roman"/>
          <w:sz w:val="24"/>
          <w:szCs w:val="24"/>
          <w:lang w:val="es-ES" w:eastAsia="es-MX"/>
        </w:rPr>
        <w:t>, 1994. Para resolver ese problema de chi-cuadrado al tamaño muestral se proponen otras medidas de</w:t>
      </w:r>
      <w:r w:rsidRPr="008866BC">
        <w:rPr>
          <w:rFonts w:ascii="Times New Roman" w:hAnsi="Times New Roman" w:cs="Times New Roman"/>
          <w:sz w:val="24"/>
          <w:szCs w:val="24"/>
          <w:lang w:val="es-ES" w:eastAsia="es-MX"/>
        </w:rPr>
        <w:t xml:space="preserve"> ajuste</w:t>
      </w:r>
      <w:r>
        <w:rPr>
          <w:rFonts w:ascii="Times New Roman" w:hAnsi="Times New Roman" w:cs="Times New Roman"/>
          <w:sz w:val="24"/>
          <w:szCs w:val="24"/>
          <w:lang w:val="es-ES" w:eastAsia="es-MX"/>
        </w:rPr>
        <w:t>,</w:t>
      </w:r>
      <w:r w:rsidRPr="008866BC">
        <w:rPr>
          <w:rFonts w:ascii="Times New Roman" w:hAnsi="Times New Roman" w:cs="Times New Roman"/>
          <w:sz w:val="24"/>
          <w:szCs w:val="24"/>
          <w:lang w:val="es-ES" w:eastAsia="es-MX"/>
        </w:rPr>
        <w:t xml:space="preserve"> como el índice de la raíz cuadrada media del error de la aproximación (</w:t>
      </w:r>
      <w:proofErr w:type="spellStart"/>
      <w:r w:rsidRPr="008866BC">
        <w:rPr>
          <w:rFonts w:ascii="Times New Roman" w:hAnsi="Times New Roman" w:cs="Times New Roman"/>
          <w:i/>
          <w:sz w:val="24"/>
          <w:szCs w:val="24"/>
          <w:lang w:val="es-ES" w:eastAsia="es-MX"/>
        </w:rPr>
        <w:t>Root</w:t>
      </w:r>
      <w:proofErr w:type="spellEnd"/>
      <w:r w:rsidRPr="008866BC">
        <w:rPr>
          <w:rFonts w:ascii="Times New Roman" w:hAnsi="Times New Roman" w:cs="Times New Roman"/>
          <w:i/>
          <w:sz w:val="24"/>
          <w:szCs w:val="24"/>
          <w:lang w:val="es-ES" w:eastAsia="es-MX"/>
        </w:rPr>
        <w:t xml:space="preserve"> Mean </w:t>
      </w:r>
      <w:proofErr w:type="spellStart"/>
      <w:r w:rsidRPr="008866BC">
        <w:rPr>
          <w:rFonts w:ascii="Times New Roman" w:hAnsi="Times New Roman" w:cs="Times New Roman"/>
          <w:i/>
          <w:sz w:val="24"/>
          <w:szCs w:val="24"/>
          <w:lang w:val="es-ES" w:eastAsia="es-MX"/>
        </w:rPr>
        <w:t>Squaree</w:t>
      </w:r>
      <w:proofErr w:type="spellEnd"/>
      <w:r w:rsidRPr="008866BC">
        <w:rPr>
          <w:rFonts w:ascii="Times New Roman" w:hAnsi="Times New Roman" w:cs="Times New Roman"/>
          <w:i/>
          <w:sz w:val="24"/>
          <w:szCs w:val="24"/>
          <w:lang w:val="es-ES" w:eastAsia="es-MX"/>
        </w:rPr>
        <w:t xml:space="preserve"> Error </w:t>
      </w:r>
      <w:proofErr w:type="spellStart"/>
      <w:r w:rsidRPr="008866BC">
        <w:rPr>
          <w:rFonts w:ascii="Times New Roman" w:hAnsi="Times New Roman" w:cs="Times New Roman"/>
          <w:i/>
          <w:sz w:val="24"/>
          <w:szCs w:val="24"/>
          <w:lang w:val="es-ES" w:eastAsia="es-MX"/>
        </w:rPr>
        <w:t>of</w:t>
      </w:r>
      <w:proofErr w:type="spellEnd"/>
      <w:r w:rsidRPr="008866BC">
        <w:rPr>
          <w:rFonts w:ascii="Times New Roman" w:hAnsi="Times New Roman" w:cs="Times New Roman"/>
          <w:i/>
          <w:sz w:val="24"/>
          <w:szCs w:val="24"/>
          <w:lang w:val="es-ES" w:eastAsia="es-MX"/>
        </w:rPr>
        <w:t xml:space="preserve"> </w:t>
      </w:r>
      <w:proofErr w:type="spellStart"/>
      <w:r w:rsidRPr="008866BC">
        <w:rPr>
          <w:rFonts w:ascii="Times New Roman" w:hAnsi="Times New Roman" w:cs="Times New Roman"/>
          <w:i/>
          <w:sz w:val="24"/>
          <w:szCs w:val="24"/>
          <w:lang w:val="es-ES" w:eastAsia="es-MX"/>
        </w:rPr>
        <w:t>Approximation</w:t>
      </w:r>
      <w:proofErr w:type="spellEnd"/>
      <w:r w:rsidRPr="008866BC">
        <w:rPr>
          <w:rFonts w:ascii="Times New Roman" w:hAnsi="Times New Roman" w:cs="Times New Roman"/>
          <w:sz w:val="24"/>
          <w:szCs w:val="24"/>
          <w:lang w:val="es-ES" w:eastAsia="es-MX"/>
        </w:rPr>
        <w:t>, RMSEA), que considera un valor menor a 0.05 como buen ajuste (Kline, 2011</w:t>
      </w:r>
      <w:r>
        <w:rPr>
          <w:rFonts w:ascii="Times New Roman" w:hAnsi="Times New Roman" w:cs="Times New Roman"/>
          <w:sz w:val="24"/>
          <w:szCs w:val="24"/>
          <w:lang w:val="es-ES" w:eastAsia="es-MX"/>
        </w:rPr>
        <w:t xml:space="preserve">; </w:t>
      </w:r>
      <w:r w:rsidRPr="008866BC">
        <w:rPr>
          <w:rFonts w:ascii="Times New Roman" w:hAnsi="Times New Roman" w:cs="Times New Roman"/>
          <w:sz w:val="24"/>
          <w:szCs w:val="24"/>
          <w:lang w:val="es-ES" w:eastAsia="es-MX"/>
        </w:rPr>
        <w:t>Levy y Varela, 2006); aunque otros autores consideran valores ≤ 0.08, que representan un error aceptable de aproximación a la población (</w:t>
      </w:r>
      <w:proofErr w:type="spellStart"/>
      <w:r w:rsidRPr="008866BC">
        <w:rPr>
          <w:rFonts w:ascii="Times New Roman" w:hAnsi="Times New Roman" w:cs="Times New Roman"/>
          <w:sz w:val="24"/>
          <w:szCs w:val="24"/>
          <w:lang w:val="es-ES" w:eastAsia="es-MX"/>
        </w:rPr>
        <w:t>Ghorbanhosseini</w:t>
      </w:r>
      <w:proofErr w:type="spellEnd"/>
      <w:r w:rsidRPr="008866BC">
        <w:rPr>
          <w:rFonts w:ascii="Times New Roman" w:hAnsi="Times New Roman" w:cs="Times New Roman"/>
          <w:sz w:val="24"/>
          <w:szCs w:val="24"/>
          <w:lang w:val="es-ES" w:eastAsia="es-MX"/>
        </w:rPr>
        <w:t>, 2013)</w:t>
      </w:r>
      <w:r>
        <w:rPr>
          <w:rFonts w:ascii="Times New Roman" w:hAnsi="Times New Roman" w:cs="Times New Roman"/>
          <w:sz w:val="24"/>
          <w:szCs w:val="24"/>
          <w:lang w:val="es-ES" w:eastAsia="es-MX"/>
        </w:rPr>
        <w:t>,</w:t>
      </w:r>
      <w:r w:rsidRPr="008866BC">
        <w:rPr>
          <w:rFonts w:ascii="Times New Roman" w:hAnsi="Times New Roman" w:cs="Times New Roman"/>
          <w:sz w:val="24"/>
          <w:szCs w:val="24"/>
          <w:lang w:val="es-ES" w:eastAsia="es-MX"/>
        </w:rPr>
        <w:t xml:space="preserve"> y el índice de bondad de ajuste (</w:t>
      </w:r>
      <w:proofErr w:type="spellStart"/>
      <w:r w:rsidRPr="008866BC">
        <w:rPr>
          <w:rFonts w:ascii="Times New Roman" w:hAnsi="Times New Roman" w:cs="Times New Roman"/>
          <w:i/>
          <w:sz w:val="24"/>
          <w:szCs w:val="24"/>
          <w:lang w:val="es-ES" w:eastAsia="es-MX"/>
        </w:rPr>
        <w:t>Goodness</w:t>
      </w:r>
      <w:proofErr w:type="spellEnd"/>
      <w:r w:rsidRPr="008866BC">
        <w:rPr>
          <w:rFonts w:ascii="Times New Roman" w:hAnsi="Times New Roman" w:cs="Times New Roman"/>
          <w:i/>
          <w:sz w:val="24"/>
          <w:szCs w:val="24"/>
          <w:lang w:val="es-ES" w:eastAsia="es-MX"/>
        </w:rPr>
        <w:t xml:space="preserve"> of </w:t>
      </w:r>
      <w:proofErr w:type="spellStart"/>
      <w:r w:rsidRPr="008866BC">
        <w:rPr>
          <w:rFonts w:ascii="Times New Roman" w:hAnsi="Times New Roman" w:cs="Times New Roman"/>
          <w:i/>
          <w:sz w:val="24"/>
          <w:szCs w:val="24"/>
          <w:lang w:val="es-ES" w:eastAsia="es-MX"/>
        </w:rPr>
        <w:t>Fit</w:t>
      </w:r>
      <w:proofErr w:type="spellEnd"/>
      <w:r w:rsidRPr="008866BC">
        <w:rPr>
          <w:rFonts w:ascii="Times New Roman" w:hAnsi="Times New Roman" w:cs="Times New Roman"/>
          <w:i/>
          <w:sz w:val="24"/>
          <w:szCs w:val="24"/>
          <w:lang w:val="es-ES" w:eastAsia="es-MX"/>
        </w:rPr>
        <w:t xml:space="preserve"> </w:t>
      </w:r>
      <w:proofErr w:type="spellStart"/>
      <w:r w:rsidRPr="008866BC">
        <w:rPr>
          <w:rFonts w:ascii="Times New Roman" w:hAnsi="Times New Roman" w:cs="Times New Roman"/>
          <w:i/>
          <w:sz w:val="24"/>
          <w:szCs w:val="24"/>
          <w:lang w:val="es-ES" w:eastAsia="es-MX"/>
        </w:rPr>
        <w:t>Index</w:t>
      </w:r>
      <w:proofErr w:type="spellEnd"/>
      <w:r w:rsidRPr="008866BC">
        <w:rPr>
          <w:rFonts w:ascii="Times New Roman" w:hAnsi="Times New Roman" w:cs="Times New Roman"/>
          <w:sz w:val="24"/>
          <w:szCs w:val="24"/>
          <w:lang w:val="es-ES" w:eastAsia="es-MX"/>
        </w:rPr>
        <w:t>, GFI), cuyo valor est</w:t>
      </w:r>
      <w:r>
        <w:rPr>
          <w:rFonts w:ascii="Times New Roman" w:hAnsi="Times New Roman" w:cs="Times New Roman"/>
          <w:sz w:val="24"/>
          <w:szCs w:val="24"/>
          <w:lang w:val="es-ES" w:eastAsia="es-MX"/>
        </w:rPr>
        <w:t>á</w:t>
      </w:r>
      <w:r w:rsidRPr="008866BC">
        <w:rPr>
          <w:rFonts w:ascii="Times New Roman" w:hAnsi="Times New Roman" w:cs="Times New Roman"/>
          <w:sz w:val="24"/>
          <w:szCs w:val="24"/>
          <w:lang w:val="es-ES" w:eastAsia="es-MX"/>
        </w:rPr>
        <w:t xml:space="preserve"> comprendido entre 0 y 1, indicando este último un ajuste del modelo perfecto; sin embargo</w:t>
      </w:r>
      <w:r>
        <w:rPr>
          <w:rFonts w:ascii="Times New Roman" w:hAnsi="Times New Roman" w:cs="Times New Roman"/>
          <w:sz w:val="24"/>
          <w:szCs w:val="24"/>
          <w:lang w:val="es-ES" w:eastAsia="es-MX"/>
        </w:rPr>
        <w:t>,</w:t>
      </w:r>
      <w:r w:rsidRPr="008866BC">
        <w:rPr>
          <w:rFonts w:ascii="Times New Roman" w:hAnsi="Times New Roman" w:cs="Times New Roman"/>
          <w:sz w:val="24"/>
          <w:szCs w:val="24"/>
          <w:lang w:val="es-ES" w:eastAsia="es-MX"/>
        </w:rPr>
        <w:t xml:space="preserve"> un ajuste aceptable es 0.90 (</w:t>
      </w:r>
      <w:proofErr w:type="spellStart"/>
      <w:r w:rsidRPr="008866BC">
        <w:rPr>
          <w:rFonts w:ascii="Times New Roman" w:hAnsi="Times New Roman" w:cs="Times New Roman"/>
          <w:sz w:val="24"/>
          <w:szCs w:val="24"/>
          <w:lang w:val="es-ES" w:eastAsia="es-MX"/>
        </w:rPr>
        <w:t>Jöreskog</w:t>
      </w:r>
      <w:proofErr w:type="spellEnd"/>
      <w:r w:rsidRPr="008866BC">
        <w:rPr>
          <w:rFonts w:ascii="Times New Roman" w:hAnsi="Times New Roman" w:cs="Times New Roman"/>
          <w:sz w:val="24"/>
          <w:szCs w:val="24"/>
          <w:lang w:val="es-ES" w:eastAsia="es-MX"/>
        </w:rPr>
        <w:t xml:space="preserve"> y </w:t>
      </w:r>
      <w:proofErr w:type="spellStart"/>
      <w:r w:rsidRPr="008866BC">
        <w:rPr>
          <w:rFonts w:ascii="Times New Roman" w:hAnsi="Times New Roman" w:cs="Times New Roman"/>
          <w:sz w:val="24"/>
          <w:szCs w:val="24"/>
          <w:lang w:val="es-ES" w:eastAsia="es-MX"/>
        </w:rPr>
        <w:t>Sörbom</w:t>
      </w:r>
      <w:proofErr w:type="spellEnd"/>
      <w:r w:rsidRPr="008866BC">
        <w:rPr>
          <w:rFonts w:ascii="Times New Roman" w:hAnsi="Times New Roman" w:cs="Times New Roman"/>
          <w:sz w:val="24"/>
          <w:szCs w:val="24"/>
          <w:lang w:val="es-ES" w:eastAsia="es-MX"/>
        </w:rPr>
        <w:t>, 19</w:t>
      </w:r>
      <w:r>
        <w:rPr>
          <w:rFonts w:ascii="Times New Roman" w:hAnsi="Times New Roman" w:cs="Times New Roman"/>
          <w:sz w:val="24"/>
          <w:szCs w:val="24"/>
          <w:lang w:val="es-ES" w:eastAsia="es-MX"/>
        </w:rPr>
        <w:t>84</w:t>
      </w:r>
      <w:r w:rsidRPr="008866BC">
        <w:rPr>
          <w:rFonts w:ascii="Times New Roman" w:hAnsi="Times New Roman" w:cs="Times New Roman"/>
          <w:sz w:val="24"/>
          <w:szCs w:val="24"/>
          <w:lang w:val="es-ES" w:eastAsia="es-MX"/>
        </w:rPr>
        <w:t>).</w:t>
      </w:r>
    </w:p>
    <w:p w14:paraId="3BFD8836" w14:textId="77777777" w:rsidR="00A83FC6" w:rsidRPr="008866BC" w:rsidRDefault="00A83FC6" w:rsidP="00A83FC6">
      <w:pPr>
        <w:pStyle w:val="Prrafodelista"/>
        <w:numPr>
          <w:ilvl w:val="0"/>
          <w:numId w:val="4"/>
        </w:numPr>
        <w:spacing w:after="0" w:line="360" w:lineRule="auto"/>
        <w:jc w:val="both"/>
        <w:rPr>
          <w:rFonts w:ascii="Times New Roman" w:hAnsi="Times New Roman" w:cs="Times New Roman"/>
          <w:sz w:val="24"/>
          <w:szCs w:val="24"/>
          <w:lang w:val="es-ES" w:eastAsia="es-MX"/>
        </w:rPr>
      </w:pPr>
      <w:r w:rsidRPr="00A10C4D">
        <w:rPr>
          <w:rFonts w:ascii="Times New Roman" w:hAnsi="Times New Roman" w:cs="Times New Roman"/>
          <w:i/>
          <w:iCs/>
          <w:sz w:val="24"/>
          <w:szCs w:val="24"/>
          <w:lang w:val="es-ES" w:eastAsia="es-MX"/>
        </w:rPr>
        <w:t>Índices de ajuste incremental</w:t>
      </w:r>
      <w:r w:rsidRPr="008866BC">
        <w:rPr>
          <w:rFonts w:ascii="Times New Roman" w:hAnsi="Times New Roman" w:cs="Times New Roman"/>
          <w:sz w:val="24"/>
          <w:szCs w:val="24"/>
          <w:lang w:val="es-ES" w:eastAsia="es-MX"/>
        </w:rPr>
        <w:t xml:space="preserve">. Comparan el ajuste global del modelo analizado con </w:t>
      </w:r>
      <w:r>
        <w:rPr>
          <w:rFonts w:ascii="Times New Roman" w:hAnsi="Times New Roman" w:cs="Times New Roman"/>
          <w:sz w:val="24"/>
          <w:szCs w:val="24"/>
          <w:lang w:val="es-ES" w:eastAsia="es-MX"/>
        </w:rPr>
        <w:t>otro</w:t>
      </w:r>
      <w:r w:rsidRPr="008866BC">
        <w:rPr>
          <w:rFonts w:ascii="Times New Roman" w:hAnsi="Times New Roman" w:cs="Times New Roman"/>
          <w:sz w:val="24"/>
          <w:szCs w:val="24"/>
          <w:lang w:val="es-ES" w:eastAsia="es-MX"/>
        </w:rPr>
        <w:t xml:space="preserve"> nulo (modelo especificado con ninguna relación entre las variables). Las medidas de ajuste incremental más utilizadas son el índice de ajuste normalizado (</w:t>
      </w:r>
      <w:proofErr w:type="spellStart"/>
      <w:r w:rsidRPr="008866BC">
        <w:rPr>
          <w:rFonts w:ascii="Times New Roman" w:hAnsi="Times New Roman" w:cs="Times New Roman"/>
          <w:i/>
          <w:sz w:val="24"/>
          <w:szCs w:val="24"/>
          <w:lang w:val="es-ES" w:eastAsia="es-MX"/>
        </w:rPr>
        <w:t>Normalized</w:t>
      </w:r>
      <w:proofErr w:type="spellEnd"/>
      <w:r w:rsidRPr="008866BC">
        <w:rPr>
          <w:rFonts w:ascii="Times New Roman" w:hAnsi="Times New Roman" w:cs="Times New Roman"/>
          <w:i/>
          <w:sz w:val="24"/>
          <w:szCs w:val="24"/>
          <w:lang w:val="es-ES" w:eastAsia="es-MX"/>
        </w:rPr>
        <w:t xml:space="preserve"> </w:t>
      </w:r>
      <w:proofErr w:type="spellStart"/>
      <w:r w:rsidRPr="008866BC">
        <w:rPr>
          <w:rFonts w:ascii="Times New Roman" w:hAnsi="Times New Roman" w:cs="Times New Roman"/>
          <w:i/>
          <w:sz w:val="24"/>
          <w:szCs w:val="24"/>
          <w:lang w:val="es-ES" w:eastAsia="es-MX"/>
        </w:rPr>
        <w:t>Fit</w:t>
      </w:r>
      <w:proofErr w:type="spellEnd"/>
      <w:r w:rsidRPr="008866BC">
        <w:rPr>
          <w:rFonts w:ascii="Times New Roman" w:hAnsi="Times New Roman" w:cs="Times New Roman"/>
          <w:i/>
          <w:sz w:val="24"/>
          <w:szCs w:val="24"/>
          <w:lang w:val="es-ES" w:eastAsia="es-MX"/>
        </w:rPr>
        <w:t xml:space="preserve"> Índex</w:t>
      </w:r>
      <w:r w:rsidRPr="008866BC">
        <w:rPr>
          <w:rFonts w:ascii="Times New Roman" w:hAnsi="Times New Roman" w:cs="Times New Roman"/>
          <w:sz w:val="24"/>
          <w:szCs w:val="24"/>
          <w:lang w:val="es-ES" w:eastAsia="es-MX"/>
        </w:rPr>
        <w:t>, NFI), que mide la reducción proporcional en la función de ajuste adecuado cuando pasamos del modelo nulo al propuesto; el índice de ajuste comparativo (</w:t>
      </w:r>
      <w:r w:rsidRPr="008866BC">
        <w:rPr>
          <w:rFonts w:ascii="Times New Roman" w:hAnsi="Times New Roman" w:cs="Times New Roman"/>
          <w:i/>
          <w:sz w:val="24"/>
          <w:szCs w:val="24"/>
          <w:lang w:val="es-ES" w:eastAsia="es-MX"/>
        </w:rPr>
        <w:t xml:space="preserve">Comparative </w:t>
      </w:r>
      <w:proofErr w:type="spellStart"/>
      <w:r w:rsidRPr="008866BC">
        <w:rPr>
          <w:rFonts w:ascii="Times New Roman" w:hAnsi="Times New Roman" w:cs="Times New Roman"/>
          <w:i/>
          <w:sz w:val="24"/>
          <w:szCs w:val="24"/>
          <w:lang w:val="es-ES" w:eastAsia="es-MX"/>
        </w:rPr>
        <w:t>Fit</w:t>
      </w:r>
      <w:proofErr w:type="spellEnd"/>
      <w:r w:rsidRPr="008866BC">
        <w:rPr>
          <w:rFonts w:ascii="Times New Roman" w:hAnsi="Times New Roman" w:cs="Times New Roman"/>
          <w:i/>
          <w:sz w:val="24"/>
          <w:szCs w:val="24"/>
          <w:lang w:val="es-ES" w:eastAsia="es-MX"/>
        </w:rPr>
        <w:t xml:space="preserve"> </w:t>
      </w:r>
      <w:proofErr w:type="spellStart"/>
      <w:r w:rsidRPr="008866BC">
        <w:rPr>
          <w:rFonts w:ascii="Times New Roman" w:hAnsi="Times New Roman" w:cs="Times New Roman"/>
          <w:i/>
          <w:sz w:val="24"/>
          <w:szCs w:val="24"/>
          <w:lang w:val="es-ES" w:eastAsia="es-MX"/>
        </w:rPr>
        <w:t>Index</w:t>
      </w:r>
      <w:proofErr w:type="spellEnd"/>
      <w:r>
        <w:rPr>
          <w:rFonts w:ascii="Times New Roman" w:hAnsi="Times New Roman" w:cs="Times New Roman"/>
          <w:i/>
          <w:sz w:val="24"/>
          <w:szCs w:val="24"/>
          <w:lang w:val="es-ES" w:eastAsia="es-MX"/>
        </w:rPr>
        <w:t>,</w:t>
      </w:r>
      <w:r w:rsidRPr="008866BC">
        <w:rPr>
          <w:rFonts w:ascii="Times New Roman" w:hAnsi="Times New Roman" w:cs="Times New Roman"/>
          <w:sz w:val="24"/>
          <w:szCs w:val="24"/>
          <w:lang w:val="es-ES" w:eastAsia="es-MX"/>
        </w:rPr>
        <w:t xml:space="preserve"> CFI)</w:t>
      </w:r>
      <w:r>
        <w:rPr>
          <w:rFonts w:ascii="Times New Roman" w:hAnsi="Times New Roman" w:cs="Times New Roman"/>
          <w:sz w:val="24"/>
          <w:szCs w:val="24"/>
          <w:lang w:val="es-ES" w:eastAsia="es-MX"/>
        </w:rPr>
        <w:t>,</w:t>
      </w:r>
      <w:r w:rsidRPr="008866BC">
        <w:rPr>
          <w:rFonts w:ascii="Times New Roman" w:hAnsi="Times New Roman" w:cs="Times New Roman"/>
          <w:sz w:val="24"/>
          <w:szCs w:val="24"/>
          <w:lang w:val="es-ES" w:eastAsia="es-MX"/>
        </w:rPr>
        <w:t xml:space="preserve"> que mide la mejora en la medición de la no centralidad de un modelo, cuyos valores se encuentran entre 0 y 1</w:t>
      </w:r>
      <w:r>
        <w:rPr>
          <w:rFonts w:ascii="Times New Roman" w:hAnsi="Times New Roman" w:cs="Times New Roman"/>
          <w:sz w:val="24"/>
          <w:szCs w:val="24"/>
          <w:lang w:val="es-ES" w:eastAsia="es-MX"/>
        </w:rPr>
        <w:t>.</w:t>
      </w:r>
      <w:r w:rsidRPr="008866BC">
        <w:rPr>
          <w:rFonts w:ascii="Times New Roman" w:hAnsi="Times New Roman" w:cs="Times New Roman"/>
          <w:sz w:val="24"/>
          <w:szCs w:val="24"/>
          <w:lang w:val="es-ES" w:eastAsia="es-MX"/>
        </w:rPr>
        <w:t xml:space="preserve"> </w:t>
      </w:r>
      <w:r>
        <w:rPr>
          <w:rFonts w:ascii="Times New Roman" w:hAnsi="Times New Roman" w:cs="Times New Roman"/>
          <w:sz w:val="24"/>
          <w:szCs w:val="24"/>
          <w:lang w:val="es-ES" w:eastAsia="es-MX"/>
        </w:rPr>
        <w:t>El</w:t>
      </w:r>
      <w:r w:rsidRPr="008866BC">
        <w:rPr>
          <w:rFonts w:ascii="Times New Roman" w:hAnsi="Times New Roman" w:cs="Times New Roman"/>
          <w:sz w:val="24"/>
          <w:szCs w:val="24"/>
          <w:lang w:val="es-ES" w:eastAsia="es-MX"/>
        </w:rPr>
        <w:t xml:space="preserve"> valor debe ser superior a 0.9 (Levy y Varela, 2006; </w:t>
      </w:r>
      <w:proofErr w:type="spellStart"/>
      <w:r w:rsidRPr="008866BC">
        <w:rPr>
          <w:rFonts w:ascii="Times New Roman" w:hAnsi="Times New Roman" w:cs="Times New Roman"/>
          <w:sz w:val="24"/>
          <w:szCs w:val="24"/>
          <w:lang w:val="es-ES" w:eastAsia="es-MX"/>
        </w:rPr>
        <w:t>Ghorbanhosseini</w:t>
      </w:r>
      <w:proofErr w:type="spellEnd"/>
      <w:r w:rsidRPr="008866BC">
        <w:rPr>
          <w:rFonts w:ascii="Times New Roman" w:hAnsi="Times New Roman" w:cs="Times New Roman"/>
          <w:sz w:val="24"/>
          <w:szCs w:val="24"/>
          <w:lang w:val="es-ES" w:eastAsia="es-MX"/>
        </w:rPr>
        <w:t>, 2013).</w:t>
      </w:r>
    </w:p>
    <w:p w14:paraId="085F5317" w14:textId="77777777" w:rsidR="00A83FC6" w:rsidRDefault="00A83FC6" w:rsidP="00A83FC6">
      <w:pPr>
        <w:pStyle w:val="Prrafodelista"/>
        <w:numPr>
          <w:ilvl w:val="0"/>
          <w:numId w:val="4"/>
        </w:numPr>
        <w:spacing w:after="0" w:line="360" w:lineRule="auto"/>
        <w:jc w:val="both"/>
        <w:rPr>
          <w:rFonts w:ascii="Times New Roman" w:hAnsi="Times New Roman" w:cs="Times New Roman"/>
          <w:sz w:val="24"/>
          <w:szCs w:val="24"/>
          <w:lang w:eastAsia="es-MX"/>
        </w:rPr>
      </w:pPr>
      <w:r w:rsidRPr="00A10C4D">
        <w:rPr>
          <w:rFonts w:ascii="Times New Roman" w:hAnsi="Times New Roman" w:cs="Times New Roman"/>
          <w:i/>
          <w:sz w:val="24"/>
          <w:szCs w:val="24"/>
          <w:lang w:val="es-ES" w:eastAsia="es-MX"/>
        </w:rPr>
        <w:t>Índices de ajuste de parsimonia</w:t>
      </w:r>
      <w:r w:rsidRPr="00A10C4D">
        <w:rPr>
          <w:rFonts w:ascii="Times New Roman" w:hAnsi="Times New Roman" w:cs="Times New Roman"/>
          <w:sz w:val="24"/>
          <w:szCs w:val="24"/>
          <w:lang w:val="es-ES" w:eastAsia="es-MX"/>
        </w:rPr>
        <w:t>.</w:t>
      </w:r>
      <w:r w:rsidRPr="004663E1">
        <w:rPr>
          <w:rFonts w:ascii="Times New Roman" w:hAnsi="Times New Roman" w:cs="Times New Roman"/>
          <w:sz w:val="24"/>
          <w:szCs w:val="24"/>
          <w:lang w:val="es-ES" w:eastAsia="es-MX"/>
        </w:rPr>
        <w:t xml:space="preserve"> Aquí se tienen los siguientes índices: criterio de información de </w:t>
      </w:r>
      <w:proofErr w:type="spellStart"/>
      <w:r w:rsidRPr="004663E1">
        <w:rPr>
          <w:rFonts w:ascii="Times New Roman" w:hAnsi="Times New Roman" w:cs="Times New Roman"/>
          <w:sz w:val="24"/>
          <w:szCs w:val="24"/>
          <w:lang w:val="es-ES" w:eastAsia="es-MX"/>
        </w:rPr>
        <w:t>Akaiké</w:t>
      </w:r>
      <w:proofErr w:type="spellEnd"/>
      <w:r w:rsidRPr="004663E1">
        <w:rPr>
          <w:rFonts w:ascii="Times New Roman" w:hAnsi="Times New Roman" w:cs="Times New Roman"/>
          <w:sz w:val="24"/>
          <w:szCs w:val="24"/>
          <w:lang w:val="es-ES" w:eastAsia="es-MX"/>
        </w:rPr>
        <w:t xml:space="preserve"> (</w:t>
      </w:r>
      <w:r w:rsidRPr="004663E1">
        <w:rPr>
          <w:rFonts w:ascii="Times New Roman" w:hAnsi="Times New Roman" w:cs="Times New Roman"/>
          <w:i/>
          <w:sz w:val="24"/>
          <w:szCs w:val="24"/>
          <w:lang w:val="es-ES" w:eastAsia="es-MX"/>
        </w:rPr>
        <w:t xml:space="preserve">Akaike </w:t>
      </w:r>
      <w:proofErr w:type="spellStart"/>
      <w:r w:rsidRPr="004663E1">
        <w:rPr>
          <w:rFonts w:ascii="Times New Roman" w:hAnsi="Times New Roman" w:cs="Times New Roman"/>
          <w:i/>
          <w:sz w:val="24"/>
          <w:szCs w:val="24"/>
          <w:lang w:val="es-ES" w:eastAsia="es-MX"/>
        </w:rPr>
        <w:t>Information</w:t>
      </w:r>
      <w:proofErr w:type="spellEnd"/>
      <w:r w:rsidRPr="004663E1">
        <w:rPr>
          <w:rFonts w:ascii="Times New Roman" w:hAnsi="Times New Roman" w:cs="Times New Roman"/>
          <w:i/>
          <w:sz w:val="24"/>
          <w:szCs w:val="24"/>
          <w:lang w:val="es-ES" w:eastAsia="es-MX"/>
        </w:rPr>
        <w:t xml:space="preserve"> </w:t>
      </w:r>
      <w:proofErr w:type="spellStart"/>
      <w:r w:rsidRPr="004663E1">
        <w:rPr>
          <w:rFonts w:ascii="Times New Roman" w:hAnsi="Times New Roman" w:cs="Times New Roman"/>
          <w:i/>
          <w:sz w:val="24"/>
          <w:szCs w:val="24"/>
          <w:lang w:val="es-ES" w:eastAsia="es-MX"/>
        </w:rPr>
        <w:t>Criterion</w:t>
      </w:r>
      <w:proofErr w:type="spellEnd"/>
      <w:r w:rsidRPr="004663E1">
        <w:rPr>
          <w:rFonts w:ascii="Times New Roman" w:hAnsi="Times New Roman" w:cs="Times New Roman"/>
          <w:sz w:val="24"/>
          <w:szCs w:val="24"/>
          <w:lang w:val="es-ES" w:eastAsia="es-MX"/>
        </w:rPr>
        <w:t xml:space="preserve">, AIC), que es un comparativo entre modelos, cuyo valor próximo a cero indica un buen ajuste (Levi y Varela, 2006); el índice de ajuste </w:t>
      </w:r>
      <w:proofErr w:type="spellStart"/>
      <w:r w:rsidRPr="004663E1">
        <w:rPr>
          <w:rFonts w:ascii="Times New Roman" w:hAnsi="Times New Roman" w:cs="Times New Roman"/>
          <w:sz w:val="24"/>
          <w:szCs w:val="24"/>
          <w:lang w:val="es-ES" w:eastAsia="es-MX"/>
        </w:rPr>
        <w:t>parsimónico</w:t>
      </w:r>
      <w:proofErr w:type="spellEnd"/>
      <w:r w:rsidRPr="004663E1">
        <w:rPr>
          <w:rFonts w:ascii="Times New Roman" w:hAnsi="Times New Roman" w:cs="Times New Roman"/>
          <w:sz w:val="24"/>
          <w:szCs w:val="24"/>
          <w:lang w:val="es-ES" w:eastAsia="es-MX"/>
        </w:rPr>
        <w:t xml:space="preserve"> normalizado (</w:t>
      </w:r>
      <w:proofErr w:type="spellStart"/>
      <w:r w:rsidRPr="004663E1">
        <w:rPr>
          <w:rFonts w:ascii="Times New Roman" w:hAnsi="Times New Roman" w:cs="Times New Roman"/>
          <w:i/>
          <w:sz w:val="24"/>
          <w:szCs w:val="24"/>
          <w:lang w:val="es-ES" w:eastAsia="es-MX"/>
        </w:rPr>
        <w:t>Parsimonious</w:t>
      </w:r>
      <w:proofErr w:type="spellEnd"/>
      <w:r w:rsidRPr="004663E1">
        <w:rPr>
          <w:rFonts w:ascii="Times New Roman" w:hAnsi="Times New Roman" w:cs="Times New Roman"/>
          <w:i/>
          <w:sz w:val="24"/>
          <w:szCs w:val="24"/>
          <w:lang w:val="es-ES" w:eastAsia="es-MX"/>
        </w:rPr>
        <w:t xml:space="preserve"> </w:t>
      </w:r>
      <w:proofErr w:type="spellStart"/>
      <w:r w:rsidRPr="004663E1">
        <w:rPr>
          <w:rFonts w:ascii="Times New Roman" w:hAnsi="Times New Roman" w:cs="Times New Roman"/>
          <w:i/>
          <w:sz w:val="24"/>
          <w:szCs w:val="24"/>
          <w:lang w:val="es-ES" w:eastAsia="es-MX"/>
        </w:rPr>
        <w:t>Normed</w:t>
      </w:r>
      <w:proofErr w:type="spellEnd"/>
      <w:r w:rsidRPr="004663E1">
        <w:rPr>
          <w:rFonts w:ascii="Times New Roman" w:hAnsi="Times New Roman" w:cs="Times New Roman"/>
          <w:i/>
          <w:sz w:val="24"/>
          <w:szCs w:val="24"/>
          <w:lang w:val="es-ES" w:eastAsia="es-MX"/>
        </w:rPr>
        <w:t xml:space="preserve"> </w:t>
      </w:r>
      <w:proofErr w:type="spellStart"/>
      <w:r w:rsidRPr="004663E1">
        <w:rPr>
          <w:rFonts w:ascii="Times New Roman" w:hAnsi="Times New Roman" w:cs="Times New Roman"/>
          <w:i/>
          <w:sz w:val="24"/>
          <w:szCs w:val="24"/>
          <w:lang w:val="es-ES" w:eastAsia="es-MX"/>
        </w:rPr>
        <w:t>Fit</w:t>
      </w:r>
      <w:proofErr w:type="spellEnd"/>
      <w:r w:rsidRPr="004663E1">
        <w:rPr>
          <w:rFonts w:ascii="Times New Roman" w:hAnsi="Times New Roman" w:cs="Times New Roman"/>
          <w:sz w:val="24"/>
          <w:szCs w:val="24"/>
          <w:lang w:val="es-ES" w:eastAsia="es-MX"/>
        </w:rPr>
        <w:t xml:space="preserve">, PNFI); el índice de bondad del ajuste </w:t>
      </w:r>
      <w:proofErr w:type="spellStart"/>
      <w:r w:rsidRPr="004663E1">
        <w:rPr>
          <w:rFonts w:ascii="Times New Roman" w:hAnsi="Times New Roman" w:cs="Times New Roman"/>
          <w:sz w:val="24"/>
          <w:szCs w:val="24"/>
          <w:lang w:val="es-ES" w:eastAsia="es-MX"/>
        </w:rPr>
        <w:t>parsimó</w:t>
      </w:r>
      <w:r w:rsidRPr="004663E1">
        <w:rPr>
          <w:rFonts w:ascii="Times New Roman" w:hAnsi="Times New Roman" w:cs="Times New Roman"/>
          <w:sz w:val="24"/>
          <w:szCs w:val="24"/>
          <w:lang w:eastAsia="es-MX"/>
        </w:rPr>
        <w:t>nico</w:t>
      </w:r>
      <w:proofErr w:type="spellEnd"/>
      <w:r w:rsidRPr="004663E1">
        <w:rPr>
          <w:rFonts w:ascii="Times New Roman" w:hAnsi="Times New Roman" w:cs="Times New Roman"/>
          <w:sz w:val="24"/>
          <w:szCs w:val="24"/>
          <w:lang w:eastAsia="es-MX"/>
        </w:rPr>
        <w:t xml:space="preserve"> (</w:t>
      </w:r>
      <w:proofErr w:type="spellStart"/>
      <w:r w:rsidRPr="004663E1">
        <w:rPr>
          <w:rFonts w:ascii="Times New Roman" w:hAnsi="Times New Roman" w:cs="Times New Roman"/>
          <w:i/>
          <w:sz w:val="24"/>
          <w:szCs w:val="24"/>
          <w:lang w:eastAsia="es-MX"/>
        </w:rPr>
        <w:t>Parsimonious</w:t>
      </w:r>
      <w:proofErr w:type="spellEnd"/>
      <w:r w:rsidRPr="004663E1">
        <w:rPr>
          <w:rFonts w:ascii="Times New Roman" w:hAnsi="Times New Roman" w:cs="Times New Roman"/>
          <w:i/>
          <w:sz w:val="24"/>
          <w:szCs w:val="24"/>
          <w:lang w:eastAsia="es-MX"/>
        </w:rPr>
        <w:t xml:space="preserve"> </w:t>
      </w:r>
      <w:proofErr w:type="spellStart"/>
      <w:r w:rsidRPr="004663E1">
        <w:rPr>
          <w:rFonts w:ascii="Times New Roman" w:hAnsi="Times New Roman" w:cs="Times New Roman"/>
          <w:i/>
          <w:sz w:val="24"/>
          <w:szCs w:val="24"/>
          <w:lang w:eastAsia="es-MX"/>
        </w:rPr>
        <w:t>Goodness</w:t>
      </w:r>
      <w:proofErr w:type="spellEnd"/>
      <w:r w:rsidRPr="004663E1">
        <w:rPr>
          <w:rFonts w:ascii="Times New Roman" w:hAnsi="Times New Roman" w:cs="Times New Roman"/>
          <w:i/>
          <w:sz w:val="24"/>
          <w:szCs w:val="24"/>
          <w:lang w:eastAsia="es-MX"/>
        </w:rPr>
        <w:t xml:space="preserve"> </w:t>
      </w:r>
      <w:proofErr w:type="spellStart"/>
      <w:r w:rsidRPr="004663E1">
        <w:rPr>
          <w:rFonts w:ascii="Times New Roman" w:hAnsi="Times New Roman" w:cs="Times New Roman"/>
          <w:i/>
          <w:sz w:val="24"/>
          <w:szCs w:val="24"/>
          <w:lang w:eastAsia="es-MX"/>
        </w:rPr>
        <w:t>of</w:t>
      </w:r>
      <w:proofErr w:type="spellEnd"/>
      <w:r w:rsidRPr="004663E1">
        <w:rPr>
          <w:rFonts w:ascii="Times New Roman" w:hAnsi="Times New Roman" w:cs="Times New Roman"/>
          <w:i/>
          <w:sz w:val="24"/>
          <w:szCs w:val="24"/>
          <w:lang w:eastAsia="es-MX"/>
        </w:rPr>
        <w:t xml:space="preserve"> Fit Index</w:t>
      </w:r>
      <w:r w:rsidRPr="004663E1">
        <w:rPr>
          <w:rFonts w:ascii="Times New Roman" w:hAnsi="Times New Roman" w:cs="Times New Roman"/>
          <w:sz w:val="24"/>
          <w:szCs w:val="24"/>
          <w:lang w:eastAsia="es-MX"/>
        </w:rPr>
        <w:t xml:space="preserve">, PGFI), cuyo umbral oscila de 0 a 1 (los valores cercanos a 1 indican mejor ajuste).  </w:t>
      </w:r>
    </w:p>
    <w:p w14:paraId="4C035A2B" w14:textId="77777777" w:rsidR="00A83FC6" w:rsidRDefault="00A83FC6" w:rsidP="00A83FC6">
      <w:pPr>
        <w:spacing w:line="360" w:lineRule="auto"/>
        <w:ind w:firstLine="708"/>
        <w:jc w:val="both"/>
        <w:rPr>
          <w:lang w:val="es-ES"/>
        </w:rPr>
      </w:pPr>
      <w:r w:rsidRPr="00A07D32">
        <w:rPr>
          <w:lang w:val="es-ES"/>
        </w:rPr>
        <w:lastRenderedPageBreak/>
        <w:t xml:space="preserve">De acuerdo </w:t>
      </w:r>
      <w:r>
        <w:rPr>
          <w:lang w:val="es-ES"/>
        </w:rPr>
        <w:t>con</w:t>
      </w:r>
      <w:r w:rsidRPr="00A07D32">
        <w:rPr>
          <w:lang w:val="es-ES"/>
        </w:rPr>
        <w:t xml:space="preserve"> estos parámetros establecidos, el modelo del análisis factorial confirmatorio objeto de estudio </w:t>
      </w:r>
      <w:r>
        <w:rPr>
          <w:lang w:val="es-ES"/>
        </w:rPr>
        <w:t xml:space="preserve">se </w:t>
      </w:r>
      <w:r w:rsidRPr="00A07D32">
        <w:rPr>
          <w:lang w:val="es-ES"/>
        </w:rPr>
        <w:t xml:space="preserve">ajusta de manera satisfactoria, </w:t>
      </w:r>
      <w:r>
        <w:rPr>
          <w:lang w:val="es-ES"/>
        </w:rPr>
        <w:t xml:space="preserve">pues cumple con </w:t>
      </w:r>
      <w:r w:rsidRPr="00A07D32">
        <w:rPr>
          <w:lang w:val="es-ES"/>
        </w:rPr>
        <w:t>los principales índices de bondad de ajuste que comúnmente se reportan del modelo (</w:t>
      </w:r>
      <w:proofErr w:type="spellStart"/>
      <w:r w:rsidRPr="00A07D32">
        <w:rPr>
          <w:lang w:val="es-ES"/>
        </w:rPr>
        <w:t>Hu</w:t>
      </w:r>
      <w:proofErr w:type="spellEnd"/>
      <w:r w:rsidRPr="00A07D32">
        <w:rPr>
          <w:lang w:val="es-ES"/>
        </w:rPr>
        <w:t xml:space="preserve"> y </w:t>
      </w:r>
      <w:proofErr w:type="spellStart"/>
      <w:r w:rsidRPr="00A07D32">
        <w:rPr>
          <w:lang w:val="es-ES"/>
        </w:rPr>
        <w:t>Bentler</w:t>
      </w:r>
      <w:proofErr w:type="spellEnd"/>
      <w:r w:rsidRPr="00A07D32">
        <w:rPr>
          <w:lang w:val="es-ES"/>
        </w:rPr>
        <w:t xml:space="preserve">, 1999): χ2 = 738.03, </w:t>
      </w:r>
      <w:proofErr w:type="spellStart"/>
      <w:r w:rsidRPr="00A07D32">
        <w:rPr>
          <w:lang w:val="es-ES"/>
        </w:rPr>
        <w:t>gl</w:t>
      </w:r>
      <w:proofErr w:type="spellEnd"/>
      <w:r w:rsidRPr="00A07D32">
        <w:rPr>
          <w:lang w:val="es-ES"/>
        </w:rPr>
        <w:t xml:space="preserve"> = 263, p &lt;</w:t>
      </w:r>
      <w:r>
        <w:rPr>
          <w:lang w:val="es-ES"/>
        </w:rPr>
        <w:t xml:space="preserve"> </w:t>
      </w:r>
      <w:r w:rsidRPr="00A07D32">
        <w:rPr>
          <w:lang w:val="es-ES"/>
        </w:rPr>
        <w:t>.001; χ2/</w:t>
      </w:r>
      <w:proofErr w:type="spellStart"/>
      <w:r w:rsidRPr="00A07D32">
        <w:rPr>
          <w:lang w:val="es-ES"/>
        </w:rPr>
        <w:t>gl</w:t>
      </w:r>
      <w:proofErr w:type="spellEnd"/>
      <w:r>
        <w:rPr>
          <w:lang w:val="es-ES"/>
        </w:rPr>
        <w:t xml:space="preserve"> </w:t>
      </w:r>
      <w:r w:rsidRPr="00A07D32">
        <w:rPr>
          <w:lang w:val="es-ES"/>
        </w:rPr>
        <w:t>= 2.685. Índice de Tucker-Lewis (TLI) =</w:t>
      </w:r>
      <w:r>
        <w:rPr>
          <w:lang w:val="es-ES"/>
        </w:rPr>
        <w:t xml:space="preserve"> </w:t>
      </w:r>
      <w:r w:rsidRPr="00A07D32">
        <w:rPr>
          <w:lang w:val="es-ES"/>
        </w:rPr>
        <w:t>.924; índice de ajuste comparativo (CFI) =</w:t>
      </w:r>
      <w:r>
        <w:rPr>
          <w:lang w:val="es-ES"/>
        </w:rPr>
        <w:t xml:space="preserve"> </w:t>
      </w:r>
      <w:r w:rsidRPr="00A07D32">
        <w:rPr>
          <w:lang w:val="es-ES"/>
        </w:rPr>
        <w:t>.930; índice de ajuste incremental (IFI) =</w:t>
      </w:r>
      <w:r>
        <w:rPr>
          <w:lang w:val="es-ES"/>
        </w:rPr>
        <w:t xml:space="preserve"> </w:t>
      </w:r>
      <w:r w:rsidRPr="00A07D32">
        <w:rPr>
          <w:lang w:val="es-ES"/>
        </w:rPr>
        <w:t>.931; residuo cuadrático medio de la raíz estandarizada (SRMR) =</w:t>
      </w:r>
      <w:r>
        <w:rPr>
          <w:lang w:val="es-ES"/>
        </w:rPr>
        <w:t xml:space="preserve"> </w:t>
      </w:r>
      <w:r w:rsidRPr="00A07D32">
        <w:rPr>
          <w:lang w:val="es-ES"/>
        </w:rPr>
        <w:t>0.052; error cuadrático medio de aproximación (RMSEA) =</w:t>
      </w:r>
      <w:r>
        <w:rPr>
          <w:lang w:val="es-ES"/>
        </w:rPr>
        <w:t xml:space="preserve"> </w:t>
      </w:r>
      <w:r w:rsidRPr="00A07D32">
        <w:rPr>
          <w:lang w:val="es-ES"/>
        </w:rPr>
        <w:t>0.062</w:t>
      </w:r>
      <w:r>
        <w:rPr>
          <w:lang w:val="es-ES"/>
        </w:rPr>
        <w:t>.</w:t>
      </w:r>
    </w:p>
    <w:p w14:paraId="37A70208" w14:textId="77777777" w:rsidR="00A83FC6" w:rsidRPr="00163AD1" w:rsidRDefault="00A83FC6" w:rsidP="00A83FC6">
      <w:pPr>
        <w:spacing w:line="360" w:lineRule="auto"/>
        <w:ind w:firstLine="708"/>
        <w:jc w:val="both"/>
        <w:rPr>
          <w:lang w:val="es-ES"/>
        </w:rPr>
      </w:pPr>
    </w:p>
    <w:p w14:paraId="1D05C1A7" w14:textId="77777777" w:rsidR="00A83FC6" w:rsidRPr="005E0BA1" w:rsidRDefault="00A83FC6" w:rsidP="00A83FC6">
      <w:pPr>
        <w:spacing w:line="360" w:lineRule="auto"/>
        <w:jc w:val="center"/>
        <w:rPr>
          <w:b/>
          <w:iCs/>
          <w:sz w:val="32"/>
          <w:szCs w:val="32"/>
          <w:lang w:val="es-ES"/>
        </w:rPr>
      </w:pPr>
      <w:r w:rsidRPr="005E0BA1">
        <w:rPr>
          <w:b/>
          <w:iCs/>
          <w:sz w:val="32"/>
          <w:szCs w:val="32"/>
          <w:lang w:val="es-ES"/>
        </w:rPr>
        <w:t>Discusión</w:t>
      </w:r>
      <w:r>
        <w:rPr>
          <w:b/>
          <w:iCs/>
          <w:sz w:val="32"/>
          <w:szCs w:val="32"/>
          <w:lang w:val="es-ES"/>
        </w:rPr>
        <w:t xml:space="preserve"> </w:t>
      </w:r>
    </w:p>
    <w:p w14:paraId="00E2E7DB" w14:textId="77777777" w:rsidR="00A83FC6" w:rsidRPr="004663E1" w:rsidRDefault="00A83FC6" w:rsidP="00A83FC6">
      <w:pPr>
        <w:spacing w:line="360" w:lineRule="auto"/>
        <w:ind w:firstLine="708"/>
        <w:jc w:val="both"/>
        <w:rPr>
          <w:lang w:val="es-VE"/>
        </w:rPr>
      </w:pPr>
      <w:r w:rsidRPr="00A07D32">
        <w:rPr>
          <w:lang w:val="es-ES"/>
        </w:rPr>
        <w:t xml:space="preserve">La finalidad de la presente investigación fue dar a conocer el uso de la técnica estadística del análisis factorial confirmatorio (AFC) a partir de datos empíricos recabados sobre el modelo SECI. En este sentido, el modelo de medida </w:t>
      </w:r>
      <w:r>
        <w:rPr>
          <w:lang w:val="es-ES"/>
        </w:rPr>
        <w:t>fue</w:t>
      </w:r>
      <w:r w:rsidRPr="00A07D32">
        <w:rPr>
          <w:lang w:val="es-ES"/>
        </w:rPr>
        <w:t xml:space="preserve"> válido y fiable, por sus resultados de la consistencia interna (alfa de Cronbach)</w:t>
      </w:r>
      <w:r>
        <w:rPr>
          <w:lang w:val="es-ES"/>
        </w:rPr>
        <w:t xml:space="preserve"> y</w:t>
      </w:r>
      <w:r w:rsidRPr="00A07D32">
        <w:rPr>
          <w:lang w:val="es-ES"/>
        </w:rPr>
        <w:t xml:space="preserve"> los referentes al análisis factorial exploratorio (KMO, prueba de esfericidad de Bartlett y varianza explicada). En cuanto los resultados del análisis factorial confirmatorio (las cargas factoriales y los índices de bondad de ajuste global del modelo de las tres tipologías </w:t>
      </w:r>
      <w:r>
        <w:rPr>
          <w:lang w:val="es-ES"/>
        </w:rPr>
        <w:t>[</w:t>
      </w:r>
      <w:r w:rsidRPr="00A07D32">
        <w:rPr>
          <w:lang w:val="es-ES"/>
        </w:rPr>
        <w:t>índices de ajuste absoluto, índices de ajuste incremental e índices de parsimonia</w:t>
      </w:r>
      <w:r>
        <w:rPr>
          <w:lang w:val="es-ES"/>
        </w:rPr>
        <w:t>]</w:t>
      </w:r>
      <w:r w:rsidRPr="00A07D32">
        <w:rPr>
          <w:lang w:val="es-ES"/>
        </w:rPr>
        <w:t>, así como la validez convergente y discrim</w:t>
      </w:r>
      <w:r>
        <w:rPr>
          <w:lang w:val="es-ES"/>
        </w:rPr>
        <w:t>i</w:t>
      </w:r>
      <w:r w:rsidRPr="00A07D32">
        <w:rPr>
          <w:lang w:val="es-ES"/>
        </w:rPr>
        <w:t>na</w:t>
      </w:r>
      <w:r>
        <w:rPr>
          <w:lang w:val="es-ES"/>
        </w:rPr>
        <w:t>n</w:t>
      </w:r>
      <w:r w:rsidRPr="00A07D32">
        <w:rPr>
          <w:lang w:val="es-ES"/>
        </w:rPr>
        <w:t>te</w:t>
      </w:r>
      <w:r>
        <w:rPr>
          <w:lang w:val="es-ES"/>
        </w:rPr>
        <w:t>,</w:t>
      </w:r>
      <w:r w:rsidRPr="00A07D32">
        <w:rPr>
          <w:lang w:val="es-ES"/>
        </w:rPr>
        <w:t xml:space="preserve"> </w:t>
      </w:r>
      <w:r>
        <w:rPr>
          <w:lang w:val="es-ES"/>
        </w:rPr>
        <w:t xml:space="preserve">y </w:t>
      </w:r>
      <w:r w:rsidRPr="00A07D32">
        <w:rPr>
          <w:lang w:val="es-ES"/>
        </w:rPr>
        <w:t xml:space="preserve">la fiabilidad y validez del modelo a través de la fiabilidad del </w:t>
      </w:r>
      <w:proofErr w:type="spellStart"/>
      <w:r w:rsidRPr="00A07D32">
        <w:rPr>
          <w:lang w:val="es-ES"/>
        </w:rPr>
        <w:t>constructo</w:t>
      </w:r>
      <w:proofErr w:type="spellEnd"/>
      <w:r w:rsidRPr="00A07D32">
        <w:rPr>
          <w:lang w:val="es-ES"/>
        </w:rPr>
        <w:t xml:space="preserve"> y la varianza media extraída</w:t>
      </w:r>
      <w:r>
        <w:rPr>
          <w:lang w:val="es-ES"/>
        </w:rPr>
        <w:t>)</w:t>
      </w:r>
      <w:r w:rsidRPr="00A07D32">
        <w:rPr>
          <w:lang w:val="es-ES"/>
        </w:rPr>
        <w:t xml:space="preserve"> fueron acorde</w:t>
      </w:r>
      <w:r>
        <w:rPr>
          <w:lang w:val="es-ES"/>
        </w:rPr>
        <w:t>s</w:t>
      </w:r>
      <w:r w:rsidRPr="00A07D32">
        <w:rPr>
          <w:lang w:val="es-ES"/>
        </w:rPr>
        <w:t xml:space="preserve"> a los parámetros </w:t>
      </w:r>
      <w:r w:rsidRPr="001375BD">
        <w:rPr>
          <w:lang w:val="es-ES"/>
        </w:rPr>
        <w:t>establecidos (</w:t>
      </w:r>
      <w:proofErr w:type="spellStart"/>
      <w:r w:rsidRPr="001375BD">
        <w:rPr>
          <w:lang w:val="es-VE"/>
        </w:rPr>
        <w:t>Bagozzi</w:t>
      </w:r>
      <w:proofErr w:type="spellEnd"/>
      <w:r w:rsidRPr="001375BD">
        <w:rPr>
          <w:lang w:val="es-VE"/>
        </w:rPr>
        <w:t>, 1994;</w:t>
      </w:r>
      <w:r w:rsidRPr="004663E1">
        <w:rPr>
          <w:lang w:val="es-VE"/>
        </w:rPr>
        <w:t xml:space="preserve"> Bollen, 1989; </w:t>
      </w:r>
      <w:proofErr w:type="spellStart"/>
      <w:r w:rsidRPr="00DB5E00">
        <w:rPr>
          <w:lang w:val="es-VE"/>
        </w:rPr>
        <w:t>Ghorbanhosseini</w:t>
      </w:r>
      <w:proofErr w:type="spellEnd"/>
      <w:r w:rsidRPr="00DB5E00">
        <w:rPr>
          <w:lang w:val="es-VE"/>
        </w:rPr>
        <w:t>, 2013</w:t>
      </w:r>
      <w:r w:rsidRPr="004663E1">
        <w:rPr>
          <w:lang w:val="es-VE"/>
        </w:rPr>
        <w:t xml:space="preserve">; </w:t>
      </w:r>
      <w:proofErr w:type="spellStart"/>
      <w:r w:rsidRPr="004663E1">
        <w:rPr>
          <w:lang w:val="es-VE"/>
        </w:rPr>
        <w:t>Hair</w:t>
      </w:r>
      <w:proofErr w:type="spellEnd"/>
      <w:r w:rsidRPr="004663E1">
        <w:rPr>
          <w:lang w:val="es-VE"/>
        </w:rPr>
        <w:t xml:space="preserve">, Anderson, Tatham y Black, 2007, 2008; </w:t>
      </w:r>
      <w:proofErr w:type="spellStart"/>
      <w:r w:rsidRPr="00A07D32">
        <w:rPr>
          <w:lang w:val="es-ES"/>
        </w:rPr>
        <w:t>Jöreskog</w:t>
      </w:r>
      <w:proofErr w:type="spellEnd"/>
      <w:r>
        <w:rPr>
          <w:lang w:val="es-ES"/>
        </w:rPr>
        <w:t xml:space="preserve"> </w:t>
      </w:r>
      <w:r w:rsidRPr="00A07D32">
        <w:rPr>
          <w:lang w:val="es-ES"/>
        </w:rPr>
        <w:t xml:space="preserve">y </w:t>
      </w:r>
      <w:proofErr w:type="spellStart"/>
      <w:r w:rsidRPr="00A07D32">
        <w:rPr>
          <w:lang w:val="es-ES"/>
        </w:rPr>
        <w:t>Sörbom</w:t>
      </w:r>
      <w:proofErr w:type="spellEnd"/>
      <w:r w:rsidRPr="00A07D32">
        <w:rPr>
          <w:lang w:val="es-ES"/>
        </w:rPr>
        <w:t xml:space="preserve">, 1990; </w:t>
      </w:r>
      <w:r w:rsidRPr="004663E1">
        <w:rPr>
          <w:lang w:val="es-VE"/>
        </w:rPr>
        <w:t xml:space="preserve">Kline, 2011; </w:t>
      </w:r>
      <w:r w:rsidRPr="00A07D32">
        <w:rPr>
          <w:lang w:val="es-ES"/>
        </w:rPr>
        <w:t>Lévy y Varela, 2006; Marsh</w:t>
      </w:r>
      <w:r>
        <w:rPr>
          <w:lang w:val="es-ES"/>
        </w:rPr>
        <w:t xml:space="preserve"> y</w:t>
      </w:r>
      <w:r w:rsidRPr="00A07D32">
        <w:rPr>
          <w:lang w:val="es-ES"/>
        </w:rPr>
        <w:t xml:space="preserve"> </w:t>
      </w:r>
      <w:proofErr w:type="spellStart"/>
      <w:r w:rsidRPr="00A07D32">
        <w:rPr>
          <w:lang w:val="es-ES"/>
        </w:rPr>
        <w:t>Hocevar</w:t>
      </w:r>
      <w:proofErr w:type="spellEnd"/>
      <w:r w:rsidRPr="00A07D32">
        <w:rPr>
          <w:lang w:val="es-ES"/>
        </w:rPr>
        <w:t xml:space="preserve">, 1985; </w:t>
      </w:r>
      <w:proofErr w:type="spellStart"/>
      <w:r w:rsidRPr="004663E1">
        <w:rPr>
          <w:lang w:val="es-VE"/>
        </w:rPr>
        <w:t>Mohamad</w:t>
      </w:r>
      <w:proofErr w:type="spellEnd"/>
      <w:r w:rsidRPr="004663E1">
        <w:rPr>
          <w:lang w:val="es-VE"/>
        </w:rPr>
        <w:t xml:space="preserve"> y </w:t>
      </w:r>
      <w:proofErr w:type="spellStart"/>
      <w:r w:rsidRPr="004663E1">
        <w:rPr>
          <w:lang w:val="es-VE"/>
        </w:rPr>
        <w:t>Wan</w:t>
      </w:r>
      <w:proofErr w:type="spellEnd"/>
      <w:r w:rsidRPr="004663E1">
        <w:rPr>
          <w:lang w:val="es-VE"/>
        </w:rPr>
        <w:t>, 2013;</w:t>
      </w:r>
      <w:r>
        <w:rPr>
          <w:lang w:val="es-VE"/>
        </w:rPr>
        <w:t xml:space="preserve"> </w:t>
      </w:r>
      <w:r w:rsidRPr="00A07D32">
        <w:rPr>
          <w:lang w:val="es-ES"/>
        </w:rPr>
        <w:t xml:space="preserve">Tanaka </w:t>
      </w:r>
      <w:r>
        <w:rPr>
          <w:lang w:val="es-ES"/>
        </w:rPr>
        <w:t>y</w:t>
      </w:r>
      <w:r w:rsidRPr="00A07D32">
        <w:rPr>
          <w:lang w:val="es-ES"/>
        </w:rPr>
        <w:t xml:space="preserve"> </w:t>
      </w:r>
      <w:proofErr w:type="spellStart"/>
      <w:r w:rsidRPr="00A07D32">
        <w:rPr>
          <w:lang w:val="es-ES"/>
        </w:rPr>
        <w:t>Huba</w:t>
      </w:r>
      <w:proofErr w:type="spellEnd"/>
      <w:r w:rsidRPr="00A07D32">
        <w:rPr>
          <w:lang w:val="es-ES"/>
        </w:rPr>
        <w:t xml:space="preserve"> 1989</w:t>
      </w:r>
      <w:r w:rsidRPr="004663E1">
        <w:rPr>
          <w:lang w:val="es-VE"/>
        </w:rPr>
        <w:t xml:space="preserve">). </w:t>
      </w:r>
    </w:p>
    <w:p w14:paraId="1BE57B47" w14:textId="77777777" w:rsidR="00A83FC6" w:rsidRPr="004663E1" w:rsidRDefault="00A83FC6" w:rsidP="00A83FC6">
      <w:pPr>
        <w:spacing w:line="360" w:lineRule="auto"/>
        <w:ind w:firstLine="708"/>
        <w:jc w:val="both"/>
        <w:rPr>
          <w:lang w:val="es-ES"/>
        </w:rPr>
      </w:pPr>
      <w:r w:rsidRPr="004663E1">
        <w:rPr>
          <w:lang w:val="es-ES"/>
        </w:rPr>
        <w:t>Estos resultados son consistentes con Stock</w:t>
      </w:r>
      <w:r>
        <w:rPr>
          <w:lang w:val="es-ES"/>
        </w:rPr>
        <w:t>,</w:t>
      </w:r>
      <w:r w:rsidRPr="00DB5E00">
        <w:rPr>
          <w:lang w:val="es-VE"/>
        </w:rPr>
        <w:t xml:space="preserve"> Tsai</w:t>
      </w:r>
      <w:r>
        <w:rPr>
          <w:lang w:val="es-VE"/>
        </w:rPr>
        <w:t xml:space="preserve"> </w:t>
      </w:r>
      <w:r w:rsidRPr="00DB5E00">
        <w:rPr>
          <w:lang w:val="es-VE"/>
        </w:rPr>
        <w:t>Jiang</w:t>
      </w:r>
      <w:r>
        <w:rPr>
          <w:lang w:val="es-VE"/>
        </w:rPr>
        <w:t xml:space="preserve"> y</w:t>
      </w:r>
      <w:r w:rsidRPr="00DB5E00">
        <w:rPr>
          <w:lang w:val="es-VE"/>
        </w:rPr>
        <w:t xml:space="preserve"> Klein</w:t>
      </w:r>
      <w:r w:rsidRPr="004663E1">
        <w:rPr>
          <w:lang w:val="es-ES"/>
        </w:rPr>
        <w:t xml:space="preserve"> (2021), qu</w:t>
      </w:r>
      <w:r>
        <w:rPr>
          <w:lang w:val="es-ES"/>
        </w:rPr>
        <w:t>ienes</w:t>
      </w:r>
      <w:r w:rsidRPr="004663E1">
        <w:rPr>
          <w:lang w:val="es-ES"/>
        </w:rPr>
        <w:t xml:space="preserve"> aborda</w:t>
      </w:r>
      <w:r>
        <w:rPr>
          <w:lang w:val="es-ES"/>
        </w:rPr>
        <w:t>n</w:t>
      </w:r>
      <w:r w:rsidRPr="004663E1">
        <w:rPr>
          <w:lang w:val="es-ES"/>
        </w:rPr>
        <w:t xml:space="preserve"> un modelo de conocimiento compartid</w:t>
      </w:r>
      <w:r>
        <w:rPr>
          <w:lang w:val="es-ES"/>
        </w:rPr>
        <w:t>o</w:t>
      </w:r>
      <w:r w:rsidRPr="004663E1">
        <w:rPr>
          <w:lang w:val="es-ES"/>
        </w:rPr>
        <w:t xml:space="preserve">, aunque </w:t>
      </w:r>
      <w:r>
        <w:rPr>
          <w:lang w:val="es-ES"/>
        </w:rPr>
        <w:t xml:space="preserve">cabe señalar que </w:t>
      </w:r>
      <w:r w:rsidRPr="004663E1">
        <w:rPr>
          <w:lang w:val="es-ES"/>
        </w:rPr>
        <w:t>su AFC es muy limitado en cuanto a los índices que reporta</w:t>
      </w:r>
      <w:r>
        <w:rPr>
          <w:lang w:val="es-ES"/>
        </w:rPr>
        <w:t>n</w:t>
      </w:r>
      <w:r w:rsidRPr="004663E1">
        <w:rPr>
          <w:lang w:val="es-ES"/>
        </w:rPr>
        <w:t xml:space="preserve">, ya que solo toma la fiabilidad del </w:t>
      </w:r>
      <w:r>
        <w:rPr>
          <w:lang w:val="es-ES"/>
        </w:rPr>
        <w:t>a</w:t>
      </w:r>
      <w:r w:rsidRPr="004663E1">
        <w:rPr>
          <w:lang w:val="es-ES"/>
        </w:rPr>
        <w:t>l</w:t>
      </w:r>
      <w:r>
        <w:rPr>
          <w:lang w:val="es-ES"/>
        </w:rPr>
        <w:t>f</w:t>
      </w:r>
      <w:r w:rsidRPr="004663E1">
        <w:rPr>
          <w:lang w:val="es-ES"/>
        </w:rPr>
        <w:t>a de Cronbach y algunos índices de la evaluación del ajuste del modelo de medida. En la misma línea, Zhang</w:t>
      </w:r>
      <w:r>
        <w:rPr>
          <w:lang w:val="es-ES"/>
        </w:rPr>
        <w:t>,</w:t>
      </w:r>
      <w:r w:rsidRPr="00DB5E00">
        <w:rPr>
          <w:lang w:val="es-VE"/>
        </w:rPr>
        <w:t xml:space="preserve"> Dawson</w:t>
      </w:r>
      <w:r>
        <w:rPr>
          <w:lang w:val="es-VE"/>
        </w:rPr>
        <w:t xml:space="preserve"> y</w:t>
      </w:r>
      <w:r w:rsidRPr="00DB5E00">
        <w:rPr>
          <w:lang w:val="es-VE"/>
        </w:rPr>
        <w:t xml:space="preserve"> Kline</w:t>
      </w:r>
      <w:r w:rsidRPr="004663E1">
        <w:rPr>
          <w:lang w:val="es-ES"/>
        </w:rPr>
        <w:t xml:space="preserve"> (2020) evalúa</w:t>
      </w:r>
      <w:r>
        <w:rPr>
          <w:lang w:val="es-ES"/>
        </w:rPr>
        <w:t>n</w:t>
      </w:r>
      <w:r w:rsidRPr="004663E1">
        <w:rPr>
          <w:lang w:val="es-ES"/>
        </w:rPr>
        <w:t xml:space="preserve"> un modelo de investigación con el uso de la modelación (CB-SEM), donde aplica el AFC, que, a vez, también limita el reporte de los estadísticos de fiabilidad, validez y ajuste del modelo de media.</w:t>
      </w:r>
    </w:p>
    <w:p w14:paraId="4DB7078B" w14:textId="19C3B3C3" w:rsidR="00A83FC6" w:rsidRDefault="00A83FC6" w:rsidP="00A83FC6">
      <w:pPr>
        <w:pStyle w:val="Default"/>
        <w:spacing w:line="360" w:lineRule="auto"/>
        <w:ind w:left="709" w:hanging="709"/>
        <w:rPr>
          <w:color w:val="auto"/>
        </w:rPr>
      </w:pPr>
    </w:p>
    <w:p w14:paraId="03D3F7E4" w14:textId="77777777" w:rsidR="000B2144" w:rsidRPr="00C03E75" w:rsidRDefault="000B2144" w:rsidP="00A83FC6">
      <w:pPr>
        <w:pStyle w:val="Default"/>
        <w:spacing w:line="360" w:lineRule="auto"/>
        <w:ind w:left="709" w:hanging="709"/>
        <w:rPr>
          <w:color w:val="auto"/>
        </w:rPr>
      </w:pPr>
    </w:p>
    <w:p w14:paraId="01A9400C" w14:textId="77777777" w:rsidR="00A83FC6" w:rsidRPr="00E8055F" w:rsidRDefault="00A83FC6" w:rsidP="00A83FC6">
      <w:pPr>
        <w:spacing w:line="360" w:lineRule="auto"/>
        <w:ind w:firstLine="709"/>
        <w:jc w:val="center"/>
        <w:rPr>
          <w:b/>
          <w:iCs/>
          <w:sz w:val="28"/>
          <w:szCs w:val="28"/>
          <w:lang w:val="es-ES"/>
        </w:rPr>
      </w:pPr>
      <w:r w:rsidRPr="00E8055F">
        <w:rPr>
          <w:b/>
          <w:iCs/>
          <w:sz w:val="28"/>
          <w:szCs w:val="28"/>
          <w:lang w:val="es-ES"/>
        </w:rPr>
        <w:lastRenderedPageBreak/>
        <w:t>Limitaciones e implicaciones prácticas de la investigación</w:t>
      </w:r>
    </w:p>
    <w:p w14:paraId="550AAE60" w14:textId="77777777" w:rsidR="00A83FC6" w:rsidRDefault="00A83FC6" w:rsidP="00A83FC6">
      <w:pPr>
        <w:spacing w:line="360" w:lineRule="auto"/>
        <w:ind w:firstLine="709"/>
        <w:jc w:val="both"/>
        <w:rPr>
          <w:szCs w:val="28"/>
          <w:lang w:val="es-ES"/>
        </w:rPr>
      </w:pPr>
      <w:r w:rsidRPr="00A07D32">
        <w:rPr>
          <w:szCs w:val="28"/>
          <w:lang w:val="es-ES"/>
        </w:rPr>
        <w:t xml:space="preserve">Esta investigación se realizó en organismos académicos de la Universidad Autónoma del Estado de México, </w:t>
      </w:r>
      <w:r>
        <w:rPr>
          <w:szCs w:val="28"/>
          <w:lang w:val="es-ES"/>
        </w:rPr>
        <w:t xml:space="preserve">para lo cual se recopilaron </w:t>
      </w:r>
      <w:r w:rsidRPr="00A07D32">
        <w:rPr>
          <w:szCs w:val="28"/>
          <w:lang w:val="es-ES"/>
        </w:rPr>
        <w:t>datos de 235 sujetos</w:t>
      </w:r>
      <w:r>
        <w:rPr>
          <w:szCs w:val="28"/>
          <w:lang w:val="es-ES"/>
        </w:rPr>
        <w:t xml:space="preserve">. Por ende, </w:t>
      </w:r>
      <w:r w:rsidRPr="00A07D32">
        <w:rPr>
          <w:szCs w:val="28"/>
          <w:lang w:val="es-ES"/>
        </w:rPr>
        <w:t>los resultados no pueden generalizarse</w:t>
      </w:r>
      <w:r>
        <w:rPr>
          <w:szCs w:val="28"/>
          <w:lang w:val="es-ES"/>
        </w:rPr>
        <w:t xml:space="preserve">, pues </w:t>
      </w:r>
      <w:r w:rsidRPr="00A07D32">
        <w:rPr>
          <w:szCs w:val="28"/>
          <w:lang w:val="es-ES"/>
        </w:rPr>
        <w:t xml:space="preserve">el objeto de la investigación no soportó ninguna argumentación hipotética, sino solo la explicación del uso de la técnica del AFC. </w:t>
      </w:r>
    </w:p>
    <w:p w14:paraId="15D0848D" w14:textId="77777777" w:rsidR="00A83FC6" w:rsidRDefault="00A83FC6" w:rsidP="00A83FC6">
      <w:pPr>
        <w:spacing w:line="360" w:lineRule="auto"/>
        <w:ind w:firstLine="709"/>
        <w:jc w:val="both"/>
        <w:rPr>
          <w:szCs w:val="28"/>
          <w:lang w:val="es-ES"/>
        </w:rPr>
      </w:pPr>
      <w:r w:rsidRPr="00A07D32">
        <w:rPr>
          <w:szCs w:val="28"/>
          <w:lang w:val="es-ES"/>
        </w:rPr>
        <w:t xml:space="preserve">Sin embargo, se sugiere que las IES incorporen prácticas de gestión del conocimiento mediante los cuatro modos de conversión </w:t>
      </w:r>
      <w:r>
        <w:rPr>
          <w:szCs w:val="28"/>
          <w:lang w:val="es-ES"/>
        </w:rPr>
        <w:t xml:space="preserve">explicados, los cuales </w:t>
      </w:r>
      <w:r w:rsidRPr="00A07D32">
        <w:rPr>
          <w:szCs w:val="28"/>
          <w:lang w:val="es-ES"/>
        </w:rPr>
        <w:t>podría</w:t>
      </w:r>
      <w:r>
        <w:rPr>
          <w:szCs w:val="28"/>
          <w:lang w:val="es-ES"/>
        </w:rPr>
        <w:t>n</w:t>
      </w:r>
      <w:r w:rsidRPr="00A07D32">
        <w:rPr>
          <w:szCs w:val="28"/>
          <w:lang w:val="es-ES"/>
        </w:rPr>
        <w:t xml:space="preserve"> </w:t>
      </w:r>
      <w:r>
        <w:rPr>
          <w:szCs w:val="28"/>
          <w:lang w:val="es-ES"/>
        </w:rPr>
        <w:t>otorgar</w:t>
      </w:r>
      <w:r w:rsidRPr="00A07D32">
        <w:rPr>
          <w:szCs w:val="28"/>
          <w:lang w:val="es-ES"/>
        </w:rPr>
        <w:t xml:space="preserve"> mayor valor a los activos intangibles del conocimiento</w:t>
      </w:r>
      <w:r>
        <w:rPr>
          <w:szCs w:val="28"/>
          <w:lang w:val="es-ES"/>
        </w:rPr>
        <w:t xml:space="preserve">. Al respecto, cabe recalcar </w:t>
      </w:r>
      <w:r w:rsidRPr="00A07D32">
        <w:rPr>
          <w:szCs w:val="28"/>
          <w:lang w:val="es-ES"/>
        </w:rPr>
        <w:t xml:space="preserve">que el conocimiento se ha convertido en el motor de la economía actual, </w:t>
      </w:r>
      <w:r>
        <w:rPr>
          <w:szCs w:val="28"/>
          <w:lang w:val="es-ES"/>
        </w:rPr>
        <w:t xml:space="preserve">de ahí que su gestión </w:t>
      </w:r>
      <w:r w:rsidRPr="00A07D32">
        <w:rPr>
          <w:szCs w:val="28"/>
          <w:lang w:val="es-ES"/>
        </w:rPr>
        <w:t xml:space="preserve">y </w:t>
      </w:r>
      <w:r>
        <w:rPr>
          <w:szCs w:val="28"/>
          <w:lang w:val="es-ES"/>
        </w:rPr>
        <w:t>su explotación</w:t>
      </w:r>
      <w:r w:rsidRPr="00A07D32">
        <w:rPr>
          <w:szCs w:val="28"/>
          <w:lang w:val="es-ES"/>
        </w:rPr>
        <w:t xml:space="preserve"> </w:t>
      </w:r>
      <w:r>
        <w:rPr>
          <w:szCs w:val="28"/>
          <w:lang w:val="es-ES"/>
        </w:rPr>
        <w:t xml:space="preserve">permitirán </w:t>
      </w:r>
      <w:r w:rsidRPr="00A07D32">
        <w:rPr>
          <w:szCs w:val="28"/>
          <w:lang w:val="es-ES"/>
        </w:rPr>
        <w:t>desarrolla</w:t>
      </w:r>
      <w:r>
        <w:rPr>
          <w:szCs w:val="28"/>
          <w:lang w:val="es-ES"/>
        </w:rPr>
        <w:t>r</w:t>
      </w:r>
      <w:r w:rsidRPr="00A07D32">
        <w:rPr>
          <w:szCs w:val="28"/>
          <w:lang w:val="es-ES"/>
        </w:rPr>
        <w:t xml:space="preserve"> capital intelectual </w:t>
      </w:r>
      <w:r>
        <w:rPr>
          <w:szCs w:val="28"/>
          <w:lang w:val="es-ES"/>
        </w:rPr>
        <w:t>indispensable para generar</w:t>
      </w:r>
      <w:r w:rsidRPr="00A07D32">
        <w:rPr>
          <w:szCs w:val="28"/>
          <w:lang w:val="es-ES"/>
        </w:rPr>
        <w:t xml:space="preserve"> ventaja competitiva (Chou </w:t>
      </w:r>
      <w:r>
        <w:rPr>
          <w:szCs w:val="28"/>
          <w:lang w:val="es-ES"/>
        </w:rPr>
        <w:t>y</w:t>
      </w:r>
      <w:r w:rsidRPr="00A07D32">
        <w:rPr>
          <w:szCs w:val="28"/>
          <w:lang w:val="es-ES"/>
        </w:rPr>
        <w:t xml:space="preserve"> Ta, 2005; Quinn, 1992). </w:t>
      </w:r>
    </w:p>
    <w:p w14:paraId="7B79D4D5" w14:textId="77777777" w:rsidR="00A83FC6" w:rsidRDefault="00A83FC6" w:rsidP="00A83FC6">
      <w:pPr>
        <w:spacing w:line="360" w:lineRule="auto"/>
        <w:ind w:firstLine="709"/>
        <w:jc w:val="both"/>
        <w:rPr>
          <w:lang w:val="es-ES"/>
        </w:rPr>
      </w:pPr>
    </w:p>
    <w:p w14:paraId="0BE6F7C0" w14:textId="77777777" w:rsidR="00A83FC6" w:rsidRPr="00A10C4D" w:rsidRDefault="00A83FC6" w:rsidP="00A83FC6">
      <w:pPr>
        <w:spacing w:line="360" w:lineRule="auto"/>
        <w:jc w:val="center"/>
        <w:rPr>
          <w:b/>
          <w:bCs/>
          <w:sz w:val="32"/>
          <w:szCs w:val="32"/>
          <w:lang w:val="es-ES"/>
        </w:rPr>
      </w:pPr>
      <w:r w:rsidRPr="00A10C4D">
        <w:rPr>
          <w:b/>
          <w:bCs/>
          <w:sz w:val="32"/>
          <w:szCs w:val="32"/>
          <w:lang w:val="es-ES"/>
        </w:rPr>
        <w:t>Conclusiones</w:t>
      </w:r>
    </w:p>
    <w:p w14:paraId="36BB4AB5" w14:textId="77777777" w:rsidR="00A83FC6" w:rsidRDefault="00A83FC6" w:rsidP="00A83FC6">
      <w:pPr>
        <w:spacing w:line="360" w:lineRule="auto"/>
        <w:ind w:firstLine="709"/>
        <w:jc w:val="both"/>
        <w:rPr>
          <w:lang w:val="es-ES"/>
        </w:rPr>
      </w:pPr>
      <w:r>
        <w:rPr>
          <w:lang w:val="es-ES"/>
        </w:rPr>
        <w:t xml:space="preserve">Validar una escala de medida mediante el análisis factorial confirmatorio (AFC) permitió explicar toda la técnica estadística y mostrar de qué manera se consigue la fiabilidad y validez del modelo. En las ciencias sociales y del comportamiento, este tipo de técnicas es recomendable, siempre que se cumplan los supuestos paramétricos que exige la técnica (principalmente, la normalidad de los datos y el tamaño de la muestra), lo que </w:t>
      </w:r>
      <w:r w:rsidRPr="00A854B0">
        <w:rPr>
          <w:lang w:val="es-ES"/>
        </w:rPr>
        <w:t xml:space="preserve">sería una de las exigencias paramétricas. </w:t>
      </w:r>
    </w:p>
    <w:p w14:paraId="4A2DBFF2" w14:textId="77777777" w:rsidR="00A83FC6" w:rsidRDefault="00A83FC6" w:rsidP="00A83FC6">
      <w:pPr>
        <w:spacing w:line="360" w:lineRule="auto"/>
        <w:ind w:firstLine="709"/>
        <w:jc w:val="both"/>
        <w:rPr>
          <w:lang w:val="es-ES"/>
        </w:rPr>
      </w:pPr>
      <w:r>
        <w:rPr>
          <w:lang w:val="es-ES"/>
        </w:rPr>
        <w:t>En tal sentido</w:t>
      </w:r>
      <w:r w:rsidRPr="00A854B0">
        <w:rPr>
          <w:lang w:val="es-ES"/>
        </w:rPr>
        <w:t>, esta técnica tiene las siguientes bondades: 1) permite evaluar modelos de medida de muestras grandes, 2) es una técnica robusta en su algoritmo matemático, 3) permite probar una escala de medida sustentada en la teoría, y 4) existen diversos</w:t>
      </w:r>
      <w:r w:rsidRPr="00095E05">
        <w:rPr>
          <w:i/>
          <w:lang w:val="es-ES"/>
        </w:rPr>
        <w:t xml:space="preserve"> softwares</w:t>
      </w:r>
      <w:r w:rsidRPr="00A854B0">
        <w:rPr>
          <w:lang w:val="es-ES"/>
        </w:rPr>
        <w:t xml:space="preserve"> estadísticos para poder aplicarla, como Amos, EQS, </w:t>
      </w:r>
      <w:proofErr w:type="spellStart"/>
      <w:r w:rsidRPr="00A854B0">
        <w:rPr>
          <w:lang w:val="es-ES"/>
        </w:rPr>
        <w:t>Lisrel</w:t>
      </w:r>
      <w:proofErr w:type="spellEnd"/>
      <w:r w:rsidRPr="00A854B0">
        <w:rPr>
          <w:lang w:val="es-ES"/>
        </w:rPr>
        <w:t xml:space="preserve">, entre otros. </w:t>
      </w:r>
      <w:r>
        <w:rPr>
          <w:lang w:val="es-ES"/>
        </w:rPr>
        <w:t xml:space="preserve">En cuanto a </w:t>
      </w:r>
      <w:r w:rsidRPr="00A854B0">
        <w:rPr>
          <w:lang w:val="es-ES"/>
        </w:rPr>
        <w:t>las debilidades, no es recomendable para muestras pequeñas</w:t>
      </w:r>
      <w:r>
        <w:rPr>
          <w:lang w:val="es-ES"/>
        </w:rPr>
        <w:t xml:space="preserve"> ni </w:t>
      </w:r>
      <w:r w:rsidRPr="00A854B0">
        <w:rPr>
          <w:lang w:val="es-ES"/>
        </w:rPr>
        <w:t>para estadística no paramétrica.</w:t>
      </w:r>
    </w:p>
    <w:p w14:paraId="5829779C" w14:textId="77777777" w:rsidR="00A83FC6" w:rsidRDefault="00A83FC6" w:rsidP="00A83FC6">
      <w:pPr>
        <w:spacing w:line="360" w:lineRule="auto"/>
        <w:ind w:firstLine="709"/>
        <w:jc w:val="both"/>
        <w:rPr>
          <w:lang w:val="es-ES"/>
        </w:rPr>
      </w:pPr>
      <w:r>
        <w:rPr>
          <w:lang w:val="es-ES"/>
        </w:rPr>
        <w:t xml:space="preserve">En resumen, el modelo factorial confirmatorio muestra la validación de las cuatro dimensiones sustentado en la revisión de la literatura, específicamente a través de los índices </w:t>
      </w:r>
      <w:r w:rsidRPr="00A07D32">
        <w:rPr>
          <w:lang w:val="es-ES"/>
        </w:rPr>
        <w:t>de bondad de ajuste de tres tipologías de ajuste global</w:t>
      </w:r>
      <w:r>
        <w:rPr>
          <w:lang w:val="es-ES"/>
        </w:rPr>
        <w:t xml:space="preserve"> con los parámetros establecidos, lo que indica que el modelo factorial presenta fiabilidad, validez y se ajusta correctamente a sus factores. </w:t>
      </w:r>
    </w:p>
    <w:p w14:paraId="49DE8D90" w14:textId="75D99435" w:rsidR="00A83FC6" w:rsidRDefault="00A83FC6" w:rsidP="00A83FC6">
      <w:pPr>
        <w:spacing w:line="360" w:lineRule="auto"/>
        <w:ind w:firstLine="709"/>
        <w:jc w:val="both"/>
        <w:rPr>
          <w:lang w:val="es-ES"/>
        </w:rPr>
      </w:pPr>
    </w:p>
    <w:p w14:paraId="37179FCE" w14:textId="77777777" w:rsidR="000B2144" w:rsidRDefault="000B2144" w:rsidP="00A83FC6">
      <w:pPr>
        <w:spacing w:line="360" w:lineRule="auto"/>
        <w:ind w:firstLine="709"/>
        <w:jc w:val="both"/>
        <w:rPr>
          <w:lang w:val="es-ES"/>
        </w:rPr>
      </w:pPr>
    </w:p>
    <w:p w14:paraId="79E9AABF" w14:textId="77777777" w:rsidR="00A83FC6" w:rsidRPr="0006756E" w:rsidRDefault="00A83FC6" w:rsidP="00A83FC6">
      <w:pPr>
        <w:pStyle w:val="Prrafodelista"/>
        <w:spacing w:after="0" w:line="360" w:lineRule="auto"/>
        <w:ind w:left="780"/>
        <w:jc w:val="center"/>
        <w:rPr>
          <w:rFonts w:ascii="Times New Roman" w:hAnsi="Times New Roman" w:cs="Times New Roman"/>
          <w:b/>
          <w:bCs/>
          <w:sz w:val="28"/>
          <w:szCs w:val="32"/>
          <w:lang w:val="es-ES"/>
        </w:rPr>
      </w:pPr>
      <w:r w:rsidRPr="0006756E">
        <w:rPr>
          <w:rFonts w:ascii="Times New Roman" w:hAnsi="Times New Roman" w:cs="Times New Roman"/>
          <w:b/>
          <w:bCs/>
          <w:sz w:val="28"/>
          <w:szCs w:val="32"/>
          <w:lang w:val="es-ES"/>
        </w:rPr>
        <w:lastRenderedPageBreak/>
        <w:t>Futuras líneas de investigación</w:t>
      </w:r>
    </w:p>
    <w:p w14:paraId="14484EA3" w14:textId="77777777" w:rsidR="00A83FC6" w:rsidRDefault="00A83FC6" w:rsidP="00A83FC6">
      <w:pPr>
        <w:spacing w:line="360" w:lineRule="auto"/>
        <w:ind w:firstLine="709"/>
        <w:jc w:val="both"/>
        <w:rPr>
          <w:lang w:val="es-ES"/>
        </w:rPr>
      </w:pPr>
      <w:r>
        <w:rPr>
          <w:lang w:val="es-ES"/>
        </w:rPr>
        <w:t xml:space="preserve">El modelo propuesto por </w:t>
      </w:r>
      <w:r w:rsidRPr="00A07D32">
        <w:rPr>
          <w:lang w:val="es-ES"/>
        </w:rPr>
        <w:t xml:space="preserve">Nonaka, Toyama </w:t>
      </w:r>
      <w:r>
        <w:rPr>
          <w:lang w:val="es-ES"/>
        </w:rPr>
        <w:t>y</w:t>
      </w:r>
      <w:r w:rsidRPr="00A07D32">
        <w:rPr>
          <w:lang w:val="es-ES"/>
        </w:rPr>
        <w:t xml:space="preserve"> </w:t>
      </w:r>
      <w:proofErr w:type="spellStart"/>
      <w:r w:rsidRPr="00A07D32">
        <w:rPr>
          <w:lang w:val="es-ES"/>
        </w:rPr>
        <w:t>Byosiere</w:t>
      </w:r>
      <w:proofErr w:type="spellEnd"/>
      <w:r w:rsidRPr="00A07D32">
        <w:rPr>
          <w:lang w:val="es-ES"/>
        </w:rPr>
        <w:t xml:space="preserve"> (2001) describe los cuatro modos de conversión o creación del conocimiento</w:t>
      </w:r>
      <w:r>
        <w:rPr>
          <w:lang w:val="es-ES"/>
        </w:rPr>
        <w:t xml:space="preserve"> que pueden ser aplicados en cualquier organización. Por eso, se alienta a investigadores para que amplíen este trabajo a través de pruebas empíricas que usen este </w:t>
      </w:r>
      <w:proofErr w:type="gramStart"/>
      <w:r>
        <w:rPr>
          <w:lang w:val="es-ES"/>
        </w:rPr>
        <w:t>modelo</w:t>
      </w:r>
      <w:proofErr w:type="gramEnd"/>
      <w:r>
        <w:rPr>
          <w:lang w:val="es-ES"/>
        </w:rPr>
        <w:t xml:space="preserve"> aunque con otros constructos, ya sean de primer orden o de orden superior. Además, el modelo puede ser estudiado como una variable independiente o dependiente, o fungir como un constructo mediador o moderador.</w:t>
      </w:r>
    </w:p>
    <w:p w14:paraId="34FD7066" w14:textId="77777777" w:rsidR="00A83FC6" w:rsidRPr="00A07D32" w:rsidRDefault="00A83FC6" w:rsidP="00A83FC6">
      <w:pPr>
        <w:spacing w:line="360" w:lineRule="auto"/>
        <w:ind w:firstLine="709"/>
        <w:jc w:val="both"/>
        <w:rPr>
          <w:szCs w:val="28"/>
          <w:lang w:val="es-ES"/>
        </w:rPr>
      </w:pPr>
    </w:p>
    <w:p w14:paraId="79CDC0D5" w14:textId="77777777" w:rsidR="00A83FC6" w:rsidRPr="001375BD" w:rsidRDefault="00A83FC6" w:rsidP="00A83FC6">
      <w:pPr>
        <w:spacing w:line="360" w:lineRule="auto"/>
        <w:rPr>
          <w:rFonts w:asciiTheme="minorHAnsi" w:hAnsiTheme="minorHAnsi" w:cstheme="minorHAnsi"/>
          <w:b/>
          <w:iCs/>
          <w:sz w:val="28"/>
          <w:szCs w:val="28"/>
          <w:lang w:val="en-GB"/>
        </w:rPr>
      </w:pPr>
      <w:proofErr w:type="spellStart"/>
      <w:r w:rsidRPr="001375BD">
        <w:rPr>
          <w:rFonts w:asciiTheme="minorHAnsi" w:hAnsiTheme="minorHAnsi" w:cstheme="minorHAnsi"/>
          <w:b/>
          <w:iCs/>
          <w:sz w:val="28"/>
          <w:szCs w:val="28"/>
          <w:lang w:val="en-GB"/>
        </w:rPr>
        <w:t>Referencias</w:t>
      </w:r>
      <w:proofErr w:type="spellEnd"/>
      <w:r w:rsidRPr="001375BD">
        <w:rPr>
          <w:rFonts w:asciiTheme="minorHAnsi" w:hAnsiTheme="minorHAnsi" w:cstheme="minorHAnsi"/>
          <w:b/>
          <w:iCs/>
          <w:sz w:val="28"/>
          <w:szCs w:val="28"/>
          <w:lang w:val="en-GB"/>
        </w:rPr>
        <w:t xml:space="preserve"> </w:t>
      </w:r>
    </w:p>
    <w:p w14:paraId="656BAC07"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GB"/>
        </w:rPr>
        <w:t xml:space="preserve">Anderson, J. C. and </w:t>
      </w:r>
      <w:proofErr w:type="spellStart"/>
      <w:r w:rsidRPr="001375BD">
        <w:rPr>
          <w:color w:val="auto"/>
          <w:lang w:val="en-GB"/>
        </w:rPr>
        <w:t>Gerbing</w:t>
      </w:r>
      <w:proofErr w:type="spellEnd"/>
      <w:r w:rsidRPr="001375BD">
        <w:rPr>
          <w:color w:val="auto"/>
          <w:lang w:val="en-GB"/>
        </w:rPr>
        <w:t xml:space="preserve">, D.W. (1984). </w:t>
      </w:r>
      <w:r w:rsidRPr="001375BD">
        <w:rPr>
          <w:color w:val="auto"/>
          <w:lang w:val="en-US"/>
        </w:rPr>
        <w:t xml:space="preserve">The </w:t>
      </w:r>
      <w:proofErr w:type="spellStart"/>
      <w:r w:rsidRPr="001375BD">
        <w:rPr>
          <w:color w:val="auto"/>
          <w:lang w:val="en-US"/>
        </w:rPr>
        <w:t>Efecct</w:t>
      </w:r>
      <w:proofErr w:type="spellEnd"/>
      <w:r w:rsidRPr="001375BD">
        <w:rPr>
          <w:color w:val="auto"/>
          <w:lang w:val="en-US"/>
        </w:rPr>
        <w:t xml:space="preserve"> of Sampling Error on Convergence, Improper Solutions and Goodness-of-Fit Indices for </w:t>
      </w:r>
      <w:proofErr w:type="spellStart"/>
      <w:r w:rsidRPr="001375BD">
        <w:rPr>
          <w:color w:val="auto"/>
          <w:lang w:val="en-US"/>
        </w:rPr>
        <w:t>Maximun</w:t>
      </w:r>
      <w:proofErr w:type="spellEnd"/>
      <w:r w:rsidRPr="001375BD">
        <w:rPr>
          <w:color w:val="auto"/>
          <w:lang w:val="en-US"/>
        </w:rPr>
        <w:t xml:space="preserve"> Likelihood </w:t>
      </w:r>
      <w:proofErr w:type="spellStart"/>
      <w:r w:rsidRPr="001375BD">
        <w:rPr>
          <w:color w:val="auto"/>
          <w:lang w:val="en-US"/>
        </w:rPr>
        <w:t>Confrmatory</w:t>
      </w:r>
      <w:proofErr w:type="spellEnd"/>
      <w:r w:rsidRPr="001375BD">
        <w:rPr>
          <w:color w:val="auto"/>
          <w:lang w:val="en-US"/>
        </w:rPr>
        <w:t xml:space="preserve"> Factor Analysis. </w:t>
      </w:r>
      <w:r w:rsidRPr="001375BD">
        <w:rPr>
          <w:i/>
          <w:color w:val="auto"/>
          <w:lang w:val="en-US"/>
        </w:rPr>
        <w:t>Psychometrika</w:t>
      </w:r>
      <w:r w:rsidRPr="001375BD">
        <w:rPr>
          <w:color w:val="auto"/>
          <w:lang w:val="en-US"/>
        </w:rPr>
        <w:t xml:space="preserve">, </w:t>
      </w:r>
      <w:r w:rsidRPr="001375BD">
        <w:rPr>
          <w:i/>
          <w:color w:val="auto"/>
          <w:lang w:val="en-US"/>
        </w:rPr>
        <w:t>49</w:t>
      </w:r>
      <w:r w:rsidRPr="001375BD">
        <w:rPr>
          <w:color w:val="auto"/>
          <w:lang w:val="en-US"/>
        </w:rPr>
        <w:t>(2), 155-173.</w:t>
      </w:r>
    </w:p>
    <w:p w14:paraId="6EB38419" w14:textId="77777777" w:rsidR="00A83FC6" w:rsidRPr="001375BD" w:rsidRDefault="00A83FC6" w:rsidP="00A83FC6">
      <w:pPr>
        <w:spacing w:line="360" w:lineRule="auto"/>
        <w:ind w:left="709" w:hanging="709"/>
        <w:jc w:val="both"/>
        <w:rPr>
          <w:lang w:val="en-US"/>
        </w:rPr>
      </w:pPr>
      <w:r w:rsidRPr="001375BD">
        <w:rPr>
          <w:lang w:val="en-US"/>
        </w:rPr>
        <w:t>Barney, J. (1991). Firm resources and sustained competitive advantage. Journal of Management, 17(1), 99– 120.</w:t>
      </w:r>
    </w:p>
    <w:p w14:paraId="77DFA113" w14:textId="77777777" w:rsidR="00A83FC6" w:rsidRPr="001375BD" w:rsidRDefault="00A83FC6" w:rsidP="00A83FC6">
      <w:pPr>
        <w:spacing w:line="360" w:lineRule="auto"/>
        <w:ind w:left="709" w:hanging="709"/>
        <w:jc w:val="both"/>
        <w:rPr>
          <w:lang w:val="en-US"/>
        </w:rPr>
      </w:pPr>
      <w:r w:rsidRPr="001375BD">
        <w:rPr>
          <w:lang w:val="en-US"/>
        </w:rPr>
        <w:t>Barney, J. B. (2001). Resource-based theories of competitive advantage: a ten-year retrospective on the resource-based view. Journal of Management, 27(1), 643–650.</w:t>
      </w:r>
    </w:p>
    <w:p w14:paraId="5933489E" w14:textId="77777777" w:rsidR="00A83FC6" w:rsidRPr="001375BD" w:rsidRDefault="00A83FC6" w:rsidP="00A83FC6">
      <w:pPr>
        <w:spacing w:line="360" w:lineRule="auto"/>
        <w:ind w:left="709" w:hanging="709"/>
        <w:jc w:val="both"/>
        <w:rPr>
          <w:lang w:val="en-US"/>
        </w:rPr>
      </w:pPr>
      <w:r w:rsidRPr="001375BD">
        <w:rPr>
          <w:lang w:val="en-US"/>
        </w:rPr>
        <w:t xml:space="preserve">Barney, J. B., </w:t>
      </w:r>
      <w:proofErr w:type="spellStart"/>
      <w:r w:rsidRPr="001375BD">
        <w:rPr>
          <w:lang w:val="en-US"/>
        </w:rPr>
        <w:t>Ketchen</w:t>
      </w:r>
      <w:proofErr w:type="spellEnd"/>
      <w:r w:rsidRPr="001375BD">
        <w:rPr>
          <w:lang w:val="en-US"/>
        </w:rPr>
        <w:t>, D. J., &amp; Wright, M. (2011). The Future of Resource-Based Theory: Revitalization or Decline? Journal of Management, 37(5), 1299–1315.</w:t>
      </w:r>
    </w:p>
    <w:p w14:paraId="1F75B2D6" w14:textId="77777777" w:rsidR="00A83FC6" w:rsidRPr="001375BD" w:rsidRDefault="00A83FC6" w:rsidP="00A83FC6">
      <w:pPr>
        <w:spacing w:line="360" w:lineRule="auto"/>
        <w:ind w:left="709" w:hanging="709"/>
        <w:jc w:val="both"/>
        <w:rPr>
          <w:lang w:val="en-US"/>
        </w:rPr>
      </w:pPr>
      <w:r w:rsidRPr="001375BD">
        <w:rPr>
          <w:lang w:val="en-US"/>
        </w:rPr>
        <w:t xml:space="preserve">Barney, J. B., </w:t>
      </w:r>
      <w:proofErr w:type="spellStart"/>
      <w:r w:rsidRPr="001375BD">
        <w:rPr>
          <w:lang w:val="en-US"/>
        </w:rPr>
        <w:t>Ketchen</w:t>
      </w:r>
      <w:proofErr w:type="spellEnd"/>
      <w:r w:rsidRPr="001375BD">
        <w:rPr>
          <w:lang w:val="en-US"/>
        </w:rPr>
        <w:t>, D. J., &amp; Wright, M. (2011). The Future of Resource-Based Theory: Revitalization or Decline? Journal of Management, 37(5), 1299–1315.</w:t>
      </w:r>
    </w:p>
    <w:p w14:paraId="015A82A1" w14:textId="77777777" w:rsidR="00A83FC6" w:rsidRPr="001375BD" w:rsidRDefault="00A83FC6" w:rsidP="00A83FC6">
      <w:pPr>
        <w:spacing w:line="360" w:lineRule="auto"/>
        <w:ind w:left="709" w:hanging="709"/>
        <w:jc w:val="both"/>
        <w:rPr>
          <w:lang w:val="en-US"/>
        </w:rPr>
      </w:pPr>
      <w:proofErr w:type="spellStart"/>
      <w:r w:rsidRPr="001375BD">
        <w:rPr>
          <w:lang w:val="en-US"/>
        </w:rPr>
        <w:t>Bagozzi</w:t>
      </w:r>
      <w:proofErr w:type="spellEnd"/>
      <w:r w:rsidRPr="001375BD">
        <w:rPr>
          <w:lang w:val="en-US"/>
        </w:rPr>
        <w:t xml:space="preserve">, R. (1994). Structural equation models in marketing research: Basic principles. </w:t>
      </w:r>
      <w:proofErr w:type="spellStart"/>
      <w:r w:rsidRPr="001375BD">
        <w:rPr>
          <w:lang w:val="en-US"/>
        </w:rPr>
        <w:t>En</w:t>
      </w:r>
      <w:proofErr w:type="spellEnd"/>
      <w:r w:rsidRPr="001375BD">
        <w:rPr>
          <w:lang w:val="en-US"/>
        </w:rPr>
        <w:t xml:space="preserve"> R. </w:t>
      </w:r>
      <w:proofErr w:type="spellStart"/>
      <w:r w:rsidRPr="001375BD">
        <w:rPr>
          <w:lang w:val="en-US"/>
        </w:rPr>
        <w:t>Bagozzi</w:t>
      </w:r>
      <w:proofErr w:type="spellEnd"/>
      <w:r w:rsidRPr="001375BD">
        <w:rPr>
          <w:lang w:val="en-US"/>
        </w:rPr>
        <w:t xml:space="preserve"> (Ed), Principles of marketing research (pp. 317-385). Oxford, </w:t>
      </w:r>
      <w:proofErr w:type="spellStart"/>
      <w:r w:rsidRPr="001375BD">
        <w:rPr>
          <w:lang w:val="en-US"/>
        </w:rPr>
        <w:t>Reino</w:t>
      </w:r>
      <w:proofErr w:type="spellEnd"/>
      <w:r w:rsidRPr="001375BD">
        <w:rPr>
          <w:lang w:val="en-US"/>
        </w:rPr>
        <w:t xml:space="preserve"> </w:t>
      </w:r>
      <w:proofErr w:type="spellStart"/>
      <w:r w:rsidRPr="001375BD">
        <w:rPr>
          <w:lang w:val="en-US"/>
        </w:rPr>
        <w:t>Unido</w:t>
      </w:r>
      <w:proofErr w:type="spellEnd"/>
      <w:r w:rsidRPr="001375BD">
        <w:rPr>
          <w:lang w:val="en-US"/>
        </w:rPr>
        <w:t>: Blackwell.</w:t>
      </w:r>
    </w:p>
    <w:p w14:paraId="08520786"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Belsley</w:t>
      </w:r>
      <w:proofErr w:type="spellEnd"/>
      <w:r w:rsidRPr="001375BD">
        <w:rPr>
          <w:color w:val="auto"/>
          <w:lang w:val="en-US"/>
        </w:rPr>
        <w:t xml:space="preserve">, D. A. (1991). A guide to using the collinearity diagnostics. </w:t>
      </w:r>
      <w:r w:rsidRPr="001375BD">
        <w:rPr>
          <w:i/>
          <w:color w:val="auto"/>
          <w:lang w:val="en-US"/>
        </w:rPr>
        <w:t>Computer Science in Economics and Management</w:t>
      </w:r>
      <w:r w:rsidRPr="001375BD">
        <w:rPr>
          <w:color w:val="auto"/>
          <w:lang w:val="en-US"/>
        </w:rPr>
        <w:t xml:space="preserve">, </w:t>
      </w:r>
      <w:r w:rsidRPr="001375BD">
        <w:rPr>
          <w:i/>
          <w:color w:val="auto"/>
          <w:lang w:val="en-US"/>
        </w:rPr>
        <w:t>4</w:t>
      </w:r>
      <w:r w:rsidRPr="001375BD">
        <w:rPr>
          <w:color w:val="auto"/>
          <w:lang w:val="en-US"/>
        </w:rPr>
        <w:t>, 33-50.</w:t>
      </w:r>
    </w:p>
    <w:p w14:paraId="4DF75986"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Bollen</w:t>
      </w:r>
      <w:proofErr w:type="spellEnd"/>
      <w:r w:rsidRPr="001375BD">
        <w:rPr>
          <w:color w:val="auto"/>
          <w:lang w:val="en-US"/>
        </w:rPr>
        <w:t xml:space="preserve">, K. A. (1989). A new incremental fit index for general structural equation models. </w:t>
      </w:r>
      <w:r w:rsidRPr="001375BD">
        <w:rPr>
          <w:i/>
          <w:color w:val="auto"/>
          <w:lang w:val="en-US"/>
        </w:rPr>
        <w:t>Sociological Methods y Research</w:t>
      </w:r>
      <w:r w:rsidRPr="001375BD">
        <w:rPr>
          <w:color w:val="auto"/>
          <w:lang w:val="en-US"/>
        </w:rPr>
        <w:t xml:space="preserve">, </w:t>
      </w:r>
      <w:r w:rsidRPr="001375BD">
        <w:rPr>
          <w:i/>
          <w:color w:val="auto"/>
          <w:lang w:val="en-US"/>
        </w:rPr>
        <w:t>17</w:t>
      </w:r>
      <w:r w:rsidRPr="001375BD">
        <w:rPr>
          <w:color w:val="auto"/>
          <w:lang w:val="en-US"/>
        </w:rPr>
        <w:t>(3), 303-316.</w:t>
      </w:r>
    </w:p>
    <w:p w14:paraId="253257B7" w14:textId="77777777" w:rsidR="00A83FC6" w:rsidRPr="001375BD" w:rsidRDefault="00A83FC6" w:rsidP="00A83FC6">
      <w:pPr>
        <w:pStyle w:val="Default"/>
        <w:spacing w:line="360" w:lineRule="auto"/>
        <w:ind w:left="709" w:hanging="709"/>
        <w:jc w:val="both"/>
        <w:rPr>
          <w:color w:val="auto"/>
        </w:rPr>
      </w:pPr>
      <w:r w:rsidRPr="001375BD">
        <w:rPr>
          <w:color w:val="auto"/>
          <w:lang w:val="en-US"/>
        </w:rPr>
        <w:t xml:space="preserve">Byrne, B. M. (2010). </w:t>
      </w:r>
      <w:r w:rsidRPr="001375BD">
        <w:rPr>
          <w:i/>
          <w:color w:val="auto"/>
          <w:lang w:val="en-US"/>
        </w:rPr>
        <w:t>Structural Equation Modeling With AMOS</w:t>
      </w:r>
      <w:r w:rsidRPr="001375BD">
        <w:rPr>
          <w:color w:val="auto"/>
          <w:lang w:val="en-US"/>
        </w:rPr>
        <w:t xml:space="preserve">. </w:t>
      </w:r>
      <w:r w:rsidRPr="001375BD">
        <w:rPr>
          <w:color w:val="auto"/>
        </w:rPr>
        <w:t>USA: Routledge.</w:t>
      </w:r>
    </w:p>
    <w:p w14:paraId="175BC42D" w14:textId="77777777" w:rsidR="00A83FC6" w:rsidRPr="001375BD" w:rsidRDefault="00A83FC6" w:rsidP="00A83FC6">
      <w:pPr>
        <w:spacing w:line="360" w:lineRule="auto"/>
        <w:ind w:left="709" w:hanging="709"/>
        <w:jc w:val="both"/>
      </w:pPr>
      <w:r w:rsidRPr="001375BD">
        <w:t xml:space="preserve">Castañeda, M.B., Cabrera, A.F., Navarro, Y., DeVries, W. (2010). Procesamiento de datos y análisis estadísticos utilizando SPSS. Brasil: </w:t>
      </w:r>
      <w:r w:rsidRPr="001375BD">
        <w:rPr>
          <w:rFonts w:ascii="Arial" w:hAnsi="Arial" w:cs="Arial"/>
          <w:sz w:val="16"/>
          <w:szCs w:val="16"/>
          <w:shd w:val="clear" w:color="auto" w:fill="FFFFFF"/>
        </w:rPr>
        <w:t>EDIPUCRS – Editora Universitária da PUCRS</w:t>
      </w:r>
    </w:p>
    <w:p w14:paraId="3681AAC5"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lastRenderedPageBreak/>
        <w:t xml:space="preserve">Choi, B. and Lee, H. (2000). </w:t>
      </w:r>
      <w:r w:rsidRPr="001375BD">
        <w:rPr>
          <w:i/>
          <w:color w:val="auto"/>
          <w:lang w:val="en-US"/>
        </w:rPr>
        <w:t>Knowledge management enablers, processes, and organizational performance: An integration and empirical examination</w:t>
      </w:r>
      <w:r w:rsidRPr="001375BD">
        <w:rPr>
          <w:color w:val="auto"/>
          <w:lang w:val="en-US"/>
        </w:rPr>
        <w:t>. APDSI, 2000.</w:t>
      </w:r>
    </w:p>
    <w:p w14:paraId="278118CA"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Choi, B. and </w:t>
      </w:r>
      <w:proofErr w:type="spellStart"/>
      <w:r w:rsidRPr="001375BD">
        <w:rPr>
          <w:color w:val="auto"/>
          <w:lang w:val="en-US"/>
        </w:rPr>
        <w:t>Heeseok</w:t>
      </w:r>
      <w:proofErr w:type="spellEnd"/>
      <w:r w:rsidRPr="001375BD">
        <w:rPr>
          <w:color w:val="auto"/>
          <w:lang w:val="en-US"/>
        </w:rPr>
        <w:t xml:space="preserve">, L. (2002). Knowledge management strategy and its link to knowledge creation process. </w:t>
      </w:r>
      <w:r w:rsidRPr="001375BD">
        <w:rPr>
          <w:i/>
          <w:color w:val="auto"/>
          <w:lang w:val="en-US"/>
        </w:rPr>
        <w:t>Expert Systems with Applications</w:t>
      </w:r>
      <w:r w:rsidRPr="001375BD">
        <w:rPr>
          <w:color w:val="auto"/>
          <w:lang w:val="en-US"/>
        </w:rPr>
        <w:t xml:space="preserve">, </w:t>
      </w:r>
      <w:r w:rsidRPr="001375BD">
        <w:rPr>
          <w:i/>
          <w:color w:val="auto"/>
          <w:lang w:val="en-US"/>
        </w:rPr>
        <w:t>23</w:t>
      </w:r>
      <w:r w:rsidRPr="001375BD">
        <w:rPr>
          <w:color w:val="auto"/>
          <w:lang w:val="en-US"/>
        </w:rPr>
        <w:t>(3), 173-187.</w:t>
      </w:r>
    </w:p>
    <w:p w14:paraId="1EA0D354"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Chou, Y. and Ta, Y. (2005). The Implementation of Knowledge Management System in Taiwan’s Higher Education. </w:t>
      </w:r>
      <w:r w:rsidRPr="001375BD">
        <w:rPr>
          <w:i/>
          <w:color w:val="auto"/>
          <w:lang w:val="en-US"/>
        </w:rPr>
        <w:t>Journal of College Teaching and Learning</w:t>
      </w:r>
      <w:r w:rsidRPr="001375BD">
        <w:rPr>
          <w:color w:val="auto"/>
          <w:lang w:val="en-US"/>
        </w:rPr>
        <w:t xml:space="preserve">, </w:t>
      </w:r>
      <w:r w:rsidRPr="001375BD">
        <w:rPr>
          <w:i/>
          <w:color w:val="auto"/>
          <w:lang w:val="en-US"/>
        </w:rPr>
        <w:t>2</w:t>
      </w:r>
      <w:r w:rsidRPr="001375BD">
        <w:rPr>
          <w:color w:val="auto"/>
          <w:lang w:val="en-US"/>
        </w:rPr>
        <w:t>(9), 35-42.</w:t>
      </w:r>
    </w:p>
    <w:p w14:paraId="1AD7FE1B"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Cronbach, L. J. (1951). Coefficient Alpha and the Internal Structure of Test. </w:t>
      </w:r>
      <w:proofErr w:type="spellStart"/>
      <w:r w:rsidRPr="001375BD">
        <w:rPr>
          <w:i/>
          <w:color w:val="auto"/>
          <w:lang w:val="en-US"/>
        </w:rPr>
        <w:t>Psychometrica</w:t>
      </w:r>
      <w:proofErr w:type="spellEnd"/>
      <w:r w:rsidRPr="001375BD">
        <w:rPr>
          <w:color w:val="auto"/>
          <w:lang w:val="en-US"/>
        </w:rPr>
        <w:t xml:space="preserve">, </w:t>
      </w:r>
      <w:r w:rsidRPr="001375BD">
        <w:rPr>
          <w:i/>
          <w:color w:val="auto"/>
          <w:lang w:val="en-US"/>
        </w:rPr>
        <w:t>16</w:t>
      </w:r>
      <w:r w:rsidRPr="001375BD">
        <w:rPr>
          <w:color w:val="auto"/>
          <w:lang w:val="en-US"/>
        </w:rPr>
        <w:t>, 297-334.</w:t>
      </w:r>
    </w:p>
    <w:p w14:paraId="6B3C1B50" w14:textId="77777777" w:rsidR="00A83FC6" w:rsidRPr="001375BD" w:rsidRDefault="00A83FC6" w:rsidP="00A83FC6">
      <w:pPr>
        <w:pStyle w:val="Default"/>
        <w:spacing w:line="360" w:lineRule="auto"/>
        <w:ind w:left="709" w:hanging="709"/>
        <w:jc w:val="both"/>
        <w:rPr>
          <w:color w:val="auto"/>
          <w:lang w:val="en-US"/>
        </w:rPr>
      </w:pPr>
      <w:proofErr w:type="gramStart"/>
      <w:r w:rsidRPr="001375BD">
        <w:rPr>
          <w:color w:val="auto"/>
          <w:lang w:val="en-US"/>
        </w:rPr>
        <w:t>Diamantopoulos,  A.</w:t>
      </w:r>
      <w:proofErr w:type="gramEnd"/>
      <w:r w:rsidRPr="001375BD">
        <w:rPr>
          <w:color w:val="auto"/>
          <w:lang w:val="en-US"/>
        </w:rPr>
        <w:t xml:space="preserve">  </w:t>
      </w:r>
      <w:proofErr w:type="spellStart"/>
      <w:proofErr w:type="gramStart"/>
      <w:r w:rsidRPr="001375BD">
        <w:rPr>
          <w:color w:val="auto"/>
          <w:lang w:val="en-US"/>
        </w:rPr>
        <w:t>ySiguaw</w:t>
      </w:r>
      <w:proofErr w:type="spellEnd"/>
      <w:r w:rsidRPr="001375BD">
        <w:rPr>
          <w:color w:val="auto"/>
          <w:lang w:val="en-US"/>
        </w:rPr>
        <w:t>,  J.</w:t>
      </w:r>
      <w:proofErr w:type="gramEnd"/>
      <w:r w:rsidRPr="001375BD">
        <w:rPr>
          <w:color w:val="auto"/>
          <w:lang w:val="en-US"/>
        </w:rPr>
        <w:t xml:space="preserve">  (2006). Formative versus Reflective Indicators in Organizational Measure </w:t>
      </w:r>
      <w:proofErr w:type="spellStart"/>
      <w:proofErr w:type="gramStart"/>
      <w:r w:rsidRPr="001375BD">
        <w:rPr>
          <w:color w:val="auto"/>
          <w:lang w:val="en-US"/>
        </w:rPr>
        <w:t>Development:Comparison</w:t>
      </w:r>
      <w:proofErr w:type="spellEnd"/>
      <w:proofErr w:type="gramEnd"/>
      <w:r w:rsidRPr="001375BD">
        <w:rPr>
          <w:color w:val="auto"/>
          <w:lang w:val="en-US"/>
        </w:rPr>
        <w:t xml:space="preserve"> and Empirical Il lustration. </w:t>
      </w:r>
      <w:r w:rsidRPr="001375BD">
        <w:rPr>
          <w:i/>
          <w:iCs/>
          <w:color w:val="auto"/>
          <w:lang w:val="en-US"/>
        </w:rPr>
        <w:t>British Journal of Management</w:t>
      </w:r>
      <w:r w:rsidRPr="001375BD">
        <w:rPr>
          <w:color w:val="auto"/>
          <w:lang w:val="en-US"/>
        </w:rPr>
        <w:t>, 17(4), 263-282</w:t>
      </w:r>
    </w:p>
    <w:p w14:paraId="7BF0AD2B" w14:textId="77777777" w:rsidR="00A83FC6" w:rsidRPr="001375BD" w:rsidRDefault="00A83FC6" w:rsidP="00A83FC6">
      <w:pPr>
        <w:pStyle w:val="Default"/>
        <w:spacing w:line="360" w:lineRule="auto"/>
        <w:ind w:left="709" w:hanging="709"/>
        <w:jc w:val="both"/>
        <w:rPr>
          <w:color w:val="auto"/>
          <w:lang w:val="en-GB"/>
        </w:rPr>
      </w:pPr>
      <w:r w:rsidRPr="001375BD">
        <w:rPr>
          <w:color w:val="auto"/>
          <w:lang w:val="en-US"/>
        </w:rPr>
        <w:t xml:space="preserve">Drucker, P. F. (1993). </w:t>
      </w:r>
      <w:r w:rsidRPr="001375BD">
        <w:rPr>
          <w:i/>
          <w:color w:val="auto"/>
          <w:lang w:val="en-US"/>
        </w:rPr>
        <w:t>Post-Capital Society</w:t>
      </w:r>
      <w:r w:rsidRPr="001375BD">
        <w:rPr>
          <w:color w:val="auto"/>
          <w:lang w:val="en-US"/>
        </w:rPr>
        <w:t xml:space="preserve">. </w:t>
      </w:r>
      <w:r w:rsidRPr="001375BD">
        <w:rPr>
          <w:color w:val="auto"/>
          <w:lang w:val="en-GB"/>
        </w:rPr>
        <w:t>New York:</w:t>
      </w:r>
      <w:r w:rsidRPr="001375BD">
        <w:rPr>
          <w:color w:val="auto"/>
          <w:lang w:val="en-US"/>
        </w:rPr>
        <w:t xml:space="preserve"> Harper and Collins.</w:t>
      </w:r>
    </w:p>
    <w:p w14:paraId="5B30340B" w14:textId="77777777" w:rsidR="00A83FC6" w:rsidRPr="001375BD" w:rsidRDefault="00A83FC6" w:rsidP="00A83FC6">
      <w:pPr>
        <w:pStyle w:val="Default"/>
        <w:spacing w:line="360" w:lineRule="auto"/>
        <w:ind w:left="709" w:hanging="709"/>
        <w:jc w:val="both"/>
        <w:rPr>
          <w:color w:val="auto"/>
          <w:lang w:val="en-GB"/>
        </w:rPr>
      </w:pPr>
      <w:r w:rsidRPr="001375BD">
        <w:rPr>
          <w:color w:val="auto"/>
          <w:lang w:val="es-VE"/>
        </w:rPr>
        <w:t xml:space="preserve">Ferrán, M. (2001). </w:t>
      </w:r>
      <w:r w:rsidRPr="001375BD">
        <w:rPr>
          <w:i/>
          <w:color w:val="auto"/>
          <w:lang w:val="es-VE"/>
        </w:rPr>
        <w:t>SPSS análisis estadístico</w:t>
      </w:r>
      <w:r w:rsidRPr="001375BD">
        <w:rPr>
          <w:color w:val="auto"/>
          <w:lang w:val="es-VE"/>
        </w:rPr>
        <w:t xml:space="preserve">. </w:t>
      </w:r>
      <w:proofErr w:type="spellStart"/>
      <w:r w:rsidRPr="001375BD">
        <w:rPr>
          <w:color w:val="auto"/>
          <w:lang w:val="en-GB"/>
        </w:rPr>
        <w:t>España</w:t>
      </w:r>
      <w:proofErr w:type="spellEnd"/>
      <w:r w:rsidRPr="001375BD">
        <w:rPr>
          <w:color w:val="auto"/>
          <w:lang w:val="en-GB"/>
        </w:rPr>
        <w:t xml:space="preserve">: McGraw-Hill. </w:t>
      </w:r>
    </w:p>
    <w:p w14:paraId="634979B6"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Fornell</w:t>
      </w:r>
      <w:proofErr w:type="spellEnd"/>
      <w:r w:rsidRPr="001375BD">
        <w:rPr>
          <w:color w:val="auto"/>
          <w:lang w:val="en-US"/>
        </w:rPr>
        <w:t xml:space="preserve">, C. and </w:t>
      </w:r>
      <w:proofErr w:type="spellStart"/>
      <w:r w:rsidRPr="001375BD">
        <w:rPr>
          <w:color w:val="auto"/>
          <w:lang w:val="en-US"/>
        </w:rPr>
        <w:t>Larcker</w:t>
      </w:r>
      <w:proofErr w:type="spellEnd"/>
      <w:r w:rsidRPr="001375BD">
        <w:rPr>
          <w:color w:val="auto"/>
          <w:lang w:val="en-US"/>
        </w:rPr>
        <w:t xml:space="preserve">, D. F. (1981). Evaluating structural equation models with unobservable variables and measurement error. </w:t>
      </w:r>
      <w:r w:rsidRPr="001375BD">
        <w:rPr>
          <w:i/>
          <w:color w:val="auto"/>
          <w:lang w:val="en-US"/>
        </w:rPr>
        <w:t>Journal of Marketing Research</w:t>
      </w:r>
      <w:r w:rsidRPr="001375BD">
        <w:rPr>
          <w:color w:val="auto"/>
          <w:lang w:val="en-US"/>
        </w:rPr>
        <w:t xml:space="preserve">, </w:t>
      </w:r>
      <w:r w:rsidRPr="001375BD">
        <w:rPr>
          <w:i/>
          <w:color w:val="auto"/>
          <w:lang w:val="en-US"/>
        </w:rPr>
        <w:t>18</w:t>
      </w:r>
      <w:r w:rsidRPr="001375BD">
        <w:rPr>
          <w:color w:val="auto"/>
          <w:lang w:val="en-US"/>
        </w:rPr>
        <w:t>(1), 39-50.</w:t>
      </w:r>
    </w:p>
    <w:p w14:paraId="14CF34A7" w14:textId="77777777" w:rsidR="00A83FC6" w:rsidRPr="001375BD" w:rsidRDefault="00A83FC6" w:rsidP="00A83FC6">
      <w:pPr>
        <w:pStyle w:val="Ttulo1"/>
        <w:spacing w:before="0" w:beforeAutospacing="0" w:after="0" w:afterAutospacing="0" w:line="360" w:lineRule="auto"/>
        <w:ind w:left="709" w:hanging="709"/>
        <w:jc w:val="both"/>
        <w:rPr>
          <w:rFonts w:eastAsiaTheme="minorHAnsi"/>
          <w:b w:val="0"/>
          <w:bCs w:val="0"/>
          <w:kern w:val="0"/>
          <w:sz w:val="24"/>
          <w:szCs w:val="24"/>
          <w:lang w:val="en-US" w:eastAsia="en-US"/>
        </w:rPr>
      </w:pPr>
      <w:r w:rsidRPr="001375BD">
        <w:rPr>
          <w:rFonts w:eastAsiaTheme="minorHAnsi"/>
          <w:b w:val="0"/>
          <w:bCs w:val="0"/>
          <w:kern w:val="0"/>
          <w:sz w:val="24"/>
          <w:szCs w:val="24"/>
          <w:lang w:val="en-US" w:eastAsia="en-US"/>
        </w:rPr>
        <w:t xml:space="preserve">Garza, J., Morales, B.N., González, B.A. (2013). </w:t>
      </w:r>
      <w:r w:rsidRPr="001375BD">
        <w:rPr>
          <w:rFonts w:eastAsiaTheme="minorHAnsi"/>
          <w:b w:val="0"/>
          <w:bCs w:val="0"/>
          <w:kern w:val="0"/>
          <w:sz w:val="24"/>
          <w:szCs w:val="24"/>
          <w:lang w:eastAsia="en-US"/>
        </w:rPr>
        <w:t>Análisis estadístico multivariante</w:t>
      </w:r>
      <w:r w:rsidRPr="001375BD">
        <w:rPr>
          <w:rFonts w:eastAsiaTheme="minorHAnsi"/>
          <w:b w:val="0"/>
          <w:bCs w:val="0"/>
          <w:kern w:val="0"/>
          <w:sz w:val="24"/>
          <w:szCs w:val="24"/>
          <w:lang w:eastAsia="en-US"/>
        </w:rPr>
        <w:br/>
        <w:t xml:space="preserve">Un enfoque teórico y práctico. </w:t>
      </w:r>
      <w:r w:rsidRPr="001375BD">
        <w:rPr>
          <w:rFonts w:eastAsiaTheme="minorHAnsi"/>
          <w:b w:val="0"/>
          <w:bCs w:val="0"/>
          <w:kern w:val="0"/>
          <w:sz w:val="24"/>
          <w:szCs w:val="24"/>
          <w:lang w:val="en-US" w:eastAsia="en-US"/>
        </w:rPr>
        <w:t xml:space="preserve">México: </w:t>
      </w:r>
      <w:proofErr w:type="spellStart"/>
      <w:r w:rsidRPr="001375BD">
        <w:rPr>
          <w:rFonts w:eastAsiaTheme="minorHAnsi"/>
          <w:b w:val="0"/>
          <w:bCs w:val="0"/>
          <w:kern w:val="0"/>
          <w:sz w:val="24"/>
          <w:szCs w:val="24"/>
          <w:lang w:val="en-US" w:eastAsia="en-US"/>
        </w:rPr>
        <w:t>McGra.Hill</w:t>
      </w:r>
      <w:proofErr w:type="spellEnd"/>
      <w:r w:rsidRPr="001375BD">
        <w:rPr>
          <w:rFonts w:eastAsiaTheme="minorHAnsi"/>
          <w:b w:val="0"/>
          <w:bCs w:val="0"/>
          <w:kern w:val="0"/>
          <w:sz w:val="24"/>
          <w:szCs w:val="24"/>
          <w:lang w:val="en-US" w:eastAsia="en-US"/>
        </w:rPr>
        <w:t>.</w:t>
      </w:r>
    </w:p>
    <w:p w14:paraId="6C23B5F8"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Ghorbanhosseini</w:t>
      </w:r>
      <w:proofErr w:type="spellEnd"/>
      <w:r w:rsidRPr="001375BD">
        <w:rPr>
          <w:color w:val="auto"/>
          <w:lang w:val="en-US"/>
        </w:rPr>
        <w:t xml:space="preserve">, M. (2013). The effect of organizational culture, teamwork and organizational development on organizational commitment: the mediating role of human capital. </w:t>
      </w:r>
      <w:r w:rsidRPr="001375BD">
        <w:rPr>
          <w:i/>
          <w:color w:val="auto"/>
          <w:lang w:val="en-US"/>
        </w:rPr>
        <w:t>Technical Gazette</w:t>
      </w:r>
      <w:r w:rsidRPr="001375BD">
        <w:rPr>
          <w:color w:val="auto"/>
          <w:lang w:val="en-US"/>
        </w:rPr>
        <w:t xml:space="preserve">, </w:t>
      </w:r>
      <w:r w:rsidRPr="001375BD">
        <w:rPr>
          <w:i/>
          <w:color w:val="auto"/>
          <w:lang w:val="en-US"/>
        </w:rPr>
        <w:t>6</w:t>
      </w:r>
      <w:r w:rsidRPr="001375BD">
        <w:rPr>
          <w:color w:val="auto"/>
          <w:lang w:val="en-US"/>
        </w:rPr>
        <w:t>(20), 1019-1025.</w:t>
      </w:r>
    </w:p>
    <w:p w14:paraId="3108D9FD" w14:textId="77777777" w:rsidR="00A83FC6" w:rsidRPr="001375BD" w:rsidRDefault="00A83FC6" w:rsidP="00A83FC6">
      <w:pPr>
        <w:spacing w:line="360" w:lineRule="auto"/>
        <w:ind w:left="709" w:hanging="709"/>
        <w:jc w:val="both"/>
        <w:rPr>
          <w:lang w:val="en-US"/>
        </w:rPr>
      </w:pPr>
      <w:r w:rsidRPr="001375BD">
        <w:rPr>
          <w:lang w:val="en-US"/>
        </w:rPr>
        <w:t>Grant, R. M. (1996). Toward a knowledge-based theory of the firm. Strategic Management Journal, 17(S2), 109–122.</w:t>
      </w:r>
    </w:p>
    <w:p w14:paraId="3B9F9228"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Haggie</w:t>
      </w:r>
      <w:proofErr w:type="spellEnd"/>
      <w:r w:rsidRPr="001375BD">
        <w:rPr>
          <w:color w:val="auto"/>
          <w:lang w:val="en-US"/>
        </w:rPr>
        <w:t xml:space="preserve">, K. and Kingston, J. (2003). Choosing Your Knowledge Management Strategy. </w:t>
      </w:r>
      <w:r w:rsidRPr="001375BD">
        <w:rPr>
          <w:i/>
          <w:color w:val="auto"/>
          <w:lang w:val="en-US"/>
        </w:rPr>
        <w:t>Journal of Knowledge Management Practice</w:t>
      </w:r>
      <w:r w:rsidRPr="001375BD">
        <w:rPr>
          <w:color w:val="auto"/>
          <w:lang w:val="en-US"/>
        </w:rPr>
        <w:t>, 1-24.</w:t>
      </w:r>
    </w:p>
    <w:p w14:paraId="73B6DACD" w14:textId="77777777" w:rsidR="00A83FC6" w:rsidRPr="001375BD" w:rsidRDefault="00A83FC6" w:rsidP="00A83FC6">
      <w:pPr>
        <w:pStyle w:val="Default"/>
        <w:spacing w:line="360" w:lineRule="auto"/>
        <w:ind w:left="709" w:hanging="709"/>
        <w:jc w:val="both"/>
        <w:rPr>
          <w:color w:val="auto"/>
          <w:lang w:val="es-ES"/>
        </w:rPr>
      </w:pPr>
      <w:r w:rsidRPr="001375BD">
        <w:rPr>
          <w:color w:val="auto"/>
          <w:lang w:val="en-US"/>
        </w:rPr>
        <w:t xml:space="preserve">Hair, J., Anderson, R. Tatham, R. y Black, W. (2008). </w:t>
      </w:r>
      <w:proofErr w:type="spellStart"/>
      <w:r w:rsidRPr="001375BD">
        <w:rPr>
          <w:i/>
          <w:color w:val="auto"/>
          <w:lang w:val="es-VE"/>
        </w:rPr>
        <w:t>Análi</w:t>
      </w:r>
      <w:r w:rsidRPr="001375BD">
        <w:rPr>
          <w:i/>
          <w:color w:val="auto"/>
          <w:lang w:val="es-ES"/>
        </w:rPr>
        <w:t>sis</w:t>
      </w:r>
      <w:proofErr w:type="spellEnd"/>
      <w:r w:rsidRPr="001375BD">
        <w:rPr>
          <w:i/>
          <w:color w:val="auto"/>
          <w:lang w:val="es-ES"/>
        </w:rPr>
        <w:t xml:space="preserve"> multivariante</w:t>
      </w:r>
      <w:r w:rsidRPr="001375BD">
        <w:rPr>
          <w:color w:val="auto"/>
          <w:lang w:val="es-ES"/>
        </w:rPr>
        <w:t>. Madrid: Prentice-Hall.</w:t>
      </w:r>
    </w:p>
    <w:p w14:paraId="48F4D53F"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Halawi</w:t>
      </w:r>
      <w:proofErr w:type="spellEnd"/>
      <w:r w:rsidRPr="001375BD">
        <w:rPr>
          <w:color w:val="auto"/>
          <w:lang w:val="en-US"/>
        </w:rPr>
        <w:t xml:space="preserve">, L, Aronson, J. and McCarthy, R. (2005). Resource-Based View of Knowledge Management for Competitive Advantage. </w:t>
      </w:r>
      <w:r w:rsidRPr="001375BD">
        <w:rPr>
          <w:i/>
          <w:color w:val="auto"/>
          <w:lang w:val="en-US"/>
        </w:rPr>
        <w:t>The Electronic Journal of Knowledge Management</w:t>
      </w:r>
      <w:r w:rsidRPr="001375BD">
        <w:rPr>
          <w:color w:val="auto"/>
          <w:lang w:val="en-US"/>
        </w:rPr>
        <w:t xml:space="preserve">, </w:t>
      </w:r>
      <w:r w:rsidRPr="001375BD">
        <w:rPr>
          <w:i/>
          <w:color w:val="auto"/>
          <w:lang w:val="en-US"/>
        </w:rPr>
        <w:t>3</w:t>
      </w:r>
      <w:r w:rsidRPr="001375BD">
        <w:rPr>
          <w:color w:val="auto"/>
          <w:lang w:val="en-US"/>
        </w:rPr>
        <w:t>(2), 75-86.</w:t>
      </w:r>
    </w:p>
    <w:p w14:paraId="73A5A594" w14:textId="77777777" w:rsidR="00A83FC6" w:rsidRPr="001375BD" w:rsidRDefault="00A83FC6" w:rsidP="00A83FC6">
      <w:pPr>
        <w:spacing w:line="360" w:lineRule="auto"/>
        <w:ind w:left="709" w:hanging="709"/>
        <w:jc w:val="both"/>
        <w:rPr>
          <w:lang w:val="en-US"/>
        </w:rPr>
      </w:pPr>
      <w:proofErr w:type="spellStart"/>
      <w:r w:rsidRPr="001375BD">
        <w:rPr>
          <w:lang w:val="en-US"/>
        </w:rPr>
        <w:lastRenderedPageBreak/>
        <w:t>Henseler</w:t>
      </w:r>
      <w:proofErr w:type="spellEnd"/>
      <w:r w:rsidRPr="001375BD">
        <w:rPr>
          <w:lang w:val="en-US"/>
        </w:rPr>
        <w:t xml:space="preserve">, J. (2018). Partial least squares path modeling: Quo </w:t>
      </w:r>
      <w:proofErr w:type="spellStart"/>
      <w:r w:rsidRPr="001375BD">
        <w:rPr>
          <w:lang w:val="en-US"/>
        </w:rPr>
        <w:t>vadis</w:t>
      </w:r>
      <w:proofErr w:type="spellEnd"/>
      <w:r w:rsidRPr="001375BD">
        <w:rPr>
          <w:lang w:val="en-US"/>
        </w:rPr>
        <w:t xml:space="preserve">? </w:t>
      </w:r>
      <w:r w:rsidRPr="001375BD">
        <w:rPr>
          <w:i/>
          <w:iCs/>
          <w:lang w:val="en-US"/>
        </w:rPr>
        <w:t xml:space="preserve">Qual </w:t>
      </w:r>
      <w:r w:rsidRPr="001375BD">
        <w:rPr>
          <w:lang w:val="en-US"/>
        </w:rPr>
        <w:t>Quan, 52, 1–8 https://doi.org/10.1007/s11135-018-0689-6</w:t>
      </w:r>
    </w:p>
    <w:p w14:paraId="34CE1AD9"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Hill, J., </w:t>
      </w:r>
      <w:proofErr w:type="spellStart"/>
      <w:r w:rsidRPr="001375BD">
        <w:rPr>
          <w:color w:val="auto"/>
          <w:lang w:val="en-US"/>
        </w:rPr>
        <w:t>Nancarrow</w:t>
      </w:r>
      <w:proofErr w:type="spellEnd"/>
      <w:r w:rsidRPr="001375BD">
        <w:rPr>
          <w:color w:val="auto"/>
          <w:lang w:val="en-US"/>
        </w:rPr>
        <w:t xml:space="preserve">, C. and Wright, L. T. (2002). Lifecycles and crisis point in SMEs: a case approach. </w:t>
      </w:r>
      <w:r w:rsidRPr="001375BD">
        <w:rPr>
          <w:i/>
          <w:color w:val="auto"/>
          <w:lang w:val="en-US"/>
        </w:rPr>
        <w:t>Marketing Intelligence and Planning</w:t>
      </w:r>
      <w:r w:rsidRPr="001375BD">
        <w:rPr>
          <w:color w:val="auto"/>
          <w:lang w:val="en-US"/>
        </w:rPr>
        <w:t xml:space="preserve">, </w:t>
      </w:r>
      <w:r w:rsidRPr="001375BD">
        <w:rPr>
          <w:i/>
          <w:color w:val="auto"/>
          <w:lang w:val="en-US"/>
        </w:rPr>
        <w:t>20</w:t>
      </w:r>
      <w:r w:rsidRPr="001375BD">
        <w:rPr>
          <w:color w:val="auto"/>
          <w:lang w:val="en-US"/>
        </w:rPr>
        <w:t>(6), 361-369.</w:t>
      </w:r>
    </w:p>
    <w:p w14:paraId="61E8C8E0"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Hu, L. and </w:t>
      </w:r>
      <w:proofErr w:type="spellStart"/>
      <w:r w:rsidRPr="001375BD">
        <w:rPr>
          <w:color w:val="auto"/>
          <w:lang w:val="en-US"/>
        </w:rPr>
        <w:t>Bentler</w:t>
      </w:r>
      <w:proofErr w:type="spellEnd"/>
      <w:r w:rsidRPr="001375BD">
        <w:rPr>
          <w:color w:val="auto"/>
          <w:lang w:val="en-US"/>
        </w:rPr>
        <w:t xml:space="preserve">, P. M. (1999). Cutoff criteria for fit indexes in covariance structure analysis: conventional criteria versus new alternatives. </w:t>
      </w:r>
      <w:r w:rsidRPr="001375BD">
        <w:rPr>
          <w:i/>
          <w:color w:val="auto"/>
          <w:lang w:val="en-US"/>
        </w:rPr>
        <w:t>Structural Equation Modeling</w:t>
      </w:r>
      <w:r w:rsidRPr="001375BD">
        <w:rPr>
          <w:color w:val="auto"/>
          <w:lang w:val="en-US"/>
        </w:rPr>
        <w:t xml:space="preserve">, </w:t>
      </w:r>
      <w:r w:rsidRPr="001375BD">
        <w:rPr>
          <w:i/>
          <w:color w:val="auto"/>
          <w:lang w:val="en-US"/>
        </w:rPr>
        <w:t>6</w:t>
      </w:r>
      <w:r w:rsidRPr="001375BD">
        <w:rPr>
          <w:color w:val="auto"/>
          <w:lang w:val="en-US"/>
        </w:rPr>
        <w:t>(1), 1-55.</w:t>
      </w:r>
    </w:p>
    <w:p w14:paraId="3A6F359B"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Jöreskog</w:t>
      </w:r>
      <w:proofErr w:type="spellEnd"/>
      <w:r w:rsidRPr="001375BD">
        <w:rPr>
          <w:color w:val="auto"/>
          <w:lang w:val="en-US"/>
        </w:rPr>
        <w:t>, K. G. (1969). A General Approach to Confirmatory Factor Analyses.</w:t>
      </w:r>
      <w:r w:rsidRPr="001375BD">
        <w:rPr>
          <w:i/>
          <w:color w:val="auto"/>
          <w:lang w:val="en-US"/>
        </w:rPr>
        <w:t xml:space="preserve"> Psychometrika</w:t>
      </w:r>
      <w:r w:rsidRPr="001375BD">
        <w:rPr>
          <w:color w:val="auto"/>
          <w:lang w:val="en-US"/>
        </w:rPr>
        <w:t xml:space="preserve">, </w:t>
      </w:r>
      <w:r w:rsidRPr="001375BD">
        <w:rPr>
          <w:i/>
          <w:color w:val="auto"/>
          <w:lang w:val="en-US"/>
        </w:rPr>
        <w:t>34</w:t>
      </w:r>
      <w:r w:rsidRPr="001375BD">
        <w:rPr>
          <w:color w:val="auto"/>
          <w:lang w:val="en-US"/>
        </w:rPr>
        <w:t>(2), 183-202.</w:t>
      </w:r>
    </w:p>
    <w:p w14:paraId="57685B4A"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Jöreskog</w:t>
      </w:r>
      <w:proofErr w:type="spellEnd"/>
      <w:r w:rsidRPr="001375BD">
        <w:rPr>
          <w:color w:val="auto"/>
          <w:lang w:val="en-US"/>
        </w:rPr>
        <w:t xml:space="preserve">, K. G. and D. </w:t>
      </w:r>
      <w:proofErr w:type="spellStart"/>
      <w:r w:rsidRPr="001375BD">
        <w:rPr>
          <w:color w:val="auto"/>
          <w:lang w:val="en-US"/>
        </w:rPr>
        <w:t>Sörbom</w:t>
      </w:r>
      <w:proofErr w:type="spellEnd"/>
      <w:r w:rsidRPr="001375BD">
        <w:rPr>
          <w:color w:val="auto"/>
          <w:lang w:val="en-US"/>
        </w:rPr>
        <w:t xml:space="preserve"> (1984). </w:t>
      </w:r>
      <w:r w:rsidRPr="001375BD">
        <w:rPr>
          <w:i/>
          <w:color w:val="auto"/>
          <w:lang w:val="en-US"/>
        </w:rPr>
        <w:t xml:space="preserve">LISREL 7 and </w:t>
      </w:r>
      <w:proofErr w:type="spellStart"/>
      <w:r w:rsidRPr="001375BD">
        <w:rPr>
          <w:i/>
          <w:color w:val="auto"/>
          <w:lang w:val="en-US"/>
        </w:rPr>
        <w:t>Prelis</w:t>
      </w:r>
      <w:proofErr w:type="spellEnd"/>
      <w:r w:rsidRPr="001375BD">
        <w:rPr>
          <w:i/>
          <w:color w:val="auto"/>
          <w:lang w:val="en-US"/>
        </w:rPr>
        <w:t>. User’s guide and Reference</w:t>
      </w:r>
      <w:r w:rsidRPr="001375BD">
        <w:rPr>
          <w:color w:val="auto"/>
          <w:lang w:val="en-US"/>
        </w:rPr>
        <w:t>. Chicago: SPSS Inc.</w:t>
      </w:r>
    </w:p>
    <w:p w14:paraId="598319DF"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Kline, R. B. (2011). </w:t>
      </w:r>
      <w:r w:rsidRPr="001375BD">
        <w:rPr>
          <w:i/>
          <w:color w:val="auto"/>
          <w:lang w:val="en-US"/>
        </w:rPr>
        <w:t>Principles and practice of Structural equation modeling</w:t>
      </w:r>
      <w:r w:rsidRPr="001375BD">
        <w:rPr>
          <w:color w:val="auto"/>
          <w:lang w:val="en-US"/>
        </w:rPr>
        <w:t xml:space="preserve">. New York: Guilford Press. </w:t>
      </w:r>
    </w:p>
    <w:p w14:paraId="158460BF" w14:textId="77777777" w:rsidR="00A83FC6" w:rsidRPr="001375BD" w:rsidRDefault="00A83FC6" w:rsidP="00A83FC6">
      <w:pPr>
        <w:pStyle w:val="Default"/>
        <w:spacing w:line="360" w:lineRule="auto"/>
        <w:ind w:left="709" w:hanging="709"/>
        <w:jc w:val="both"/>
        <w:rPr>
          <w:color w:val="auto"/>
          <w:lang w:val="es-ES"/>
        </w:rPr>
      </w:pPr>
      <w:proofErr w:type="spellStart"/>
      <w:r w:rsidRPr="001375BD">
        <w:rPr>
          <w:color w:val="auto"/>
          <w:lang w:val="en-GB"/>
        </w:rPr>
        <w:t>Krstić</w:t>
      </w:r>
      <w:proofErr w:type="spellEnd"/>
      <w:r w:rsidRPr="001375BD">
        <w:rPr>
          <w:color w:val="auto"/>
          <w:lang w:val="en-GB"/>
        </w:rPr>
        <w:t xml:space="preserve">, B. and </w:t>
      </w:r>
      <w:proofErr w:type="spellStart"/>
      <w:r w:rsidRPr="001375BD">
        <w:rPr>
          <w:color w:val="auto"/>
          <w:lang w:val="en-GB"/>
        </w:rPr>
        <w:t>Petrović</w:t>
      </w:r>
      <w:proofErr w:type="spellEnd"/>
      <w:r w:rsidRPr="001375BD">
        <w:rPr>
          <w:color w:val="auto"/>
          <w:lang w:val="en-GB"/>
        </w:rPr>
        <w:t xml:space="preserve">, B. (2011). </w:t>
      </w:r>
      <w:r w:rsidRPr="001375BD">
        <w:rPr>
          <w:color w:val="auto"/>
          <w:lang w:val="en-US"/>
        </w:rPr>
        <w:t xml:space="preserve">The role of knowledge management in developing capabilities for increasing enterprise's absorptive capacity. </w:t>
      </w:r>
      <w:proofErr w:type="spellStart"/>
      <w:r w:rsidRPr="001375BD">
        <w:rPr>
          <w:i/>
          <w:color w:val="auto"/>
          <w:lang w:val="es-ES"/>
        </w:rPr>
        <w:t>Facta</w:t>
      </w:r>
      <w:proofErr w:type="spellEnd"/>
      <w:r w:rsidRPr="001375BD">
        <w:rPr>
          <w:i/>
          <w:color w:val="auto"/>
          <w:lang w:val="es-ES"/>
        </w:rPr>
        <w:t xml:space="preserve"> </w:t>
      </w:r>
      <w:proofErr w:type="spellStart"/>
      <w:r w:rsidRPr="001375BD">
        <w:rPr>
          <w:i/>
          <w:color w:val="auto"/>
          <w:lang w:val="es-ES"/>
        </w:rPr>
        <w:t>Universitatis</w:t>
      </w:r>
      <w:proofErr w:type="spellEnd"/>
      <w:r w:rsidRPr="001375BD">
        <w:rPr>
          <w:i/>
          <w:color w:val="auto"/>
          <w:lang w:val="es-ES"/>
        </w:rPr>
        <w:t xml:space="preserve"> Series: </w:t>
      </w:r>
      <w:proofErr w:type="spellStart"/>
      <w:r w:rsidRPr="001375BD">
        <w:rPr>
          <w:i/>
          <w:color w:val="auto"/>
          <w:lang w:val="es-ES"/>
        </w:rPr>
        <w:t>Economics</w:t>
      </w:r>
      <w:proofErr w:type="spellEnd"/>
      <w:r w:rsidRPr="001375BD">
        <w:rPr>
          <w:i/>
          <w:color w:val="auto"/>
          <w:lang w:val="es-ES"/>
        </w:rPr>
        <w:t xml:space="preserve"> and </w:t>
      </w:r>
      <w:proofErr w:type="spellStart"/>
      <w:r w:rsidRPr="001375BD">
        <w:rPr>
          <w:i/>
          <w:color w:val="auto"/>
          <w:lang w:val="es-ES"/>
        </w:rPr>
        <w:t>Organization</w:t>
      </w:r>
      <w:proofErr w:type="spellEnd"/>
      <w:r w:rsidRPr="001375BD">
        <w:rPr>
          <w:color w:val="auto"/>
          <w:lang w:val="es-ES"/>
        </w:rPr>
        <w:t xml:space="preserve">, </w:t>
      </w:r>
      <w:r w:rsidRPr="001375BD">
        <w:rPr>
          <w:i/>
          <w:color w:val="auto"/>
          <w:lang w:val="es-ES"/>
        </w:rPr>
        <w:t>8</w:t>
      </w:r>
      <w:r w:rsidRPr="001375BD">
        <w:rPr>
          <w:color w:val="auto"/>
          <w:lang w:val="es-ES"/>
        </w:rPr>
        <w:t>(3), 275-286.</w:t>
      </w:r>
    </w:p>
    <w:p w14:paraId="128045F9"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s-ES"/>
        </w:rPr>
        <w:t xml:space="preserve">Lévi, J-P. y Varela, J. (2006). </w:t>
      </w:r>
      <w:r w:rsidRPr="001375BD">
        <w:rPr>
          <w:i/>
          <w:color w:val="auto"/>
          <w:lang w:val="es-ES"/>
        </w:rPr>
        <w:t>Modelación con estructuras de covarianzas en ciencias sociales</w:t>
      </w:r>
      <w:r w:rsidRPr="001375BD">
        <w:rPr>
          <w:color w:val="auto"/>
          <w:lang w:val="es-ES"/>
        </w:rPr>
        <w:t xml:space="preserve">. </w:t>
      </w:r>
      <w:r w:rsidRPr="001375BD">
        <w:rPr>
          <w:color w:val="auto"/>
          <w:lang w:val="en-US"/>
        </w:rPr>
        <w:t xml:space="preserve">Madrid: </w:t>
      </w:r>
      <w:proofErr w:type="spellStart"/>
      <w:proofErr w:type="gramStart"/>
      <w:r w:rsidRPr="001375BD">
        <w:rPr>
          <w:color w:val="auto"/>
          <w:lang w:val="en-US"/>
        </w:rPr>
        <w:t>Netb!blo</w:t>
      </w:r>
      <w:proofErr w:type="spellEnd"/>
      <w:proofErr w:type="gramEnd"/>
      <w:r w:rsidRPr="001375BD">
        <w:rPr>
          <w:color w:val="auto"/>
          <w:lang w:val="en-US"/>
        </w:rPr>
        <w:t>.</w:t>
      </w:r>
    </w:p>
    <w:p w14:paraId="5E0918FA" w14:textId="77777777" w:rsidR="00A83FC6" w:rsidRPr="001375BD" w:rsidRDefault="00A83FC6" w:rsidP="00A83FC6">
      <w:pPr>
        <w:pStyle w:val="Default"/>
        <w:spacing w:line="360" w:lineRule="auto"/>
        <w:ind w:left="709" w:hanging="709"/>
        <w:jc w:val="both"/>
        <w:rPr>
          <w:color w:val="auto"/>
          <w:lang w:val="es-VE"/>
        </w:rPr>
      </w:pPr>
      <w:r w:rsidRPr="001375BD">
        <w:rPr>
          <w:color w:val="auto"/>
          <w:lang w:val="en-US"/>
        </w:rPr>
        <w:t xml:space="preserve">Marsh, H. W. and </w:t>
      </w:r>
      <w:proofErr w:type="spellStart"/>
      <w:r w:rsidRPr="001375BD">
        <w:rPr>
          <w:color w:val="auto"/>
          <w:lang w:val="en-US"/>
        </w:rPr>
        <w:t>Hocevar</w:t>
      </w:r>
      <w:proofErr w:type="spellEnd"/>
      <w:r w:rsidRPr="001375BD">
        <w:rPr>
          <w:color w:val="auto"/>
          <w:lang w:val="en-US"/>
        </w:rPr>
        <w:t xml:space="preserve">, D. (1985). Application of confirmatory factor analysis to the study of self-concept: First-and higher order factor models and their invariance across groups. </w:t>
      </w:r>
      <w:r w:rsidRPr="001375BD">
        <w:rPr>
          <w:i/>
          <w:color w:val="auto"/>
          <w:lang w:val="es-VE"/>
        </w:rPr>
        <w:t>Psychological Bulletin</w:t>
      </w:r>
      <w:r w:rsidRPr="001375BD">
        <w:rPr>
          <w:color w:val="auto"/>
          <w:lang w:val="es-VE"/>
        </w:rPr>
        <w:t xml:space="preserve">, </w:t>
      </w:r>
      <w:r w:rsidRPr="001375BD">
        <w:rPr>
          <w:i/>
          <w:color w:val="auto"/>
          <w:lang w:val="es-VE"/>
        </w:rPr>
        <w:t>97</w:t>
      </w:r>
      <w:r w:rsidRPr="001375BD">
        <w:rPr>
          <w:color w:val="auto"/>
          <w:lang w:val="es-VE"/>
        </w:rPr>
        <w:t>(3), 562.</w:t>
      </w:r>
    </w:p>
    <w:p w14:paraId="1E101F84"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s-ES"/>
        </w:rPr>
        <w:t xml:space="preserve">Martin, Q., Cabero, M. T. y De Paz, Y. (2008). </w:t>
      </w:r>
      <w:r w:rsidRPr="001375BD">
        <w:rPr>
          <w:i/>
          <w:color w:val="auto"/>
          <w:lang w:val="es-ES"/>
        </w:rPr>
        <w:t>Tratamiento estadístico de datos con SPSS</w:t>
      </w:r>
      <w:r w:rsidRPr="001375BD">
        <w:rPr>
          <w:color w:val="auto"/>
          <w:lang w:val="es-ES"/>
        </w:rPr>
        <w:t xml:space="preserve">. </w:t>
      </w:r>
      <w:proofErr w:type="spellStart"/>
      <w:r w:rsidRPr="001375BD">
        <w:rPr>
          <w:color w:val="auto"/>
          <w:lang w:val="en-US"/>
        </w:rPr>
        <w:t>España</w:t>
      </w:r>
      <w:proofErr w:type="spellEnd"/>
      <w:r w:rsidRPr="001375BD">
        <w:rPr>
          <w:color w:val="auto"/>
          <w:lang w:val="en-US"/>
        </w:rPr>
        <w:t>: Thomson.</w:t>
      </w:r>
    </w:p>
    <w:p w14:paraId="6B95C59F"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Mohamad, A. and Wan, A. (2013). A Comparison of Partial Least Square Structural Equation Modeling (PLS-SEM) and Covariance Based Structural Equation Modeling (CB-SEM) for Confirmatory Factor Analysis. </w:t>
      </w:r>
      <w:r w:rsidRPr="001375BD">
        <w:rPr>
          <w:i/>
          <w:color w:val="auto"/>
          <w:lang w:val="en-US"/>
        </w:rPr>
        <w:t>International Journal of Engineering Science and Innovative Technology</w:t>
      </w:r>
      <w:r w:rsidRPr="001375BD">
        <w:rPr>
          <w:color w:val="auto"/>
          <w:lang w:val="en-US"/>
        </w:rPr>
        <w:t xml:space="preserve">, </w:t>
      </w:r>
      <w:r w:rsidRPr="001375BD">
        <w:rPr>
          <w:i/>
          <w:color w:val="auto"/>
          <w:lang w:val="en-US"/>
        </w:rPr>
        <w:t>2</w:t>
      </w:r>
      <w:r w:rsidRPr="001375BD">
        <w:rPr>
          <w:color w:val="auto"/>
          <w:lang w:val="en-US"/>
        </w:rPr>
        <w:t>(5), 198-205.</w:t>
      </w:r>
    </w:p>
    <w:p w14:paraId="6BCB4737"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Nawab, S., Nazir, T., Mohsin, M. and Muhammad, S. (2015). </w:t>
      </w:r>
      <w:r w:rsidRPr="001375BD">
        <w:rPr>
          <w:bCs/>
          <w:color w:val="111111"/>
          <w:lang w:val="en-GB"/>
        </w:rPr>
        <w:t xml:space="preserve">Knowledge Management, Innovation and Organizational Performance. </w:t>
      </w:r>
      <w:r w:rsidRPr="001375BD">
        <w:rPr>
          <w:i/>
          <w:color w:val="auto"/>
          <w:lang w:val="en-US"/>
        </w:rPr>
        <w:t>International Journal of Knowledge Engineering</w:t>
      </w:r>
      <w:r w:rsidRPr="001375BD">
        <w:rPr>
          <w:color w:val="auto"/>
          <w:lang w:val="en-US"/>
        </w:rPr>
        <w:t xml:space="preserve">, </w:t>
      </w:r>
      <w:r w:rsidRPr="001375BD">
        <w:rPr>
          <w:i/>
          <w:color w:val="auto"/>
          <w:lang w:val="en-US"/>
        </w:rPr>
        <w:t>1</w:t>
      </w:r>
      <w:r w:rsidRPr="001375BD">
        <w:rPr>
          <w:color w:val="auto"/>
          <w:lang w:val="en-US"/>
        </w:rPr>
        <w:t>(1), 43-48.</w:t>
      </w:r>
    </w:p>
    <w:p w14:paraId="7077FCE4"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lastRenderedPageBreak/>
        <w:t xml:space="preserve">Nonaka, I. (1994). A </w:t>
      </w:r>
      <w:proofErr w:type="spellStart"/>
      <w:r w:rsidRPr="001375BD">
        <w:rPr>
          <w:color w:val="auto"/>
          <w:lang w:val="en-US"/>
        </w:rPr>
        <w:t>Dynamyc</w:t>
      </w:r>
      <w:proofErr w:type="spellEnd"/>
      <w:r w:rsidRPr="001375BD">
        <w:rPr>
          <w:color w:val="auto"/>
          <w:lang w:val="en-US"/>
        </w:rPr>
        <w:t xml:space="preserve"> Theory of Organizational Knowledge Creation. </w:t>
      </w:r>
      <w:r w:rsidRPr="001375BD">
        <w:rPr>
          <w:i/>
          <w:color w:val="auto"/>
          <w:lang w:val="en-US"/>
        </w:rPr>
        <w:t>Organization Science</w:t>
      </w:r>
      <w:r w:rsidRPr="001375BD">
        <w:rPr>
          <w:color w:val="auto"/>
          <w:lang w:val="en-US"/>
        </w:rPr>
        <w:t xml:space="preserve">, </w:t>
      </w:r>
      <w:r w:rsidRPr="001375BD">
        <w:rPr>
          <w:i/>
          <w:color w:val="auto"/>
          <w:lang w:val="en-US"/>
        </w:rPr>
        <w:t>5</w:t>
      </w:r>
      <w:r w:rsidRPr="001375BD">
        <w:rPr>
          <w:color w:val="auto"/>
          <w:lang w:val="en-US"/>
        </w:rPr>
        <w:t>(1), 14-37.</w:t>
      </w:r>
    </w:p>
    <w:p w14:paraId="462DB708"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Nonaka, I. (2008). </w:t>
      </w:r>
      <w:r w:rsidRPr="001375BD">
        <w:rPr>
          <w:i/>
          <w:color w:val="auto"/>
          <w:lang w:val="en-US"/>
        </w:rPr>
        <w:t>The Knowledge-Creating Company</w:t>
      </w:r>
      <w:r w:rsidRPr="001375BD">
        <w:rPr>
          <w:color w:val="auto"/>
          <w:lang w:val="en-US"/>
        </w:rPr>
        <w:t>. United State of America: Harvard Business School Publishing.</w:t>
      </w:r>
    </w:p>
    <w:p w14:paraId="62D37FA7"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Nonaka, I. and Takeuchi, H. (1995). </w:t>
      </w:r>
      <w:r w:rsidRPr="001375BD">
        <w:rPr>
          <w:i/>
          <w:color w:val="auto"/>
          <w:lang w:val="en-US"/>
        </w:rPr>
        <w:t>The Knowledge-Creating company.</w:t>
      </w:r>
      <w:r w:rsidRPr="001375BD">
        <w:rPr>
          <w:color w:val="auto"/>
          <w:lang w:val="en-US"/>
        </w:rPr>
        <w:t xml:space="preserve"> Oxford, UK: Oxford University Press.  </w:t>
      </w:r>
    </w:p>
    <w:p w14:paraId="66D50A06"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GB"/>
        </w:rPr>
        <w:t xml:space="preserve">Nonaka, I., Toyama, R. and </w:t>
      </w:r>
      <w:proofErr w:type="spellStart"/>
      <w:r w:rsidRPr="001375BD">
        <w:rPr>
          <w:color w:val="auto"/>
          <w:lang w:val="en-GB"/>
        </w:rPr>
        <w:t>Byosiere</w:t>
      </w:r>
      <w:proofErr w:type="spellEnd"/>
      <w:r w:rsidRPr="001375BD">
        <w:rPr>
          <w:color w:val="auto"/>
          <w:lang w:val="en-GB"/>
        </w:rPr>
        <w:t xml:space="preserve">, P. (2001). </w:t>
      </w:r>
      <w:r w:rsidRPr="001375BD">
        <w:rPr>
          <w:color w:val="auto"/>
          <w:lang w:val="en-US"/>
        </w:rPr>
        <w:t xml:space="preserve">A Theory of Organizational Knowledge Creation: Understanding the Dynamic Process of Creating Knowledge. In </w:t>
      </w:r>
      <w:proofErr w:type="spellStart"/>
      <w:r w:rsidRPr="001375BD">
        <w:rPr>
          <w:color w:val="auto"/>
          <w:lang w:val="en-US"/>
        </w:rPr>
        <w:t>Dierkes</w:t>
      </w:r>
      <w:proofErr w:type="spellEnd"/>
      <w:r w:rsidRPr="001375BD">
        <w:rPr>
          <w:color w:val="auto"/>
          <w:lang w:val="en-US"/>
        </w:rPr>
        <w:t xml:space="preserve">, M., </w:t>
      </w:r>
      <w:proofErr w:type="spellStart"/>
      <w:r w:rsidRPr="001375BD">
        <w:rPr>
          <w:color w:val="auto"/>
          <w:lang w:val="en-US"/>
        </w:rPr>
        <w:t>Antal-Berthoin</w:t>
      </w:r>
      <w:proofErr w:type="spellEnd"/>
      <w:r w:rsidRPr="001375BD">
        <w:rPr>
          <w:color w:val="auto"/>
          <w:lang w:val="en-US"/>
        </w:rPr>
        <w:t xml:space="preserve">, A., Child, J. and Nonaka, I. (eds.), </w:t>
      </w:r>
      <w:r w:rsidRPr="001375BD">
        <w:rPr>
          <w:i/>
          <w:color w:val="auto"/>
          <w:lang w:val="en-US"/>
        </w:rPr>
        <w:t xml:space="preserve">Handbook of Organizational </w:t>
      </w:r>
      <w:proofErr w:type="spellStart"/>
      <w:r w:rsidRPr="001375BD">
        <w:rPr>
          <w:i/>
          <w:color w:val="auto"/>
          <w:lang w:val="en-US"/>
        </w:rPr>
        <w:t>Learningand</w:t>
      </w:r>
      <w:proofErr w:type="spellEnd"/>
      <w:r w:rsidRPr="001375BD">
        <w:rPr>
          <w:i/>
          <w:color w:val="auto"/>
          <w:lang w:val="en-US"/>
        </w:rPr>
        <w:t xml:space="preserve"> Knowledge Creation</w:t>
      </w:r>
      <w:r w:rsidRPr="001375BD">
        <w:rPr>
          <w:color w:val="auto"/>
          <w:lang w:val="en-US"/>
        </w:rPr>
        <w:t>. Oxford University Press.</w:t>
      </w:r>
    </w:p>
    <w:p w14:paraId="15EE78A6"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Nonaka, I., Toyama, R. and Konno, N. (2000). SECI, Ba and Leadership: A unified model of dynamic knowledge creation. </w:t>
      </w:r>
      <w:r w:rsidRPr="001375BD">
        <w:rPr>
          <w:i/>
          <w:color w:val="auto"/>
          <w:lang w:val="en-US"/>
        </w:rPr>
        <w:t>Long Range Planning</w:t>
      </w:r>
      <w:r w:rsidRPr="001375BD">
        <w:rPr>
          <w:color w:val="auto"/>
          <w:lang w:val="en-US"/>
        </w:rPr>
        <w:t xml:space="preserve">, </w:t>
      </w:r>
      <w:r w:rsidRPr="001375BD">
        <w:rPr>
          <w:i/>
          <w:color w:val="auto"/>
          <w:lang w:val="en-US"/>
        </w:rPr>
        <w:t>33</w:t>
      </w:r>
      <w:r w:rsidRPr="001375BD">
        <w:rPr>
          <w:color w:val="auto"/>
          <w:lang w:val="en-US"/>
        </w:rPr>
        <w:t>, 5–34.</w:t>
      </w:r>
    </w:p>
    <w:p w14:paraId="7897446E" w14:textId="77777777" w:rsidR="00A83FC6" w:rsidRPr="001375BD" w:rsidRDefault="00A83FC6" w:rsidP="00A83FC6">
      <w:pPr>
        <w:spacing w:line="360" w:lineRule="auto"/>
        <w:jc w:val="both"/>
        <w:rPr>
          <w:lang w:val="en-US"/>
        </w:rPr>
      </w:pPr>
      <w:r w:rsidRPr="001375BD">
        <w:rPr>
          <w:lang w:val="en-US"/>
        </w:rPr>
        <w:t xml:space="preserve">Nunnally, J. C. (1978). </w:t>
      </w:r>
      <w:r w:rsidRPr="001375BD">
        <w:rPr>
          <w:i/>
          <w:lang w:val="en-US"/>
        </w:rPr>
        <w:t>Psychometric theory</w:t>
      </w:r>
      <w:r w:rsidRPr="001375BD">
        <w:rPr>
          <w:lang w:val="en-US"/>
        </w:rPr>
        <w:t>. New York: McGraw-Hill.</w:t>
      </w:r>
    </w:p>
    <w:p w14:paraId="5E291EC7" w14:textId="77777777" w:rsidR="00A83FC6" w:rsidRPr="001375BD" w:rsidRDefault="00A83FC6" w:rsidP="00A83FC6">
      <w:pPr>
        <w:spacing w:line="360" w:lineRule="auto"/>
        <w:ind w:left="709" w:hanging="709"/>
        <w:jc w:val="both"/>
        <w:rPr>
          <w:lang w:val="en-US"/>
        </w:rPr>
      </w:pPr>
      <w:r w:rsidRPr="001375BD">
        <w:rPr>
          <w:lang w:val="en-US"/>
        </w:rPr>
        <w:t xml:space="preserve">Podsakoff, P. M., </w:t>
      </w:r>
      <w:proofErr w:type="spellStart"/>
      <w:r w:rsidRPr="001375BD">
        <w:rPr>
          <w:lang w:val="en-US"/>
        </w:rPr>
        <w:t>MacKenzie</w:t>
      </w:r>
      <w:proofErr w:type="spellEnd"/>
      <w:r w:rsidRPr="001375BD">
        <w:rPr>
          <w:lang w:val="en-US"/>
        </w:rPr>
        <w:t xml:space="preserve">, S. B., Lee, J. and Podsakoff, N. P. (2003). Common method biases in behavioral research: A critical review of the literature and recommended remedies. </w:t>
      </w:r>
      <w:r w:rsidRPr="001375BD">
        <w:rPr>
          <w:i/>
          <w:lang w:val="en-US"/>
        </w:rPr>
        <w:t>Journal of Applied Psychology</w:t>
      </w:r>
      <w:r w:rsidRPr="001375BD">
        <w:rPr>
          <w:lang w:val="en-US"/>
        </w:rPr>
        <w:t xml:space="preserve">, </w:t>
      </w:r>
      <w:r w:rsidRPr="001375BD">
        <w:rPr>
          <w:i/>
          <w:lang w:val="en-US"/>
        </w:rPr>
        <w:t>88</w:t>
      </w:r>
      <w:r w:rsidRPr="001375BD">
        <w:rPr>
          <w:lang w:val="en-US"/>
        </w:rPr>
        <w:t>(5), 879-903.</w:t>
      </w:r>
    </w:p>
    <w:p w14:paraId="6A8EAB02" w14:textId="77777777" w:rsidR="00A83FC6" w:rsidRPr="001375BD" w:rsidRDefault="00A83FC6" w:rsidP="00A83FC6">
      <w:pPr>
        <w:spacing w:line="360" w:lineRule="auto"/>
        <w:ind w:left="709" w:hanging="709"/>
        <w:jc w:val="both"/>
        <w:rPr>
          <w:lang w:val="en-US"/>
        </w:rPr>
      </w:pPr>
      <w:r w:rsidRPr="001375BD">
        <w:rPr>
          <w:lang w:val="en-US"/>
        </w:rPr>
        <w:t xml:space="preserve">Quinn, J. B. (1992). The Intelligent Enterprise: A New Paradigm. </w:t>
      </w:r>
      <w:r w:rsidRPr="001375BD">
        <w:rPr>
          <w:i/>
          <w:lang w:val="en-US"/>
        </w:rPr>
        <w:t>Academy of Management Executive</w:t>
      </w:r>
      <w:r w:rsidRPr="001375BD">
        <w:rPr>
          <w:lang w:val="en-US"/>
        </w:rPr>
        <w:t xml:space="preserve">, </w:t>
      </w:r>
      <w:r w:rsidRPr="001375BD">
        <w:rPr>
          <w:i/>
          <w:lang w:val="en-US"/>
        </w:rPr>
        <w:t>6</w:t>
      </w:r>
      <w:r w:rsidRPr="001375BD">
        <w:rPr>
          <w:lang w:val="en-US"/>
        </w:rPr>
        <w:t>(4), 48-63.</w:t>
      </w:r>
    </w:p>
    <w:p w14:paraId="7E434915" w14:textId="77777777" w:rsidR="00A83FC6" w:rsidRPr="001375BD" w:rsidRDefault="00A83FC6" w:rsidP="00A83FC6">
      <w:pPr>
        <w:pStyle w:val="Default"/>
        <w:spacing w:line="360" w:lineRule="auto"/>
        <w:ind w:left="709" w:hanging="709"/>
        <w:jc w:val="both"/>
        <w:rPr>
          <w:color w:val="auto"/>
          <w:lang w:val="en-US"/>
        </w:rPr>
      </w:pPr>
      <w:proofErr w:type="spellStart"/>
      <w:r w:rsidRPr="001375BD">
        <w:rPr>
          <w:color w:val="auto"/>
          <w:lang w:val="en-US"/>
        </w:rPr>
        <w:t>Salajarvi</w:t>
      </w:r>
      <w:proofErr w:type="spellEnd"/>
      <w:r w:rsidRPr="001375BD">
        <w:rPr>
          <w:color w:val="auto"/>
          <w:lang w:val="en-US"/>
        </w:rPr>
        <w:t xml:space="preserve">, S., </w:t>
      </w:r>
      <w:proofErr w:type="spellStart"/>
      <w:r w:rsidRPr="001375BD">
        <w:rPr>
          <w:color w:val="auto"/>
          <w:lang w:val="en-US"/>
        </w:rPr>
        <w:t>Sveiby</w:t>
      </w:r>
      <w:proofErr w:type="spellEnd"/>
      <w:r w:rsidRPr="001375BD">
        <w:rPr>
          <w:color w:val="auto"/>
          <w:lang w:val="en-US"/>
        </w:rPr>
        <w:t xml:space="preserve">, K. and </w:t>
      </w:r>
      <w:proofErr w:type="spellStart"/>
      <w:r w:rsidRPr="001375BD">
        <w:rPr>
          <w:color w:val="auto"/>
          <w:lang w:val="en-US"/>
        </w:rPr>
        <w:t>Furu</w:t>
      </w:r>
      <w:proofErr w:type="spellEnd"/>
      <w:r w:rsidRPr="001375BD">
        <w:rPr>
          <w:color w:val="auto"/>
          <w:lang w:val="en-US"/>
        </w:rPr>
        <w:t xml:space="preserve">, P. (2005). Knowledge Management and Growth in Finnish SEMEs. </w:t>
      </w:r>
      <w:r w:rsidRPr="001375BD">
        <w:rPr>
          <w:i/>
          <w:color w:val="auto"/>
          <w:lang w:val="en-US"/>
        </w:rPr>
        <w:t>Journal of knowledge Management</w:t>
      </w:r>
      <w:r w:rsidRPr="001375BD">
        <w:rPr>
          <w:color w:val="auto"/>
          <w:lang w:val="en-US"/>
        </w:rPr>
        <w:t xml:space="preserve">, </w:t>
      </w:r>
      <w:r w:rsidRPr="001375BD">
        <w:rPr>
          <w:i/>
          <w:color w:val="auto"/>
          <w:lang w:val="en-US"/>
        </w:rPr>
        <w:t>9</w:t>
      </w:r>
      <w:r w:rsidRPr="001375BD">
        <w:rPr>
          <w:color w:val="auto"/>
          <w:lang w:val="en-US"/>
        </w:rPr>
        <w:t>(2), 103-122.</w:t>
      </w:r>
    </w:p>
    <w:p w14:paraId="7657B744"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Stock, G.N., Tsai, J., Jiang, J. J. and Klein, G. (2021). Coping with uncertainty: Knowledge sharing in new product development projects. </w:t>
      </w:r>
      <w:hyperlink r:id="rId14" w:tooltip="Go to International Journal of Project Management on ScienceDirect" w:history="1">
        <w:r w:rsidRPr="001375BD">
          <w:rPr>
            <w:i/>
            <w:color w:val="auto"/>
            <w:lang w:val="en-US"/>
          </w:rPr>
          <w:t>International Journal of Project Management</w:t>
        </w:r>
      </w:hyperlink>
      <w:r w:rsidRPr="001375BD">
        <w:rPr>
          <w:color w:val="auto"/>
          <w:lang w:val="en-US"/>
        </w:rPr>
        <w:t xml:space="preserve">, </w:t>
      </w:r>
      <w:r w:rsidRPr="001375BD">
        <w:rPr>
          <w:i/>
          <w:color w:val="auto"/>
          <w:lang w:val="en-US"/>
        </w:rPr>
        <w:t>39</w:t>
      </w:r>
      <w:r w:rsidRPr="001375BD">
        <w:rPr>
          <w:color w:val="auto"/>
          <w:lang w:val="en-US"/>
        </w:rPr>
        <w:t>(1), 59-70.</w:t>
      </w:r>
    </w:p>
    <w:p w14:paraId="1E1EA9A9"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GB"/>
        </w:rPr>
        <w:t xml:space="preserve">Tanaka, J. S. and </w:t>
      </w:r>
      <w:proofErr w:type="spellStart"/>
      <w:r w:rsidRPr="001375BD">
        <w:rPr>
          <w:color w:val="auto"/>
          <w:lang w:val="en-GB"/>
        </w:rPr>
        <w:t>Huba</w:t>
      </w:r>
      <w:proofErr w:type="spellEnd"/>
      <w:r w:rsidRPr="001375BD">
        <w:rPr>
          <w:color w:val="auto"/>
          <w:lang w:val="en-GB"/>
        </w:rPr>
        <w:t xml:space="preserve">, G. J. (1989). </w:t>
      </w:r>
      <w:r w:rsidRPr="001375BD">
        <w:rPr>
          <w:color w:val="auto"/>
          <w:lang w:val="en-US"/>
        </w:rPr>
        <w:t xml:space="preserve">A general coefficient of determination for covariance structure models under arbitrary GLS estimation. </w:t>
      </w:r>
      <w:r w:rsidRPr="001375BD">
        <w:rPr>
          <w:i/>
          <w:color w:val="auto"/>
          <w:lang w:val="en-US"/>
        </w:rPr>
        <w:t>British Journal of Mathematical and Statistical Psychology</w:t>
      </w:r>
      <w:r w:rsidRPr="001375BD">
        <w:rPr>
          <w:color w:val="auto"/>
          <w:lang w:val="en-US"/>
        </w:rPr>
        <w:t xml:space="preserve">, </w:t>
      </w:r>
      <w:r w:rsidRPr="001375BD">
        <w:rPr>
          <w:i/>
          <w:color w:val="auto"/>
          <w:lang w:val="en-US"/>
        </w:rPr>
        <w:t>42</w:t>
      </w:r>
      <w:r w:rsidRPr="001375BD">
        <w:rPr>
          <w:color w:val="auto"/>
          <w:lang w:val="en-US"/>
        </w:rPr>
        <w:t>(2), 233-239.</w:t>
      </w:r>
    </w:p>
    <w:p w14:paraId="195F78E9"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Teece, D. J. (2000), </w:t>
      </w:r>
      <w:r w:rsidRPr="001375BD">
        <w:rPr>
          <w:i/>
          <w:color w:val="auto"/>
          <w:lang w:val="en-US"/>
        </w:rPr>
        <w:t>Managing intellectual capital: Organizational, strategic and policy dimensions</w:t>
      </w:r>
      <w:r w:rsidRPr="001375BD">
        <w:rPr>
          <w:color w:val="auto"/>
          <w:lang w:val="en-US"/>
        </w:rPr>
        <w:t>. Oxford University Press, Oxford and New York.</w:t>
      </w:r>
    </w:p>
    <w:p w14:paraId="7EAE452D"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Toffler, A. (1990). </w:t>
      </w:r>
      <w:r w:rsidRPr="001375BD">
        <w:rPr>
          <w:i/>
          <w:color w:val="auto"/>
          <w:lang w:val="en-US"/>
        </w:rPr>
        <w:t>Powershift: Knowledge, Wealth and Violence at the Edge of the 21st Century</w:t>
      </w:r>
      <w:r w:rsidRPr="001375BD">
        <w:rPr>
          <w:color w:val="auto"/>
          <w:lang w:val="en-US"/>
        </w:rPr>
        <w:t>. Bantam Books, New York.</w:t>
      </w:r>
    </w:p>
    <w:p w14:paraId="7EA0DAF0" w14:textId="77777777" w:rsidR="00A83FC6" w:rsidRPr="001375BD" w:rsidRDefault="00A83FC6" w:rsidP="00A83FC6">
      <w:pPr>
        <w:spacing w:line="360" w:lineRule="auto"/>
        <w:ind w:left="709" w:hanging="709"/>
        <w:jc w:val="both"/>
        <w:rPr>
          <w:lang w:val="en-US"/>
        </w:rPr>
      </w:pPr>
      <w:proofErr w:type="spellStart"/>
      <w:r w:rsidRPr="001375BD">
        <w:rPr>
          <w:lang w:val="en-US"/>
        </w:rPr>
        <w:lastRenderedPageBreak/>
        <w:t>Wernerfelt</w:t>
      </w:r>
      <w:proofErr w:type="spellEnd"/>
      <w:r w:rsidRPr="001375BD">
        <w:rPr>
          <w:lang w:val="en-US"/>
        </w:rPr>
        <w:t>, B. (1984). A resource-based view of the firm. Strategic Management Journal, 5(2), 171–180</w:t>
      </w:r>
    </w:p>
    <w:p w14:paraId="7BFC124F" w14:textId="77777777" w:rsidR="00A83FC6" w:rsidRPr="001375BD" w:rsidRDefault="00A83FC6" w:rsidP="00A83FC6">
      <w:pPr>
        <w:spacing w:line="360" w:lineRule="auto"/>
        <w:ind w:left="709" w:hanging="709"/>
        <w:jc w:val="both"/>
        <w:rPr>
          <w:lang w:val="en-US"/>
        </w:rPr>
      </w:pPr>
      <w:r w:rsidRPr="001375BD">
        <w:rPr>
          <w:lang w:val="en-US"/>
        </w:rPr>
        <w:t xml:space="preserve">Yusof, M. and Bakar, A. (2012). Knowledge management and growth performance in construction companies: a framework. </w:t>
      </w:r>
      <w:r w:rsidRPr="001375BD">
        <w:rPr>
          <w:i/>
          <w:lang w:val="en-US"/>
        </w:rPr>
        <w:t>Procedia - Social and Behavioral Sciences</w:t>
      </w:r>
      <w:r w:rsidRPr="001375BD">
        <w:rPr>
          <w:lang w:val="en-US"/>
        </w:rPr>
        <w:t xml:space="preserve">, </w:t>
      </w:r>
      <w:r w:rsidRPr="001375BD">
        <w:rPr>
          <w:i/>
          <w:lang w:val="en-US"/>
        </w:rPr>
        <w:t>62</w:t>
      </w:r>
      <w:r w:rsidRPr="001375BD">
        <w:rPr>
          <w:lang w:val="en-US"/>
        </w:rPr>
        <w:t>, 128-134.</w:t>
      </w:r>
    </w:p>
    <w:p w14:paraId="10575AE9" w14:textId="77777777" w:rsidR="00A83FC6" w:rsidRPr="001375BD" w:rsidRDefault="00A83FC6" w:rsidP="00A83FC6">
      <w:pPr>
        <w:pStyle w:val="Default"/>
        <w:spacing w:line="360" w:lineRule="auto"/>
        <w:ind w:left="709" w:hanging="709"/>
        <w:jc w:val="both"/>
        <w:rPr>
          <w:color w:val="auto"/>
          <w:lang w:val="en-US"/>
        </w:rPr>
      </w:pPr>
      <w:r w:rsidRPr="001375BD">
        <w:rPr>
          <w:color w:val="auto"/>
          <w:lang w:val="en-US"/>
        </w:rPr>
        <w:t xml:space="preserve">Zaman, F., </w:t>
      </w:r>
      <w:proofErr w:type="spellStart"/>
      <w:r w:rsidRPr="001375BD">
        <w:rPr>
          <w:color w:val="auto"/>
          <w:lang w:val="en-US"/>
        </w:rPr>
        <w:t>Mahtab</w:t>
      </w:r>
      <w:proofErr w:type="spellEnd"/>
      <w:r w:rsidRPr="001375BD">
        <w:rPr>
          <w:color w:val="auto"/>
          <w:lang w:val="en-US"/>
        </w:rPr>
        <w:t xml:space="preserve">, N. and Raza, S. F. (2014). Theoretical Perspective of Knowledge Management as Part of Human Capital Management: Proposed Quantitative Framework. </w:t>
      </w:r>
      <w:r w:rsidRPr="001375BD">
        <w:rPr>
          <w:i/>
          <w:color w:val="auto"/>
          <w:lang w:val="en-US"/>
        </w:rPr>
        <w:t>Journal of Business and Management</w:t>
      </w:r>
      <w:r w:rsidRPr="001375BD">
        <w:rPr>
          <w:color w:val="auto"/>
          <w:lang w:val="en-US"/>
        </w:rPr>
        <w:t xml:space="preserve">, </w:t>
      </w:r>
      <w:r w:rsidRPr="001375BD">
        <w:rPr>
          <w:i/>
          <w:color w:val="auto"/>
          <w:lang w:val="en-US"/>
        </w:rPr>
        <w:t>16</w:t>
      </w:r>
      <w:r w:rsidRPr="001375BD">
        <w:rPr>
          <w:color w:val="auto"/>
          <w:lang w:val="en-US"/>
        </w:rPr>
        <w:t>(2), 111-116.</w:t>
      </w:r>
    </w:p>
    <w:p w14:paraId="601A738D" w14:textId="02475A04" w:rsidR="00A83FC6" w:rsidRPr="00A83FC6" w:rsidRDefault="00A83FC6" w:rsidP="00A83FC6">
      <w:pPr>
        <w:spacing w:line="360" w:lineRule="auto"/>
        <w:ind w:left="709" w:hanging="709"/>
        <w:jc w:val="both"/>
      </w:pPr>
      <w:r w:rsidRPr="001375BD">
        <w:rPr>
          <w:lang w:val="en-US"/>
        </w:rPr>
        <w:t xml:space="preserve">Zhang, M. F., Dawson, J. F. and Kline, R. B. (2020). Evaluating the Use of Covariance-Based Structural Equation Modelling with Reflective Measurement in Organizational and Management Research: A Review and Recommendations for Best Practice. </w:t>
      </w:r>
      <w:r w:rsidRPr="001375BD">
        <w:rPr>
          <w:i/>
          <w:lang w:val="en-US"/>
        </w:rPr>
        <w:t>British Journal of Management</w:t>
      </w:r>
      <w:r w:rsidRPr="001375BD">
        <w:rPr>
          <w:lang w:val="en-US"/>
        </w:rPr>
        <w:t xml:space="preserve">, </w:t>
      </w:r>
      <w:r w:rsidRPr="001375BD">
        <w:rPr>
          <w:i/>
          <w:lang w:val="en-US"/>
        </w:rPr>
        <w:t>32</w:t>
      </w:r>
      <w:r w:rsidRPr="001375BD">
        <w:rPr>
          <w:lang w:val="en-US"/>
        </w:rPr>
        <w:t>(2), 257-272.</w:t>
      </w:r>
    </w:p>
    <w:sectPr w:rsidR="00A83FC6" w:rsidRPr="00A83FC6" w:rsidSect="0006114E">
      <w:headerReference w:type="default" r:id="rId15"/>
      <w:footerReference w:type="default" r:id="rId16"/>
      <w:pgSz w:w="12240" w:h="15840"/>
      <w:pgMar w:top="1276"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0BD9" w14:textId="77777777" w:rsidR="00F84310" w:rsidRDefault="00F84310">
      <w:r>
        <w:separator/>
      </w:r>
    </w:p>
  </w:endnote>
  <w:endnote w:type="continuationSeparator" w:id="0">
    <w:p w14:paraId="01475F26" w14:textId="77777777" w:rsidR="00F84310" w:rsidRDefault="00F8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9330" w14:textId="050EBA6D" w:rsidR="006D342D" w:rsidRDefault="00BA21F4" w:rsidP="0006114E">
    <w:pPr>
      <w:pStyle w:val="Piedepgina"/>
      <w:jc w:val="center"/>
    </w:pPr>
    <w:r>
      <w:rPr>
        <w:noProof/>
        <w:lang w:eastAsia="es-MX"/>
      </w:rPr>
      <w:drawing>
        <wp:inline distT="0" distB="0" distL="0" distR="0" wp14:anchorId="426B579E" wp14:editId="2B0D2529">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cstheme="minorHAnsi"/>
        <w:b/>
      </w:rPr>
      <w:t xml:space="preserve">Vol. 12, Núm. 23 Julio - </w:t>
    </w:r>
    <w:proofErr w:type="gramStart"/>
    <w:r w:rsidRPr="001D146A">
      <w:rPr>
        <w:rFonts w:cstheme="minorHAnsi"/>
        <w:b/>
      </w:rPr>
      <w:t>Diciembre</w:t>
    </w:r>
    <w:proofErr w:type="gramEnd"/>
    <w:r w:rsidRPr="001D146A">
      <w:rPr>
        <w:rFonts w:cstheme="minorHAnsi"/>
        <w:b/>
      </w:rPr>
      <w:t xml:space="preserve"> 2021, e</w:t>
    </w:r>
    <w:r w:rsidR="005D027E">
      <w:rPr>
        <w:rFonts w:cstheme="minorHAnsi"/>
        <w:b/>
      </w:rPr>
      <w:t>306</w:t>
    </w:r>
  </w:p>
  <w:p w14:paraId="487F629E" w14:textId="77777777" w:rsidR="006D342D" w:rsidRDefault="00F84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3061" w14:textId="77777777" w:rsidR="00F84310" w:rsidRDefault="00F84310">
      <w:r>
        <w:separator/>
      </w:r>
    </w:p>
  </w:footnote>
  <w:footnote w:type="continuationSeparator" w:id="0">
    <w:p w14:paraId="4B298ABF" w14:textId="77777777" w:rsidR="00F84310" w:rsidRDefault="00F8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488C" w14:textId="77777777" w:rsidR="006D342D" w:rsidRDefault="00BA21F4" w:rsidP="0006114E">
    <w:pPr>
      <w:pStyle w:val="Encabezado"/>
      <w:jc w:val="center"/>
    </w:pPr>
    <w:r w:rsidRPr="005A563C">
      <w:rPr>
        <w:noProof/>
        <w:lang w:eastAsia="es-MX"/>
      </w:rPr>
      <w:drawing>
        <wp:inline distT="0" distB="0" distL="0" distR="0" wp14:anchorId="77C03E78" wp14:editId="2529749C">
          <wp:extent cx="5400040" cy="632602"/>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p w14:paraId="7ED4E4DE" w14:textId="77777777" w:rsidR="006D342D" w:rsidRDefault="00F843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79F"/>
    <w:multiLevelType w:val="hybridMultilevel"/>
    <w:tmpl w:val="64FCAB3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EF91118"/>
    <w:multiLevelType w:val="hybridMultilevel"/>
    <w:tmpl w:val="06F4346A"/>
    <w:lvl w:ilvl="0" w:tplc="3CD4F1CA">
      <w:start w:val="1"/>
      <w:numFmt w:val="bullet"/>
      <w:lvlText w:val="•"/>
      <w:lvlJc w:val="left"/>
      <w:pPr>
        <w:tabs>
          <w:tab w:val="num" w:pos="720"/>
        </w:tabs>
        <w:ind w:left="720" w:hanging="360"/>
      </w:pPr>
      <w:rPr>
        <w:rFonts w:ascii="Times New Roman" w:hAnsi="Times New Roman" w:hint="default"/>
      </w:rPr>
    </w:lvl>
    <w:lvl w:ilvl="1" w:tplc="9620CF84" w:tentative="1">
      <w:start w:val="1"/>
      <w:numFmt w:val="bullet"/>
      <w:lvlText w:val="•"/>
      <w:lvlJc w:val="left"/>
      <w:pPr>
        <w:tabs>
          <w:tab w:val="num" w:pos="1440"/>
        </w:tabs>
        <w:ind w:left="1440" w:hanging="360"/>
      </w:pPr>
      <w:rPr>
        <w:rFonts w:ascii="Times New Roman" w:hAnsi="Times New Roman" w:hint="default"/>
      </w:rPr>
    </w:lvl>
    <w:lvl w:ilvl="2" w:tplc="8928231E" w:tentative="1">
      <w:start w:val="1"/>
      <w:numFmt w:val="bullet"/>
      <w:lvlText w:val="•"/>
      <w:lvlJc w:val="left"/>
      <w:pPr>
        <w:tabs>
          <w:tab w:val="num" w:pos="2160"/>
        </w:tabs>
        <w:ind w:left="2160" w:hanging="360"/>
      </w:pPr>
      <w:rPr>
        <w:rFonts w:ascii="Times New Roman" w:hAnsi="Times New Roman" w:hint="default"/>
      </w:rPr>
    </w:lvl>
    <w:lvl w:ilvl="3" w:tplc="A5F2DFF0" w:tentative="1">
      <w:start w:val="1"/>
      <w:numFmt w:val="bullet"/>
      <w:lvlText w:val="•"/>
      <w:lvlJc w:val="left"/>
      <w:pPr>
        <w:tabs>
          <w:tab w:val="num" w:pos="2880"/>
        </w:tabs>
        <w:ind w:left="2880" w:hanging="360"/>
      </w:pPr>
      <w:rPr>
        <w:rFonts w:ascii="Times New Roman" w:hAnsi="Times New Roman" w:hint="default"/>
      </w:rPr>
    </w:lvl>
    <w:lvl w:ilvl="4" w:tplc="88886984" w:tentative="1">
      <w:start w:val="1"/>
      <w:numFmt w:val="bullet"/>
      <w:lvlText w:val="•"/>
      <w:lvlJc w:val="left"/>
      <w:pPr>
        <w:tabs>
          <w:tab w:val="num" w:pos="3600"/>
        </w:tabs>
        <w:ind w:left="3600" w:hanging="360"/>
      </w:pPr>
      <w:rPr>
        <w:rFonts w:ascii="Times New Roman" w:hAnsi="Times New Roman" w:hint="default"/>
      </w:rPr>
    </w:lvl>
    <w:lvl w:ilvl="5" w:tplc="5B9017A6" w:tentative="1">
      <w:start w:val="1"/>
      <w:numFmt w:val="bullet"/>
      <w:lvlText w:val="•"/>
      <w:lvlJc w:val="left"/>
      <w:pPr>
        <w:tabs>
          <w:tab w:val="num" w:pos="4320"/>
        </w:tabs>
        <w:ind w:left="4320" w:hanging="360"/>
      </w:pPr>
      <w:rPr>
        <w:rFonts w:ascii="Times New Roman" w:hAnsi="Times New Roman" w:hint="default"/>
      </w:rPr>
    </w:lvl>
    <w:lvl w:ilvl="6" w:tplc="81CC0274" w:tentative="1">
      <w:start w:val="1"/>
      <w:numFmt w:val="bullet"/>
      <w:lvlText w:val="•"/>
      <w:lvlJc w:val="left"/>
      <w:pPr>
        <w:tabs>
          <w:tab w:val="num" w:pos="5040"/>
        </w:tabs>
        <w:ind w:left="5040" w:hanging="360"/>
      </w:pPr>
      <w:rPr>
        <w:rFonts w:ascii="Times New Roman" w:hAnsi="Times New Roman" w:hint="default"/>
      </w:rPr>
    </w:lvl>
    <w:lvl w:ilvl="7" w:tplc="65968216" w:tentative="1">
      <w:start w:val="1"/>
      <w:numFmt w:val="bullet"/>
      <w:lvlText w:val="•"/>
      <w:lvlJc w:val="left"/>
      <w:pPr>
        <w:tabs>
          <w:tab w:val="num" w:pos="5760"/>
        </w:tabs>
        <w:ind w:left="5760" w:hanging="360"/>
      </w:pPr>
      <w:rPr>
        <w:rFonts w:ascii="Times New Roman" w:hAnsi="Times New Roman" w:hint="default"/>
      </w:rPr>
    </w:lvl>
    <w:lvl w:ilvl="8" w:tplc="04660F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9A6AC8"/>
    <w:multiLevelType w:val="multilevel"/>
    <w:tmpl w:val="4A3E924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C50853"/>
    <w:multiLevelType w:val="multilevel"/>
    <w:tmpl w:val="8782FDBA"/>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C6"/>
    <w:rsid w:val="000028E9"/>
    <w:rsid w:val="00006462"/>
    <w:rsid w:val="00007789"/>
    <w:rsid w:val="000240B5"/>
    <w:rsid w:val="00025245"/>
    <w:rsid w:val="0002690A"/>
    <w:rsid w:val="000359E3"/>
    <w:rsid w:val="0004060E"/>
    <w:rsid w:val="00050C2A"/>
    <w:rsid w:val="0006336B"/>
    <w:rsid w:val="00063F6D"/>
    <w:rsid w:val="00064691"/>
    <w:rsid w:val="000660B4"/>
    <w:rsid w:val="00073769"/>
    <w:rsid w:val="00073AE2"/>
    <w:rsid w:val="00076722"/>
    <w:rsid w:val="0007695A"/>
    <w:rsid w:val="00076C27"/>
    <w:rsid w:val="00076F7D"/>
    <w:rsid w:val="00082102"/>
    <w:rsid w:val="00085C23"/>
    <w:rsid w:val="0009052B"/>
    <w:rsid w:val="00091BB4"/>
    <w:rsid w:val="000A523D"/>
    <w:rsid w:val="000B0ECF"/>
    <w:rsid w:val="000B2144"/>
    <w:rsid w:val="000B312D"/>
    <w:rsid w:val="000B5137"/>
    <w:rsid w:val="000B7BB4"/>
    <w:rsid w:val="000C027C"/>
    <w:rsid w:val="000C0BA8"/>
    <w:rsid w:val="000C28D0"/>
    <w:rsid w:val="000D6926"/>
    <w:rsid w:val="000D6CAC"/>
    <w:rsid w:val="000D705A"/>
    <w:rsid w:val="000E3225"/>
    <w:rsid w:val="000E34B8"/>
    <w:rsid w:val="000F29B1"/>
    <w:rsid w:val="000F532F"/>
    <w:rsid w:val="0010774A"/>
    <w:rsid w:val="00107D07"/>
    <w:rsid w:val="00110658"/>
    <w:rsid w:val="00114617"/>
    <w:rsid w:val="00120E54"/>
    <w:rsid w:val="00130BE1"/>
    <w:rsid w:val="0014199B"/>
    <w:rsid w:val="0014600D"/>
    <w:rsid w:val="00146B32"/>
    <w:rsid w:val="00147533"/>
    <w:rsid w:val="001479A2"/>
    <w:rsid w:val="00150CB2"/>
    <w:rsid w:val="0015340E"/>
    <w:rsid w:val="00155B15"/>
    <w:rsid w:val="0016328F"/>
    <w:rsid w:val="00163AB8"/>
    <w:rsid w:val="00164897"/>
    <w:rsid w:val="00165B17"/>
    <w:rsid w:val="00173A85"/>
    <w:rsid w:val="00174E2C"/>
    <w:rsid w:val="0018512A"/>
    <w:rsid w:val="00192648"/>
    <w:rsid w:val="00194B8B"/>
    <w:rsid w:val="001B09CD"/>
    <w:rsid w:val="001C1C22"/>
    <w:rsid w:val="001C62F8"/>
    <w:rsid w:val="001C6B04"/>
    <w:rsid w:val="001D1278"/>
    <w:rsid w:val="001D12F9"/>
    <w:rsid w:val="001D16F6"/>
    <w:rsid w:val="001D47C2"/>
    <w:rsid w:val="001D486C"/>
    <w:rsid w:val="001D4F79"/>
    <w:rsid w:val="001D5227"/>
    <w:rsid w:val="001E2585"/>
    <w:rsid w:val="001E2880"/>
    <w:rsid w:val="001E4BBD"/>
    <w:rsid w:val="001E6F22"/>
    <w:rsid w:val="001F3412"/>
    <w:rsid w:val="001F7CB1"/>
    <w:rsid w:val="00201F0D"/>
    <w:rsid w:val="00203F64"/>
    <w:rsid w:val="00204411"/>
    <w:rsid w:val="002100A4"/>
    <w:rsid w:val="002123BB"/>
    <w:rsid w:val="00214DD6"/>
    <w:rsid w:val="00215D8F"/>
    <w:rsid w:val="002175C1"/>
    <w:rsid w:val="002208C0"/>
    <w:rsid w:val="00220F5D"/>
    <w:rsid w:val="00223422"/>
    <w:rsid w:val="002272CA"/>
    <w:rsid w:val="00231271"/>
    <w:rsid w:val="002401B9"/>
    <w:rsid w:val="002424B9"/>
    <w:rsid w:val="0025516D"/>
    <w:rsid w:val="002602F9"/>
    <w:rsid w:val="0026257A"/>
    <w:rsid w:val="0026531A"/>
    <w:rsid w:val="00270247"/>
    <w:rsid w:val="00272D0C"/>
    <w:rsid w:val="00273FD1"/>
    <w:rsid w:val="00274950"/>
    <w:rsid w:val="00276CB3"/>
    <w:rsid w:val="002810DB"/>
    <w:rsid w:val="00281358"/>
    <w:rsid w:val="00282862"/>
    <w:rsid w:val="0028670E"/>
    <w:rsid w:val="00294B65"/>
    <w:rsid w:val="002A025D"/>
    <w:rsid w:val="002A29E5"/>
    <w:rsid w:val="002A42D6"/>
    <w:rsid w:val="002C00A1"/>
    <w:rsid w:val="002C4B76"/>
    <w:rsid w:val="002C69D1"/>
    <w:rsid w:val="002C7745"/>
    <w:rsid w:val="002D25AA"/>
    <w:rsid w:val="002D2646"/>
    <w:rsid w:val="002E1616"/>
    <w:rsid w:val="002F5333"/>
    <w:rsid w:val="003005E0"/>
    <w:rsid w:val="003053CD"/>
    <w:rsid w:val="00316937"/>
    <w:rsid w:val="00316A89"/>
    <w:rsid w:val="00320788"/>
    <w:rsid w:val="003221BB"/>
    <w:rsid w:val="00322706"/>
    <w:rsid w:val="003268FB"/>
    <w:rsid w:val="00327E65"/>
    <w:rsid w:val="00332904"/>
    <w:rsid w:val="003358B7"/>
    <w:rsid w:val="00335FDC"/>
    <w:rsid w:val="00336161"/>
    <w:rsid w:val="00340CA1"/>
    <w:rsid w:val="003413A4"/>
    <w:rsid w:val="003435FF"/>
    <w:rsid w:val="0034384D"/>
    <w:rsid w:val="00344C57"/>
    <w:rsid w:val="00350274"/>
    <w:rsid w:val="0035168D"/>
    <w:rsid w:val="00353288"/>
    <w:rsid w:val="00354D2D"/>
    <w:rsid w:val="00357F08"/>
    <w:rsid w:val="00363497"/>
    <w:rsid w:val="00363E6A"/>
    <w:rsid w:val="00370578"/>
    <w:rsid w:val="00371531"/>
    <w:rsid w:val="00371CE5"/>
    <w:rsid w:val="0037334C"/>
    <w:rsid w:val="003817E4"/>
    <w:rsid w:val="003818AC"/>
    <w:rsid w:val="00385D4C"/>
    <w:rsid w:val="0038721E"/>
    <w:rsid w:val="00393298"/>
    <w:rsid w:val="003975BA"/>
    <w:rsid w:val="003A2701"/>
    <w:rsid w:val="003B04A6"/>
    <w:rsid w:val="003B2F6B"/>
    <w:rsid w:val="003C05EF"/>
    <w:rsid w:val="003C28AD"/>
    <w:rsid w:val="003C4278"/>
    <w:rsid w:val="003C61F2"/>
    <w:rsid w:val="003D4365"/>
    <w:rsid w:val="003D5C4F"/>
    <w:rsid w:val="003E674F"/>
    <w:rsid w:val="003F3E18"/>
    <w:rsid w:val="003F404A"/>
    <w:rsid w:val="00403136"/>
    <w:rsid w:val="00405D97"/>
    <w:rsid w:val="00407FAB"/>
    <w:rsid w:val="0041222F"/>
    <w:rsid w:val="004123F5"/>
    <w:rsid w:val="004155B8"/>
    <w:rsid w:val="00426710"/>
    <w:rsid w:val="00427947"/>
    <w:rsid w:val="00435804"/>
    <w:rsid w:val="00441A02"/>
    <w:rsid w:val="00450242"/>
    <w:rsid w:val="00454D66"/>
    <w:rsid w:val="00467C60"/>
    <w:rsid w:val="00473407"/>
    <w:rsid w:val="00477F9D"/>
    <w:rsid w:val="0048486C"/>
    <w:rsid w:val="004941EA"/>
    <w:rsid w:val="00496F8A"/>
    <w:rsid w:val="004A19AB"/>
    <w:rsid w:val="004A39AC"/>
    <w:rsid w:val="004A6807"/>
    <w:rsid w:val="004B60F5"/>
    <w:rsid w:val="004C0CDA"/>
    <w:rsid w:val="004C217E"/>
    <w:rsid w:val="004C4FC0"/>
    <w:rsid w:val="004C6E4B"/>
    <w:rsid w:val="004C702D"/>
    <w:rsid w:val="004D112C"/>
    <w:rsid w:val="004D4EA2"/>
    <w:rsid w:val="004D7EB9"/>
    <w:rsid w:val="004E022E"/>
    <w:rsid w:val="004E47ED"/>
    <w:rsid w:val="004E5672"/>
    <w:rsid w:val="004E7E2C"/>
    <w:rsid w:val="004F3B70"/>
    <w:rsid w:val="00505BE1"/>
    <w:rsid w:val="0051014C"/>
    <w:rsid w:val="00514C35"/>
    <w:rsid w:val="00523241"/>
    <w:rsid w:val="00523C61"/>
    <w:rsid w:val="005277D0"/>
    <w:rsid w:val="005329CB"/>
    <w:rsid w:val="00533C3D"/>
    <w:rsid w:val="00541129"/>
    <w:rsid w:val="0054139F"/>
    <w:rsid w:val="005436AE"/>
    <w:rsid w:val="00544BB0"/>
    <w:rsid w:val="005529FC"/>
    <w:rsid w:val="005553A3"/>
    <w:rsid w:val="0055749E"/>
    <w:rsid w:val="00562BC3"/>
    <w:rsid w:val="00564985"/>
    <w:rsid w:val="005653EE"/>
    <w:rsid w:val="00570A59"/>
    <w:rsid w:val="00571000"/>
    <w:rsid w:val="005726A5"/>
    <w:rsid w:val="005733D8"/>
    <w:rsid w:val="00575F7A"/>
    <w:rsid w:val="005833B4"/>
    <w:rsid w:val="00584E63"/>
    <w:rsid w:val="0059077A"/>
    <w:rsid w:val="005A0ED4"/>
    <w:rsid w:val="005A2590"/>
    <w:rsid w:val="005A5124"/>
    <w:rsid w:val="005B0FD6"/>
    <w:rsid w:val="005C4623"/>
    <w:rsid w:val="005C4CCE"/>
    <w:rsid w:val="005D027E"/>
    <w:rsid w:val="005E1E5C"/>
    <w:rsid w:val="005E298F"/>
    <w:rsid w:val="005E2D7C"/>
    <w:rsid w:val="005E2E55"/>
    <w:rsid w:val="005F11E1"/>
    <w:rsid w:val="005F1C2F"/>
    <w:rsid w:val="005F3B11"/>
    <w:rsid w:val="005F6464"/>
    <w:rsid w:val="005F650E"/>
    <w:rsid w:val="00606FD2"/>
    <w:rsid w:val="00614FAF"/>
    <w:rsid w:val="00616865"/>
    <w:rsid w:val="00616B2C"/>
    <w:rsid w:val="00632866"/>
    <w:rsid w:val="00637F3C"/>
    <w:rsid w:val="00640D50"/>
    <w:rsid w:val="0064223D"/>
    <w:rsid w:val="00643C87"/>
    <w:rsid w:val="006444DE"/>
    <w:rsid w:val="0064480F"/>
    <w:rsid w:val="00647D77"/>
    <w:rsid w:val="006571E4"/>
    <w:rsid w:val="00660B84"/>
    <w:rsid w:val="00661E19"/>
    <w:rsid w:val="00663C89"/>
    <w:rsid w:val="00666085"/>
    <w:rsid w:val="00667B5D"/>
    <w:rsid w:val="0067051F"/>
    <w:rsid w:val="006706B7"/>
    <w:rsid w:val="00676F61"/>
    <w:rsid w:val="00686700"/>
    <w:rsid w:val="00686D5A"/>
    <w:rsid w:val="0069304B"/>
    <w:rsid w:val="00693729"/>
    <w:rsid w:val="006A0771"/>
    <w:rsid w:val="006A105E"/>
    <w:rsid w:val="006A6413"/>
    <w:rsid w:val="006A6920"/>
    <w:rsid w:val="006A7E0E"/>
    <w:rsid w:val="006B0684"/>
    <w:rsid w:val="006B2EE6"/>
    <w:rsid w:val="006B4977"/>
    <w:rsid w:val="006B5238"/>
    <w:rsid w:val="006C0D85"/>
    <w:rsid w:val="006C15B9"/>
    <w:rsid w:val="006C5B32"/>
    <w:rsid w:val="006C6FB3"/>
    <w:rsid w:val="006D051B"/>
    <w:rsid w:val="006D6132"/>
    <w:rsid w:val="006D7AE6"/>
    <w:rsid w:val="006E09E3"/>
    <w:rsid w:val="006E443D"/>
    <w:rsid w:val="006E4DC6"/>
    <w:rsid w:val="006E4E58"/>
    <w:rsid w:val="006F6254"/>
    <w:rsid w:val="006F6E7B"/>
    <w:rsid w:val="00705C13"/>
    <w:rsid w:val="00711735"/>
    <w:rsid w:val="007218F5"/>
    <w:rsid w:val="007228C4"/>
    <w:rsid w:val="00724069"/>
    <w:rsid w:val="0072754A"/>
    <w:rsid w:val="00731148"/>
    <w:rsid w:val="00733BDA"/>
    <w:rsid w:val="00737DBA"/>
    <w:rsid w:val="00740FB4"/>
    <w:rsid w:val="00741F3D"/>
    <w:rsid w:val="0074609A"/>
    <w:rsid w:val="007463FD"/>
    <w:rsid w:val="00750D13"/>
    <w:rsid w:val="0075531F"/>
    <w:rsid w:val="00755B55"/>
    <w:rsid w:val="00762705"/>
    <w:rsid w:val="00762BF6"/>
    <w:rsid w:val="00763FB3"/>
    <w:rsid w:val="00764B00"/>
    <w:rsid w:val="0076589C"/>
    <w:rsid w:val="00766006"/>
    <w:rsid w:val="00770092"/>
    <w:rsid w:val="00770D09"/>
    <w:rsid w:val="00770D92"/>
    <w:rsid w:val="00771C73"/>
    <w:rsid w:val="007720FE"/>
    <w:rsid w:val="007729A7"/>
    <w:rsid w:val="00773AF0"/>
    <w:rsid w:val="00775A3E"/>
    <w:rsid w:val="00775A8F"/>
    <w:rsid w:val="0077743C"/>
    <w:rsid w:val="00780FDC"/>
    <w:rsid w:val="00782068"/>
    <w:rsid w:val="00785CFB"/>
    <w:rsid w:val="00795213"/>
    <w:rsid w:val="007A3206"/>
    <w:rsid w:val="007A3478"/>
    <w:rsid w:val="007A51D3"/>
    <w:rsid w:val="007A5586"/>
    <w:rsid w:val="007A74CA"/>
    <w:rsid w:val="007B1700"/>
    <w:rsid w:val="007B384C"/>
    <w:rsid w:val="007B588A"/>
    <w:rsid w:val="007B6E07"/>
    <w:rsid w:val="007B7A29"/>
    <w:rsid w:val="007B7B46"/>
    <w:rsid w:val="007C32F0"/>
    <w:rsid w:val="007C59CE"/>
    <w:rsid w:val="007D1AB5"/>
    <w:rsid w:val="007D3CBB"/>
    <w:rsid w:val="007D666F"/>
    <w:rsid w:val="007D6962"/>
    <w:rsid w:val="007E317D"/>
    <w:rsid w:val="007E51B0"/>
    <w:rsid w:val="007E5ADF"/>
    <w:rsid w:val="007F0D23"/>
    <w:rsid w:val="007F365B"/>
    <w:rsid w:val="00802D9E"/>
    <w:rsid w:val="00803761"/>
    <w:rsid w:val="0080764F"/>
    <w:rsid w:val="008119E6"/>
    <w:rsid w:val="0081388A"/>
    <w:rsid w:val="008153E0"/>
    <w:rsid w:val="008161BD"/>
    <w:rsid w:val="0081645E"/>
    <w:rsid w:val="00816F09"/>
    <w:rsid w:val="00825187"/>
    <w:rsid w:val="00827FC8"/>
    <w:rsid w:val="00834241"/>
    <w:rsid w:val="00835A55"/>
    <w:rsid w:val="00840B07"/>
    <w:rsid w:val="00844694"/>
    <w:rsid w:val="008460B5"/>
    <w:rsid w:val="00847463"/>
    <w:rsid w:val="008575C1"/>
    <w:rsid w:val="00857AE9"/>
    <w:rsid w:val="00862916"/>
    <w:rsid w:val="00863A8F"/>
    <w:rsid w:val="00867D15"/>
    <w:rsid w:val="00870B8E"/>
    <w:rsid w:val="0087256D"/>
    <w:rsid w:val="00873F87"/>
    <w:rsid w:val="00877558"/>
    <w:rsid w:val="008804EA"/>
    <w:rsid w:val="008813F5"/>
    <w:rsid w:val="0088365B"/>
    <w:rsid w:val="008857AC"/>
    <w:rsid w:val="00892E72"/>
    <w:rsid w:val="008979FF"/>
    <w:rsid w:val="008A0339"/>
    <w:rsid w:val="008A2556"/>
    <w:rsid w:val="008A3952"/>
    <w:rsid w:val="008B4D6B"/>
    <w:rsid w:val="008B5901"/>
    <w:rsid w:val="008C2002"/>
    <w:rsid w:val="008C3052"/>
    <w:rsid w:val="008C53C9"/>
    <w:rsid w:val="008D16DB"/>
    <w:rsid w:val="008E21B5"/>
    <w:rsid w:val="008E3709"/>
    <w:rsid w:val="008E65A0"/>
    <w:rsid w:val="008F1157"/>
    <w:rsid w:val="008F115E"/>
    <w:rsid w:val="008F36B2"/>
    <w:rsid w:val="008F4884"/>
    <w:rsid w:val="009026CD"/>
    <w:rsid w:val="00902F45"/>
    <w:rsid w:val="00903DB0"/>
    <w:rsid w:val="009118FC"/>
    <w:rsid w:val="0091561A"/>
    <w:rsid w:val="00916ABD"/>
    <w:rsid w:val="00923070"/>
    <w:rsid w:val="00923E34"/>
    <w:rsid w:val="0092416A"/>
    <w:rsid w:val="00924784"/>
    <w:rsid w:val="0092559E"/>
    <w:rsid w:val="00930DC5"/>
    <w:rsid w:val="00931E92"/>
    <w:rsid w:val="009329E6"/>
    <w:rsid w:val="00932EB1"/>
    <w:rsid w:val="00934553"/>
    <w:rsid w:val="009358CA"/>
    <w:rsid w:val="00936D19"/>
    <w:rsid w:val="0094014D"/>
    <w:rsid w:val="00941B71"/>
    <w:rsid w:val="009457F3"/>
    <w:rsid w:val="00956BF9"/>
    <w:rsid w:val="00960D82"/>
    <w:rsid w:val="009617AD"/>
    <w:rsid w:val="00963216"/>
    <w:rsid w:val="00963513"/>
    <w:rsid w:val="0096595B"/>
    <w:rsid w:val="0097177D"/>
    <w:rsid w:val="00973C99"/>
    <w:rsid w:val="009751E4"/>
    <w:rsid w:val="009820F9"/>
    <w:rsid w:val="00983324"/>
    <w:rsid w:val="0099042A"/>
    <w:rsid w:val="00990EAB"/>
    <w:rsid w:val="009918AE"/>
    <w:rsid w:val="00993318"/>
    <w:rsid w:val="00993B2D"/>
    <w:rsid w:val="00995315"/>
    <w:rsid w:val="00996425"/>
    <w:rsid w:val="009A5227"/>
    <w:rsid w:val="009A67C0"/>
    <w:rsid w:val="009A78B6"/>
    <w:rsid w:val="009B56F4"/>
    <w:rsid w:val="009C0E9F"/>
    <w:rsid w:val="009C433D"/>
    <w:rsid w:val="009C4EFF"/>
    <w:rsid w:val="009C6DFA"/>
    <w:rsid w:val="009C76E3"/>
    <w:rsid w:val="009D0B31"/>
    <w:rsid w:val="009D0D08"/>
    <w:rsid w:val="009E2990"/>
    <w:rsid w:val="009E440E"/>
    <w:rsid w:val="009E46D9"/>
    <w:rsid w:val="009E5035"/>
    <w:rsid w:val="009F0EDC"/>
    <w:rsid w:val="009F421B"/>
    <w:rsid w:val="00A02DE7"/>
    <w:rsid w:val="00A06475"/>
    <w:rsid w:val="00A07F4F"/>
    <w:rsid w:val="00A1273F"/>
    <w:rsid w:val="00A13537"/>
    <w:rsid w:val="00A1721E"/>
    <w:rsid w:val="00A17E22"/>
    <w:rsid w:val="00A27255"/>
    <w:rsid w:val="00A3099B"/>
    <w:rsid w:val="00A33E52"/>
    <w:rsid w:val="00A4259C"/>
    <w:rsid w:val="00A462D0"/>
    <w:rsid w:val="00A5384B"/>
    <w:rsid w:val="00A57B80"/>
    <w:rsid w:val="00A717BA"/>
    <w:rsid w:val="00A76A5B"/>
    <w:rsid w:val="00A80B01"/>
    <w:rsid w:val="00A83FC6"/>
    <w:rsid w:val="00A849ED"/>
    <w:rsid w:val="00A866B4"/>
    <w:rsid w:val="00A872D0"/>
    <w:rsid w:val="00A93475"/>
    <w:rsid w:val="00A95419"/>
    <w:rsid w:val="00A976FB"/>
    <w:rsid w:val="00AA4DDE"/>
    <w:rsid w:val="00AA5A81"/>
    <w:rsid w:val="00AB19E5"/>
    <w:rsid w:val="00AB2CF1"/>
    <w:rsid w:val="00AB3F78"/>
    <w:rsid w:val="00AC1273"/>
    <w:rsid w:val="00AD6D9A"/>
    <w:rsid w:val="00AD745A"/>
    <w:rsid w:val="00AE1F32"/>
    <w:rsid w:val="00AE415C"/>
    <w:rsid w:val="00AE50BD"/>
    <w:rsid w:val="00AE6E6B"/>
    <w:rsid w:val="00AE786F"/>
    <w:rsid w:val="00B00257"/>
    <w:rsid w:val="00B01A30"/>
    <w:rsid w:val="00B041D6"/>
    <w:rsid w:val="00B04A82"/>
    <w:rsid w:val="00B04C1E"/>
    <w:rsid w:val="00B04E05"/>
    <w:rsid w:val="00B05B95"/>
    <w:rsid w:val="00B0716A"/>
    <w:rsid w:val="00B07766"/>
    <w:rsid w:val="00B07D77"/>
    <w:rsid w:val="00B111A3"/>
    <w:rsid w:val="00B130A2"/>
    <w:rsid w:val="00B13586"/>
    <w:rsid w:val="00B138DA"/>
    <w:rsid w:val="00B1476C"/>
    <w:rsid w:val="00B15561"/>
    <w:rsid w:val="00B30219"/>
    <w:rsid w:val="00B33A49"/>
    <w:rsid w:val="00B346D2"/>
    <w:rsid w:val="00B4386D"/>
    <w:rsid w:val="00B502C0"/>
    <w:rsid w:val="00B5087B"/>
    <w:rsid w:val="00B51178"/>
    <w:rsid w:val="00B5216C"/>
    <w:rsid w:val="00B523D5"/>
    <w:rsid w:val="00B56099"/>
    <w:rsid w:val="00B563BC"/>
    <w:rsid w:val="00B64063"/>
    <w:rsid w:val="00B65408"/>
    <w:rsid w:val="00B72E55"/>
    <w:rsid w:val="00B74CDC"/>
    <w:rsid w:val="00B86D51"/>
    <w:rsid w:val="00B87634"/>
    <w:rsid w:val="00B940D5"/>
    <w:rsid w:val="00B95E73"/>
    <w:rsid w:val="00B96E74"/>
    <w:rsid w:val="00B979E4"/>
    <w:rsid w:val="00B979FD"/>
    <w:rsid w:val="00BA0FA1"/>
    <w:rsid w:val="00BA21F4"/>
    <w:rsid w:val="00BA59A3"/>
    <w:rsid w:val="00BB1137"/>
    <w:rsid w:val="00BB2AD1"/>
    <w:rsid w:val="00BB3439"/>
    <w:rsid w:val="00BB409B"/>
    <w:rsid w:val="00BC0606"/>
    <w:rsid w:val="00BC605C"/>
    <w:rsid w:val="00BC6D44"/>
    <w:rsid w:val="00BD1295"/>
    <w:rsid w:val="00BD24C5"/>
    <w:rsid w:val="00BF0C83"/>
    <w:rsid w:val="00BF19FB"/>
    <w:rsid w:val="00C029A8"/>
    <w:rsid w:val="00C04107"/>
    <w:rsid w:val="00C04598"/>
    <w:rsid w:val="00C1276D"/>
    <w:rsid w:val="00C14FCE"/>
    <w:rsid w:val="00C23491"/>
    <w:rsid w:val="00C2360B"/>
    <w:rsid w:val="00C2622A"/>
    <w:rsid w:val="00C34439"/>
    <w:rsid w:val="00C3463A"/>
    <w:rsid w:val="00C37855"/>
    <w:rsid w:val="00C41FAB"/>
    <w:rsid w:val="00C42D5B"/>
    <w:rsid w:val="00C52486"/>
    <w:rsid w:val="00C61732"/>
    <w:rsid w:val="00C63217"/>
    <w:rsid w:val="00C6366D"/>
    <w:rsid w:val="00C67068"/>
    <w:rsid w:val="00C676C9"/>
    <w:rsid w:val="00C70631"/>
    <w:rsid w:val="00C76DA3"/>
    <w:rsid w:val="00C81529"/>
    <w:rsid w:val="00C850A5"/>
    <w:rsid w:val="00C851C2"/>
    <w:rsid w:val="00C90EDF"/>
    <w:rsid w:val="00C911FB"/>
    <w:rsid w:val="00C96240"/>
    <w:rsid w:val="00C9799F"/>
    <w:rsid w:val="00CA7E43"/>
    <w:rsid w:val="00CB4ED8"/>
    <w:rsid w:val="00CB568B"/>
    <w:rsid w:val="00CB669F"/>
    <w:rsid w:val="00CB7193"/>
    <w:rsid w:val="00CB7D69"/>
    <w:rsid w:val="00CC1B39"/>
    <w:rsid w:val="00CC7C84"/>
    <w:rsid w:val="00CD7238"/>
    <w:rsid w:val="00CE7734"/>
    <w:rsid w:val="00CF2B75"/>
    <w:rsid w:val="00CF514B"/>
    <w:rsid w:val="00CF6384"/>
    <w:rsid w:val="00CF6900"/>
    <w:rsid w:val="00D00DDA"/>
    <w:rsid w:val="00D046B5"/>
    <w:rsid w:val="00D078FF"/>
    <w:rsid w:val="00D11388"/>
    <w:rsid w:val="00D127CE"/>
    <w:rsid w:val="00D33493"/>
    <w:rsid w:val="00D40DED"/>
    <w:rsid w:val="00D436A8"/>
    <w:rsid w:val="00D46786"/>
    <w:rsid w:val="00D47112"/>
    <w:rsid w:val="00D471A2"/>
    <w:rsid w:val="00D53877"/>
    <w:rsid w:val="00D54DFE"/>
    <w:rsid w:val="00D61A7E"/>
    <w:rsid w:val="00D656EF"/>
    <w:rsid w:val="00D65F06"/>
    <w:rsid w:val="00D67AD8"/>
    <w:rsid w:val="00D729D6"/>
    <w:rsid w:val="00D74418"/>
    <w:rsid w:val="00D801F0"/>
    <w:rsid w:val="00D81D6C"/>
    <w:rsid w:val="00D86144"/>
    <w:rsid w:val="00D93310"/>
    <w:rsid w:val="00D96F60"/>
    <w:rsid w:val="00DA4108"/>
    <w:rsid w:val="00DA5346"/>
    <w:rsid w:val="00DC0DCD"/>
    <w:rsid w:val="00DC1767"/>
    <w:rsid w:val="00DD0A3E"/>
    <w:rsid w:val="00DD5852"/>
    <w:rsid w:val="00DE2B88"/>
    <w:rsid w:val="00DF3D09"/>
    <w:rsid w:val="00E054BA"/>
    <w:rsid w:val="00E07040"/>
    <w:rsid w:val="00E14A29"/>
    <w:rsid w:val="00E22B86"/>
    <w:rsid w:val="00E27D32"/>
    <w:rsid w:val="00E32F1A"/>
    <w:rsid w:val="00E3581C"/>
    <w:rsid w:val="00E417CF"/>
    <w:rsid w:val="00E536C0"/>
    <w:rsid w:val="00E55113"/>
    <w:rsid w:val="00E61D20"/>
    <w:rsid w:val="00E628C1"/>
    <w:rsid w:val="00E64679"/>
    <w:rsid w:val="00E646AC"/>
    <w:rsid w:val="00E65BAF"/>
    <w:rsid w:val="00E670BA"/>
    <w:rsid w:val="00E67DC9"/>
    <w:rsid w:val="00E713A9"/>
    <w:rsid w:val="00E76580"/>
    <w:rsid w:val="00E77E40"/>
    <w:rsid w:val="00E825DA"/>
    <w:rsid w:val="00E86CAE"/>
    <w:rsid w:val="00EA06EA"/>
    <w:rsid w:val="00EA243D"/>
    <w:rsid w:val="00EA5D8D"/>
    <w:rsid w:val="00EB64BE"/>
    <w:rsid w:val="00EC367B"/>
    <w:rsid w:val="00ED1AFB"/>
    <w:rsid w:val="00ED30F4"/>
    <w:rsid w:val="00ED3172"/>
    <w:rsid w:val="00ED5349"/>
    <w:rsid w:val="00EE2475"/>
    <w:rsid w:val="00EE6983"/>
    <w:rsid w:val="00EF2542"/>
    <w:rsid w:val="00F007C1"/>
    <w:rsid w:val="00F16FA0"/>
    <w:rsid w:val="00F23DAA"/>
    <w:rsid w:val="00F24003"/>
    <w:rsid w:val="00F24A77"/>
    <w:rsid w:val="00F2565E"/>
    <w:rsid w:val="00F35136"/>
    <w:rsid w:val="00F35988"/>
    <w:rsid w:val="00F42BE3"/>
    <w:rsid w:val="00F50D53"/>
    <w:rsid w:val="00F520BA"/>
    <w:rsid w:val="00F54E1E"/>
    <w:rsid w:val="00F61EC3"/>
    <w:rsid w:val="00F67858"/>
    <w:rsid w:val="00F7590E"/>
    <w:rsid w:val="00F764CB"/>
    <w:rsid w:val="00F817AC"/>
    <w:rsid w:val="00F82EEF"/>
    <w:rsid w:val="00F84310"/>
    <w:rsid w:val="00F87A31"/>
    <w:rsid w:val="00FA1A63"/>
    <w:rsid w:val="00FA2385"/>
    <w:rsid w:val="00FA36ED"/>
    <w:rsid w:val="00FA5D1C"/>
    <w:rsid w:val="00FA61BA"/>
    <w:rsid w:val="00FB40B4"/>
    <w:rsid w:val="00FC09D1"/>
    <w:rsid w:val="00FC28A1"/>
    <w:rsid w:val="00FC6795"/>
    <w:rsid w:val="00FC69E5"/>
    <w:rsid w:val="00FD1249"/>
    <w:rsid w:val="00FD14F7"/>
    <w:rsid w:val="00FD7D7E"/>
    <w:rsid w:val="00FE22DE"/>
    <w:rsid w:val="00FE4F16"/>
    <w:rsid w:val="00FE7024"/>
    <w:rsid w:val="00FE716E"/>
    <w:rsid w:val="00FF17BF"/>
    <w:rsid w:val="00FF3B26"/>
    <w:rsid w:val="00FF5CC8"/>
    <w:rsid w:val="00FF6878"/>
    <w:rsid w:val="00FF68DF"/>
    <w:rsid w:val="00FF7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447A"/>
  <w15:chartTrackingRefBased/>
  <w15:docId w15:val="{504489F1-D5C5-4018-AFA7-7A307CE3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FC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A83FC6"/>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A83FC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FC6"/>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A83FC6"/>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A83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3FC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83FC6"/>
  </w:style>
  <w:style w:type="paragraph" w:styleId="Piedepgina">
    <w:name w:val="footer"/>
    <w:basedOn w:val="Normal"/>
    <w:link w:val="PiedepginaCar"/>
    <w:uiPriority w:val="99"/>
    <w:unhideWhenUsed/>
    <w:rsid w:val="00A83FC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83FC6"/>
  </w:style>
  <w:style w:type="paragraph" w:styleId="Textodeglobo">
    <w:name w:val="Balloon Text"/>
    <w:basedOn w:val="Normal"/>
    <w:link w:val="TextodegloboCar"/>
    <w:uiPriority w:val="99"/>
    <w:semiHidden/>
    <w:unhideWhenUsed/>
    <w:rsid w:val="00A83FC6"/>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A83FC6"/>
    <w:rPr>
      <w:rFonts w:ascii="Segoe UI" w:hAnsi="Segoe UI" w:cs="Segoe UI"/>
      <w:sz w:val="18"/>
      <w:szCs w:val="18"/>
    </w:rPr>
  </w:style>
  <w:style w:type="paragraph" w:styleId="Prrafodelista">
    <w:name w:val="List Paragraph"/>
    <w:basedOn w:val="Normal"/>
    <w:uiPriority w:val="34"/>
    <w:qFormat/>
    <w:rsid w:val="00A83FC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83FC6"/>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alfinal">
    <w:name w:val="endnote text"/>
    <w:basedOn w:val="Normal"/>
    <w:link w:val="TextonotaalfinalCar"/>
    <w:uiPriority w:val="99"/>
    <w:semiHidden/>
    <w:unhideWhenUsed/>
    <w:rsid w:val="00A83FC6"/>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A83FC6"/>
    <w:rPr>
      <w:sz w:val="20"/>
      <w:szCs w:val="20"/>
    </w:rPr>
  </w:style>
  <w:style w:type="character" w:styleId="Refdenotaalfinal">
    <w:name w:val="endnote reference"/>
    <w:basedOn w:val="Fuentedeprrafopredeter"/>
    <w:uiPriority w:val="99"/>
    <w:semiHidden/>
    <w:unhideWhenUsed/>
    <w:rsid w:val="00A83FC6"/>
    <w:rPr>
      <w:vertAlign w:val="superscript"/>
    </w:rPr>
  </w:style>
  <w:style w:type="paragraph" w:styleId="Textonotapie">
    <w:name w:val="footnote text"/>
    <w:basedOn w:val="Normal"/>
    <w:link w:val="TextonotapieCar"/>
    <w:uiPriority w:val="99"/>
    <w:semiHidden/>
    <w:unhideWhenUsed/>
    <w:rsid w:val="00A83FC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A83FC6"/>
    <w:rPr>
      <w:sz w:val="20"/>
      <w:szCs w:val="20"/>
    </w:rPr>
  </w:style>
  <w:style w:type="character" w:styleId="Refdenotaalpie">
    <w:name w:val="footnote reference"/>
    <w:basedOn w:val="Fuentedeprrafopredeter"/>
    <w:uiPriority w:val="99"/>
    <w:semiHidden/>
    <w:unhideWhenUsed/>
    <w:rsid w:val="00A83FC6"/>
    <w:rPr>
      <w:vertAlign w:val="superscript"/>
    </w:rPr>
  </w:style>
  <w:style w:type="character" w:styleId="nfasis">
    <w:name w:val="Emphasis"/>
    <w:basedOn w:val="Fuentedeprrafopredeter"/>
    <w:uiPriority w:val="20"/>
    <w:qFormat/>
    <w:rsid w:val="00A83FC6"/>
    <w:rPr>
      <w:i/>
      <w:iCs/>
    </w:rPr>
  </w:style>
  <w:style w:type="table" w:customStyle="1" w:styleId="Tabladecuadrcula5oscura-nfasis31">
    <w:name w:val="Tabla de cuadrícula 5 oscura - Énfasis 31"/>
    <w:basedOn w:val="Tablanormal"/>
    <w:uiPriority w:val="50"/>
    <w:rsid w:val="00A83F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ipervnculo">
    <w:name w:val="Hyperlink"/>
    <w:basedOn w:val="Fuentedeprrafopredeter"/>
    <w:uiPriority w:val="99"/>
    <w:unhideWhenUsed/>
    <w:rsid w:val="00A83FC6"/>
    <w:rPr>
      <w:color w:val="0000FF"/>
      <w:u w:val="single"/>
    </w:rPr>
  </w:style>
  <w:style w:type="character" w:styleId="Nmerodelnea">
    <w:name w:val="line number"/>
    <w:basedOn w:val="Fuentedeprrafopredeter"/>
    <w:uiPriority w:val="99"/>
    <w:semiHidden/>
    <w:unhideWhenUsed/>
    <w:rsid w:val="00A83FC6"/>
  </w:style>
  <w:style w:type="character" w:customStyle="1" w:styleId="text">
    <w:name w:val="text"/>
    <w:basedOn w:val="Fuentedeprrafopredeter"/>
    <w:rsid w:val="00A83FC6"/>
  </w:style>
  <w:style w:type="character" w:customStyle="1" w:styleId="author-ref">
    <w:name w:val="author-ref"/>
    <w:basedOn w:val="Fuentedeprrafopredeter"/>
    <w:rsid w:val="00A83FC6"/>
  </w:style>
  <w:style w:type="character" w:customStyle="1" w:styleId="title-text">
    <w:name w:val="title-text"/>
    <w:basedOn w:val="Fuentedeprrafopredeter"/>
    <w:rsid w:val="00A83FC6"/>
  </w:style>
  <w:style w:type="character" w:customStyle="1" w:styleId="accordion-tabbedtab-mobile">
    <w:name w:val="accordion-tabbed__tab-mobile"/>
    <w:basedOn w:val="Fuentedeprrafopredeter"/>
    <w:rsid w:val="00A83FC6"/>
  </w:style>
  <w:style w:type="character" w:customStyle="1" w:styleId="comma-separator">
    <w:name w:val="comma-separator"/>
    <w:basedOn w:val="Fuentedeprrafopredeter"/>
    <w:rsid w:val="00A83FC6"/>
  </w:style>
  <w:style w:type="character" w:styleId="Refdecomentario">
    <w:name w:val="annotation reference"/>
    <w:basedOn w:val="Fuentedeprrafopredeter"/>
    <w:uiPriority w:val="99"/>
    <w:semiHidden/>
    <w:unhideWhenUsed/>
    <w:rsid w:val="00A83FC6"/>
    <w:rPr>
      <w:sz w:val="16"/>
      <w:szCs w:val="16"/>
    </w:rPr>
  </w:style>
  <w:style w:type="paragraph" w:styleId="Textocomentario">
    <w:name w:val="annotation text"/>
    <w:basedOn w:val="Normal"/>
    <w:link w:val="TextocomentarioCar"/>
    <w:uiPriority w:val="99"/>
    <w:unhideWhenUsed/>
    <w:rsid w:val="00A83FC6"/>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A83FC6"/>
    <w:rPr>
      <w:sz w:val="20"/>
      <w:szCs w:val="20"/>
    </w:rPr>
  </w:style>
  <w:style w:type="paragraph" w:styleId="Asuntodelcomentario">
    <w:name w:val="annotation subject"/>
    <w:basedOn w:val="Textocomentario"/>
    <w:next w:val="Textocomentario"/>
    <w:link w:val="AsuntodelcomentarioCar"/>
    <w:uiPriority w:val="99"/>
    <w:semiHidden/>
    <w:unhideWhenUsed/>
    <w:rsid w:val="00A83FC6"/>
    <w:rPr>
      <w:b/>
      <w:bCs/>
    </w:rPr>
  </w:style>
  <w:style w:type="character" w:customStyle="1" w:styleId="AsuntodelcomentarioCar">
    <w:name w:val="Asunto del comentario Car"/>
    <w:basedOn w:val="TextocomentarioCar"/>
    <w:link w:val="Asuntodelcomentario"/>
    <w:uiPriority w:val="99"/>
    <w:semiHidden/>
    <w:rsid w:val="00A83FC6"/>
    <w:rPr>
      <w:b/>
      <w:bCs/>
      <w:sz w:val="20"/>
      <w:szCs w:val="20"/>
    </w:rPr>
  </w:style>
  <w:style w:type="paragraph" w:styleId="HTMLconformatoprevio">
    <w:name w:val="HTML Preformatted"/>
    <w:basedOn w:val="Normal"/>
    <w:link w:val="HTMLconformatoprevioCar"/>
    <w:uiPriority w:val="99"/>
    <w:unhideWhenUsed/>
    <w:rsid w:val="00A83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83FC6"/>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A8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ncedirect.com/science/journal/0263786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23</Pages>
  <Words>6281</Words>
  <Characters>34551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cp:keywords/>
  <dc:description/>
  <cp:lastModifiedBy>Gustavo Toledo</cp:lastModifiedBy>
  <cp:revision>4</cp:revision>
  <dcterms:created xsi:type="dcterms:W3CDTF">2021-12-17T21:37:00Z</dcterms:created>
  <dcterms:modified xsi:type="dcterms:W3CDTF">2021-12-19T23:01:00Z</dcterms:modified>
</cp:coreProperties>
</file>